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789C" w:rsidRDefault="00446DE4" w:rsidP="00F2789C">
            <w:pPr>
              <w:tabs>
                <w:tab w:val="right" w:pos="850"/>
                <w:tab w:val="left" w:pos="1134"/>
                <w:tab w:val="right" w:leader="dot" w:pos="8504"/>
              </w:tabs>
              <w:spacing w:line="20" w:lineRule="exact"/>
              <w:rPr>
                <w:sz w:val="2"/>
              </w:rPr>
            </w:pPr>
          </w:p>
          <w:p w:rsidR="00F2789C" w:rsidRPr="00E806EE" w:rsidRDefault="00F2789C"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8106CA">
            <w:pPr>
              <w:jc w:val="right"/>
            </w:pPr>
            <w:r w:rsidRPr="001D18FE">
              <w:rPr>
                <w:sz w:val="40"/>
              </w:rPr>
              <w:t>A</w:t>
            </w:r>
            <w:r>
              <w:t>/HRC/</w:t>
            </w:r>
            <w:r w:rsidR="00B3422A">
              <w:t>3</w:t>
            </w:r>
            <w:r w:rsidR="00E41E66">
              <w:t>5</w:t>
            </w:r>
            <w:r>
              <w:t>/L.</w:t>
            </w:r>
            <w:r w:rsidR="008106CA">
              <w:t>24</w:t>
            </w:r>
          </w:p>
        </w:tc>
      </w:tr>
      <w:tr w:rsidR="003107FA">
        <w:trPr>
          <w:trHeight w:val="2835"/>
        </w:trPr>
        <w:tc>
          <w:tcPr>
            <w:tcW w:w="1259" w:type="dxa"/>
            <w:tcBorders>
              <w:top w:val="single" w:sz="4" w:space="0" w:color="auto"/>
              <w:left w:val="nil"/>
              <w:bottom w:val="single" w:sz="12" w:space="0" w:color="auto"/>
              <w:right w:val="nil"/>
            </w:tcBorders>
          </w:tcPr>
          <w:p w:rsidR="003107FA" w:rsidRDefault="00425972" w:rsidP="00956D9B">
            <w:pPr>
              <w:spacing w:before="120"/>
              <w:jc w:val="center"/>
            </w:pPr>
            <w:r>
              <w:rPr>
                <w:noProof/>
                <w:lang w:val="en-US" w:eastAsia="zh-CN"/>
              </w:rPr>
              <w:drawing>
                <wp:inline distT="0" distB="0" distL="0" distR="0" wp14:anchorId="2181D244" wp14:editId="0C6C5179">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2804C2" w:rsidRDefault="005130F3" w:rsidP="002804C2">
            <w:pPr>
              <w:spacing w:line="240" w:lineRule="exact"/>
            </w:pPr>
            <w:r>
              <w:t>19</w:t>
            </w:r>
            <w:r w:rsidR="008106CA">
              <w:t xml:space="preserve"> </w:t>
            </w:r>
            <w:r w:rsidR="00E41E66">
              <w:t>June</w:t>
            </w:r>
            <w:r w:rsidR="00821011">
              <w:t xml:space="preserve"> 2017</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B3422A" w:rsidP="00FE7BB7">
      <w:pPr>
        <w:rPr>
          <w:b/>
        </w:rPr>
      </w:pPr>
      <w:r>
        <w:rPr>
          <w:b/>
        </w:rPr>
        <w:t>Thirt</w:t>
      </w:r>
      <w:r w:rsidR="00D22798">
        <w:rPr>
          <w:b/>
        </w:rPr>
        <w:t>y-</w:t>
      </w:r>
      <w:r w:rsidR="00E41E66">
        <w:rPr>
          <w:b/>
        </w:rPr>
        <w:t>fift</w:t>
      </w:r>
      <w:r w:rsidR="00821011">
        <w:rPr>
          <w:b/>
        </w:rPr>
        <w:t>h</w:t>
      </w:r>
      <w:r w:rsidR="00A1404B">
        <w:rPr>
          <w:b/>
        </w:rPr>
        <w:t xml:space="preserve"> </w:t>
      </w:r>
      <w:r w:rsidR="00FE7BB7">
        <w:rPr>
          <w:b/>
        </w:rPr>
        <w:t>session</w:t>
      </w:r>
    </w:p>
    <w:p w:rsidR="002D7F05" w:rsidRPr="002D7F05" w:rsidRDefault="00E41E66" w:rsidP="00FE7BB7">
      <w:r>
        <w:t xml:space="preserve">6–23 June </w:t>
      </w:r>
      <w:r w:rsidR="002D7F05">
        <w:t>2017</w:t>
      </w:r>
    </w:p>
    <w:p w:rsidR="00FE7BB7" w:rsidRDefault="00447FCF" w:rsidP="00FE7BB7">
      <w:bookmarkStart w:id="0" w:name="_GoBack"/>
      <w:r>
        <w:t>A</w:t>
      </w:r>
      <w:bookmarkEnd w:id="0"/>
      <w:r>
        <w:t xml:space="preserve">genda item </w:t>
      </w:r>
      <w:proofErr w:type="gramStart"/>
      <w:r>
        <w:t>5</w:t>
      </w:r>
      <w:proofErr w:type="gramEnd"/>
    </w:p>
    <w:p w:rsidR="00FE7BB7" w:rsidRPr="00533C25" w:rsidRDefault="00AA38DA" w:rsidP="00FE7BB7">
      <w:pPr>
        <w:rPr>
          <w:b/>
        </w:rPr>
      </w:pPr>
      <w:r>
        <w:rPr>
          <w:b/>
        </w:rPr>
        <w:t>Human r</w:t>
      </w:r>
      <w:r w:rsidR="00FE7BB7">
        <w:rPr>
          <w:b/>
        </w:rPr>
        <w:t xml:space="preserve">ights </w:t>
      </w:r>
      <w:r w:rsidR="00447FCF">
        <w:rPr>
          <w:b/>
        </w:rPr>
        <w:t>bodies and mechanisms</w:t>
      </w:r>
    </w:p>
    <w:p w:rsidR="00FE7BB7" w:rsidRDefault="00FE7BB7" w:rsidP="00FE7BB7">
      <w:pPr>
        <w:pStyle w:val="H23G"/>
      </w:pPr>
      <w:r>
        <w:tab/>
      </w:r>
      <w:r>
        <w:tab/>
      </w:r>
      <w:r w:rsidR="007362FC">
        <w:t xml:space="preserve">Australia,* Austria,* </w:t>
      </w:r>
      <w:r w:rsidR="00973780">
        <w:t xml:space="preserve">Azerbaijan,* Bosnia and Herzegovina,* </w:t>
      </w:r>
      <w:r w:rsidR="007362FC">
        <w:t xml:space="preserve">Bulgaria,* Chile,* </w:t>
      </w:r>
      <w:r w:rsidR="00973780">
        <w:t xml:space="preserve">Croatia, </w:t>
      </w:r>
      <w:r w:rsidR="007362FC">
        <w:t xml:space="preserve">Cyprus,* Ecuador, Georgia, </w:t>
      </w:r>
      <w:r w:rsidR="00973780">
        <w:t xml:space="preserve">Germany, </w:t>
      </w:r>
      <w:r w:rsidR="007362FC">
        <w:t xml:space="preserve">Haiti,* Honduras,* </w:t>
      </w:r>
      <w:r w:rsidR="00973780">
        <w:t xml:space="preserve">Hungary, </w:t>
      </w:r>
      <w:r w:rsidR="007362FC">
        <w:t>Iceland,* Italy,</w:t>
      </w:r>
      <w:r w:rsidR="007362FC" w:rsidRPr="007362FC">
        <w:rPr>
          <w:rStyle w:val="FootnoteReference"/>
          <w:sz w:val="20"/>
          <w:vertAlign w:val="baseline"/>
        </w:rPr>
        <w:footnoteReference w:customMarkFollows="1" w:id="2"/>
        <w:t>*</w:t>
      </w:r>
      <w:r w:rsidR="007362FC">
        <w:t xml:space="preserve"> Luxembourg,* Maldives,* Mexico,* Montenegro,* Morocco,* </w:t>
      </w:r>
      <w:r w:rsidR="00973780">
        <w:t xml:space="preserve">Netherlands, </w:t>
      </w:r>
      <w:r w:rsidR="007362FC">
        <w:t xml:space="preserve">Panama, Paraguay, Peru,* Philippines, </w:t>
      </w:r>
      <w:r w:rsidR="00973780">
        <w:t xml:space="preserve">Poland,* Portugal, </w:t>
      </w:r>
      <w:r w:rsidR="007362FC">
        <w:t>Republic</w:t>
      </w:r>
      <w:r w:rsidR="00F9725F">
        <w:t> </w:t>
      </w:r>
      <w:r w:rsidR="007362FC">
        <w:t>of</w:t>
      </w:r>
      <w:r w:rsidR="00F9725F">
        <w:t> </w:t>
      </w:r>
      <w:r w:rsidR="007362FC">
        <w:t xml:space="preserve">Korea, Republic of Moldova,* Romania,* Spain,* </w:t>
      </w:r>
      <w:r w:rsidR="00973780">
        <w:t xml:space="preserve">Turkey,* </w:t>
      </w:r>
      <w:r w:rsidR="007362FC">
        <w:t xml:space="preserve">Ukraine,* United States of America, </w:t>
      </w:r>
      <w:r w:rsidR="00F9725F">
        <w:t xml:space="preserve">Uruguay,* </w:t>
      </w:r>
      <w:r w:rsidR="007362FC">
        <w:t>State of Palestine:*</w:t>
      </w:r>
      <w:r>
        <w:t xml:space="preserve"> draft resolution</w:t>
      </w:r>
    </w:p>
    <w:p w:rsidR="00B3422A" w:rsidRPr="007A45D3" w:rsidRDefault="00D22798" w:rsidP="00B3422A">
      <w:pPr>
        <w:pStyle w:val="H1G"/>
        <w:tabs>
          <w:tab w:val="clear" w:pos="851"/>
        </w:tabs>
        <w:ind w:left="1843" w:hanging="709"/>
      </w:pPr>
      <w:r>
        <w:t>3</w:t>
      </w:r>
      <w:r w:rsidR="00E41E66">
        <w:t>5</w:t>
      </w:r>
      <w:r w:rsidR="00B3422A">
        <w:t>/…</w:t>
      </w:r>
      <w:r w:rsidR="00B3422A">
        <w:tab/>
      </w:r>
      <w:r w:rsidR="008106CA" w:rsidRPr="008106CA">
        <w:rPr>
          <w:lang w:val="en-US"/>
        </w:rPr>
        <w:t>Contribution of parliaments to the work of the Human Rights Council and its universal periodic review</w:t>
      </w:r>
    </w:p>
    <w:p w:rsidR="00FE7BB7" w:rsidRPr="00B3422A" w:rsidRDefault="00FE7BB7" w:rsidP="00B3422A">
      <w:pPr>
        <w:pStyle w:val="SingleTxtG"/>
      </w:pPr>
      <w:r w:rsidRPr="00B3422A">
        <w:tab/>
      </w:r>
      <w:r w:rsidRPr="00B3422A">
        <w:rPr>
          <w:i/>
        </w:rPr>
        <w:t>The Human Rights Council</w:t>
      </w:r>
      <w:r w:rsidRPr="00B3422A">
        <w:t>,</w:t>
      </w:r>
    </w:p>
    <w:p w:rsidR="008106CA" w:rsidRPr="008106CA" w:rsidRDefault="008106CA" w:rsidP="008106CA">
      <w:pPr>
        <w:pStyle w:val="SingleTxtG"/>
        <w:rPr>
          <w:lang w:val="en-US"/>
        </w:rPr>
      </w:pPr>
      <w:r>
        <w:rPr>
          <w:lang w:val="en-US"/>
        </w:rPr>
        <w:tab/>
      </w:r>
      <w:r w:rsidRPr="008106CA">
        <w:rPr>
          <w:i/>
          <w:lang w:val="en-US"/>
        </w:rPr>
        <w:t>Guided</w:t>
      </w:r>
      <w:r w:rsidRPr="008106CA">
        <w:rPr>
          <w:lang w:val="en-US"/>
        </w:rPr>
        <w:t xml:space="preserve"> by the purposes and principles of the Charter of the United Nations and all relevant human rights instruments,</w:t>
      </w:r>
    </w:p>
    <w:p w:rsidR="008106CA" w:rsidRPr="008106CA" w:rsidRDefault="008106CA" w:rsidP="008106CA">
      <w:pPr>
        <w:pStyle w:val="SingleTxtG"/>
        <w:rPr>
          <w:lang w:val="en-US"/>
        </w:rPr>
      </w:pPr>
      <w:r>
        <w:rPr>
          <w:lang w:val="en-US"/>
        </w:rPr>
        <w:tab/>
      </w:r>
      <w:r w:rsidRPr="008106CA">
        <w:rPr>
          <w:i/>
          <w:lang w:val="en-US"/>
        </w:rPr>
        <w:t>Acknowledging</w:t>
      </w:r>
      <w:r w:rsidRPr="008106CA">
        <w:rPr>
          <w:lang w:val="en-US"/>
        </w:rPr>
        <w:t xml:space="preserve"> the crucial role that parliaments play in, inter alia, translating international commitments into national policies and laws,</w:t>
      </w:r>
      <w:r w:rsidRPr="008106CA">
        <w:rPr>
          <w:b/>
          <w:lang w:val="en-US"/>
        </w:rPr>
        <w:t xml:space="preserve"> </w:t>
      </w:r>
      <w:r w:rsidRPr="008106CA">
        <w:rPr>
          <w:lang w:val="en-US"/>
        </w:rPr>
        <w:t xml:space="preserve">including by supporting the implementation of recommendations generated by the international human rights mechanisms, especially the recommendations supported by the State concerned in the framework of the </w:t>
      </w:r>
      <w:r w:rsidR="00F9725F">
        <w:rPr>
          <w:lang w:val="en-US"/>
        </w:rPr>
        <w:t>u</w:t>
      </w:r>
      <w:r w:rsidRPr="008106CA">
        <w:rPr>
          <w:lang w:val="en-US"/>
        </w:rPr>
        <w:t xml:space="preserve">niversal </w:t>
      </w:r>
      <w:r w:rsidR="00F9725F">
        <w:rPr>
          <w:lang w:val="en-US"/>
        </w:rPr>
        <w:t>p</w:t>
      </w:r>
      <w:r w:rsidRPr="008106CA">
        <w:rPr>
          <w:lang w:val="en-US"/>
        </w:rPr>
        <w:t xml:space="preserve">eriodic </w:t>
      </w:r>
      <w:r w:rsidR="00F9725F">
        <w:rPr>
          <w:lang w:val="en-US"/>
        </w:rPr>
        <w:t>r</w:t>
      </w:r>
      <w:r w:rsidRPr="008106CA">
        <w:rPr>
          <w:lang w:val="en-US"/>
        </w:rPr>
        <w:t>eview, as appropriate, and hence their contribution to the fulfilment by each State Member of the United Nations of its human rights obligations and commitments and to the strengthening of the rule of law,</w:t>
      </w:r>
    </w:p>
    <w:p w:rsidR="008106CA" w:rsidRPr="008106CA" w:rsidRDefault="008106CA" w:rsidP="008106CA">
      <w:pPr>
        <w:pStyle w:val="SingleTxtG"/>
        <w:rPr>
          <w:lang w:val="en-US"/>
        </w:rPr>
      </w:pPr>
      <w:r>
        <w:rPr>
          <w:lang w:val="en-US"/>
        </w:rPr>
        <w:tab/>
      </w:r>
      <w:r w:rsidRPr="008106CA">
        <w:rPr>
          <w:i/>
          <w:lang w:val="en-US"/>
        </w:rPr>
        <w:t>Taking note</w:t>
      </w:r>
      <w:r w:rsidRPr="008106CA">
        <w:rPr>
          <w:lang w:val="en-US"/>
        </w:rPr>
        <w:t xml:space="preserve"> of the successive resolutions adopted by the General Assembly since 2010, in particular its resolutions 65/123 of 13 December 2010, in which the Assembly recognized the importance of continued parliamentary support for the work of the Human Rights Council, and 66/261 of 29 May 2012, in which it encouraged the Inter-Parliamentary Union, as the world organization of national parliaments, to strengthen its contribution to the Council, particularly with regard to the universal periodic review, as well as resolution 68/272 of 19 May 2014, in which the Assembly welcomed the contribution of the </w:t>
      </w:r>
      <w:r w:rsidR="00E35D79" w:rsidRPr="008106CA">
        <w:rPr>
          <w:lang w:val="en-US"/>
        </w:rPr>
        <w:t>Inter-Parliamentary Union</w:t>
      </w:r>
      <w:r>
        <w:rPr>
          <w:lang w:val="en-US"/>
        </w:rPr>
        <w:t xml:space="preserve"> to the work of the Council,</w:t>
      </w:r>
    </w:p>
    <w:p w:rsidR="008106CA" w:rsidRPr="008106CA" w:rsidRDefault="008106CA" w:rsidP="008106CA">
      <w:pPr>
        <w:pStyle w:val="SingleTxtG"/>
        <w:rPr>
          <w:lang w:val="en-US"/>
        </w:rPr>
      </w:pPr>
      <w:r>
        <w:rPr>
          <w:lang w:val="en-US"/>
        </w:rPr>
        <w:lastRenderedPageBreak/>
        <w:tab/>
      </w:r>
      <w:r w:rsidRPr="008106CA">
        <w:rPr>
          <w:i/>
          <w:lang w:val="en-US"/>
        </w:rPr>
        <w:t>Recalling</w:t>
      </w:r>
      <w:r w:rsidRPr="008106CA">
        <w:rPr>
          <w:lang w:val="en-US"/>
        </w:rPr>
        <w:t xml:space="preserve"> its resolutions 22/15 of 21 March 2013, 26/29 of 27 June 2014 and 30/14 </w:t>
      </w:r>
      <w:r w:rsidR="00F6382D">
        <w:rPr>
          <w:lang w:val="en-US"/>
        </w:rPr>
        <w:t>of 1 </w:t>
      </w:r>
      <w:r w:rsidRPr="008106CA">
        <w:rPr>
          <w:lang w:val="en-US"/>
        </w:rPr>
        <w:t>October 2015</w:t>
      </w:r>
      <w:r w:rsidR="00F6382D">
        <w:rPr>
          <w:lang w:val="en-US"/>
        </w:rPr>
        <w:t>,</w:t>
      </w:r>
      <w:r w:rsidRPr="008106CA">
        <w:rPr>
          <w:lang w:val="en-US"/>
        </w:rPr>
        <w:t xml:space="preserve"> on the contribution of parliaments to the work of the Human Rights Council and</w:t>
      </w:r>
      <w:r>
        <w:rPr>
          <w:lang w:val="en-US"/>
        </w:rPr>
        <w:t xml:space="preserve"> its universal periodic review,</w:t>
      </w:r>
    </w:p>
    <w:p w:rsidR="008106CA" w:rsidRPr="008106CA" w:rsidRDefault="008106CA" w:rsidP="008106CA">
      <w:pPr>
        <w:pStyle w:val="SingleTxtG"/>
        <w:rPr>
          <w:i/>
          <w:lang w:val="en-US"/>
        </w:rPr>
      </w:pPr>
      <w:r>
        <w:rPr>
          <w:lang w:val="en-US"/>
        </w:rPr>
        <w:tab/>
      </w:r>
      <w:r w:rsidRPr="008106CA">
        <w:rPr>
          <w:i/>
          <w:lang w:val="en-US"/>
        </w:rPr>
        <w:t>Taking note with appreciation</w:t>
      </w:r>
      <w:r w:rsidRPr="008106CA">
        <w:rPr>
          <w:lang w:val="en-US"/>
        </w:rPr>
        <w:t xml:space="preserve"> </w:t>
      </w:r>
      <w:r w:rsidR="00F6382D">
        <w:rPr>
          <w:lang w:val="en-US"/>
        </w:rPr>
        <w:t xml:space="preserve">of </w:t>
      </w:r>
      <w:r w:rsidRPr="008106CA">
        <w:rPr>
          <w:lang w:val="en-US"/>
        </w:rPr>
        <w:t>the summary report of the United Nations High Commissioner for Human Rights on the panel discussion on taking stock of the contribution of parliaments to the work of the Human Rights Council and its universal periodic review and identifying ways to enhance further that contribution, held on 22 June 2016,</w:t>
      </w:r>
    </w:p>
    <w:p w:rsidR="008106CA" w:rsidRPr="008106CA" w:rsidRDefault="008106CA" w:rsidP="008106CA">
      <w:pPr>
        <w:pStyle w:val="SingleTxtG"/>
      </w:pPr>
      <w:r>
        <w:rPr>
          <w:lang w:val="en-US"/>
        </w:rPr>
        <w:tab/>
      </w:r>
      <w:r w:rsidRPr="008106CA">
        <w:rPr>
          <w:i/>
          <w:lang w:val="en-US"/>
        </w:rPr>
        <w:t>Considering</w:t>
      </w:r>
      <w:r w:rsidRPr="008106CA">
        <w:rPr>
          <w:lang w:val="en-US"/>
        </w:rPr>
        <w:t xml:space="preserve"> the continued efforts by the </w:t>
      </w:r>
      <w:r w:rsidR="00AD59A0" w:rsidRPr="008106CA">
        <w:rPr>
          <w:lang w:val="en-US"/>
        </w:rPr>
        <w:t xml:space="preserve">Inter-Parliamentary Union </w:t>
      </w:r>
      <w:r w:rsidRPr="008106CA">
        <w:rPr>
          <w:lang w:val="en-US"/>
        </w:rPr>
        <w:t xml:space="preserve">to enhance parliamentary engagement in the work of the Human Rights Council, including its activities with parliaments of countries that are reviewed under the </w:t>
      </w:r>
      <w:r w:rsidR="00F9725F">
        <w:rPr>
          <w:lang w:val="en-US"/>
        </w:rPr>
        <w:t>universal periodic review</w:t>
      </w:r>
      <w:r w:rsidRPr="008106CA">
        <w:rPr>
          <w:lang w:val="en-US"/>
        </w:rPr>
        <w:t xml:space="preserve">, as well as the collaboration established since 2008 between the </w:t>
      </w:r>
      <w:r w:rsidR="00E35D79" w:rsidRPr="00E35D79">
        <w:rPr>
          <w:lang w:val="en-US"/>
        </w:rPr>
        <w:t xml:space="preserve"> </w:t>
      </w:r>
      <w:r w:rsidR="00E35D79" w:rsidRPr="008106CA">
        <w:rPr>
          <w:lang w:val="en-US"/>
        </w:rPr>
        <w:t>Inter-Parliamentary Union</w:t>
      </w:r>
      <w:r w:rsidRPr="008106CA">
        <w:rPr>
          <w:lang w:val="en-US"/>
        </w:rPr>
        <w:t xml:space="preserve"> and</w:t>
      </w:r>
      <w:r w:rsidR="005664FA">
        <w:rPr>
          <w:lang w:val="en-US"/>
        </w:rPr>
        <w:t xml:space="preserve"> the</w:t>
      </w:r>
      <w:r w:rsidRPr="008106CA">
        <w:rPr>
          <w:lang w:val="en-US"/>
        </w:rPr>
        <w:t xml:space="preserve"> </w:t>
      </w:r>
      <w:r w:rsidR="005664FA" w:rsidRPr="005664FA">
        <w:rPr>
          <w:lang w:val="en-US"/>
        </w:rPr>
        <w:t>Committee on the Elimination of Discrimination against Women</w:t>
      </w:r>
      <w:r w:rsidRPr="008106CA">
        <w:rPr>
          <w:lang w:val="en-US"/>
        </w:rPr>
        <w:t xml:space="preserve"> by, inter alia, making reference to the role of parliaments in </w:t>
      </w:r>
      <w:r w:rsidR="005664FA">
        <w:rPr>
          <w:lang w:val="en-US"/>
        </w:rPr>
        <w:t xml:space="preserve">the </w:t>
      </w:r>
      <w:r w:rsidRPr="008106CA">
        <w:rPr>
          <w:lang w:val="en-US"/>
        </w:rPr>
        <w:t xml:space="preserve">concluding observations </w:t>
      </w:r>
      <w:r w:rsidR="00AD59A0">
        <w:rPr>
          <w:lang w:val="en-US"/>
        </w:rPr>
        <w:t xml:space="preserve">of the Committee </w:t>
      </w:r>
      <w:r w:rsidRPr="008106CA">
        <w:rPr>
          <w:lang w:val="en-US"/>
        </w:rPr>
        <w:t>to State</w:t>
      </w:r>
      <w:r w:rsidR="005664FA">
        <w:rPr>
          <w:lang w:val="en-US"/>
        </w:rPr>
        <w:t>s</w:t>
      </w:r>
      <w:r w:rsidRPr="008106CA">
        <w:rPr>
          <w:lang w:val="en-US"/>
        </w:rPr>
        <w:t xml:space="preserve"> parties,</w:t>
      </w:r>
    </w:p>
    <w:p w:rsidR="008106CA" w:rsidRPr="008106CA" w:rsidRDefault="008106CA" w:rsidP="008106CA">
      <w:pPr>
        <w:pStyle w:val="SingleTxtG"/>
        <w:rPr>
          <w:lang w:val="en-US"/>
        </w:rPr>
      </w:pPr>
      <w:r>
        <w:rPr>
          <w:lang w:val="en-US"/>
        </w:rPr>
        <w:tab/>
      </w:r>
      <w:r w:rsidRPr="008106CA">
        <w:rPr>
          <w:i/>
          <w:lang w:val="en-US"/>
        </w:rPr>
        <w:t>Noting with interest</w:t>
      </w:r>
      <w:r w:rsidRPr="008106CA">
        <w:rPr>
          <w:lang w:val="en-US"/>
        </w:rPr>
        <w:t xml:space="preserve"> the recent publication by the</w:t>
      </w:r>
      <w:r w:rsidR="00E35D79" w:rsidRPr="00E35D79">
        <w:rPr>
          <w:lang w:val="en-US"/>
        </w:rPr>
        <w:t xml:space="preserve"> </w:t>
      </w:r>
      <w:r w:rsidR="00E35D79">
        <w:rPr>
          <w:lang w:val="en-US"/>
        </w:rPr>
        <w:t>Inter-Parliamentary U</w:t>
      </w:r>
      <w:r w:rsidR="00AD59A0">
        <w:rPr>
          <w:lang w:val="en-US"/>
        </w:rPr>
        <w:t>nion</w:t>
      </w:r>
      <w:r w:rsidRPr="008106CA">
        <w:rPr>
          <w:lang w:val="en-US"/>
        </w:rPr>
        <w:t xml:space="preserve">, together with the Office of the </w:t>
      </w:r>
      <w:r w:rsidR="00A722E1">
        <w:rPr>
          <w:lang w:val="en-US"/>
        </w:rPr>
        <w:t xml:space="preserve">United Nations </w:t>
      </w:r>
      <w:r w:rsidRPr="008106CA">
        <w:rPr>
          <w:lang w:val="en-US"/>
        </w:rPr>
        <w:t xml:space="preserve">High Commissioner for Human Rights, of </w:t>
      </w:r>
      <w:r w:rsidRPr="009270F8">
        <w:rPr>
          <w:i/>
          <w:lang w:val="en-US"/>
        </w:rPr>
        <w:t>Human Rights Handbook for Parliamentarians N</w:t>
      </w:r>
      <w:r w:rsidR="00A722E1" w:rsidRPr="009270F8">
        <w:rPr>
          <w:i/>
          <w:lang w:val="en-US"/>
        </w:rPr>
        <w:t xml:space="preserve">o. </w:t>
      </w:r>
      <w:r w:rsidRPr="009270F8">
        <w:rPr>
          <w:i/>
          <w:lang w:val="en-US"/>
        </w:rPr>
        <w:t>26</w:t>
      </w:r>
      <w:r w:rsidR="00A722E1">
        <w:rPr>
          <w:lang w:val="en-US"/>
        </w:rPr>
        <w:t>,</w:t>
      </w:r>
      <w:r w:rsidRPr="008106CA">
        <w:rPr>
          <w:lang w:val="en-US"/>
        </w:rPr>
        <w:t xml:space="preserve"> to assist </w:t>
      </w:r>
      <w:r w:rsidR="00A722E1">
        <w:rPr>
          <w:lang w:val="en-US"/>
        </w:rPr>
        <w:t>parliamentarians</w:t>
      </w:r>
      <w:r w:rsidR="00A722E1" w:rsidRPr="008106CA">
        <w:rPr>
          <w:lang w:val="en-US"/>
        </w:rPr>
        <w:t xml:space="preserve"> </w:t>
      </w:r>
      <w:r w:rsidRPr="008106CA">
        <w:rPr>
          <w:lang w:val="en-US"/>
        </w:rPr>
        <w:t>in fulfilling their responsibilities to pro</w:t>
      </w:r>
      <w:r>
        <w:rPr>
          <w:lang w:val="en-US"/>
        </w:rPr>
        <w:t>mote and protect human rights,</w:t>
      </w:r>
    </w:p>
    <w:p w:rsidR="008106CA" w:rsidRPr="008106CA" w:rsidRDefault="008106CA" w:rsidP="008106CA">
      <w:pPr>
        <w:pStyle w:val="SingleTxtG"/>
        <w:rPr>
          <w:lang w:val="en-US"/>
        </w:rPr>
      </w:pPr>
      <w:r>
        <w:rPr>
          <w:lang w:val="en-US"/>
        </w:rPr>
        <w:tab/>
      </w:r>
      <w:r w:rsidRPr="008106CA">
        <w:rPr>
          <w:i/>
          <w:lang w:val="en-US"/>
        </w:rPr>
        <w:t>Considering</w:t>
      </w:r>
      <w:r w:rsidRPr="008106CA">
        <w:rPr>
          <w:lang w:val="en-US"/>
        </w:rPr>
        <w:t xml:space="preserve"> that the Human Rights Council and parliaments stand to gain considerably from continuing </w:t>
      </w:r>
      <w:r w:rsidR="00072B9A">
        <w:rPr>
          <w:lang w:val="en-US"/>
        </w:rPr>
        <w:t xml:space="preserve">to </w:t>
      </w:r>
      <w:r w:rsidRPr="008106CA">
        <w:rPr>
          <w:lang w:val="en-US"/>
        </w:rPr>
        <w:t>explor</w:t>
      </w:r>
      <w:r w:rsidR="00072B9A">
        <w:rPr>
          <w:lang w:val="en-US"/>
        </w:rPr>
        <w:t>e</w:t>
      </w:r>
      <w:r w:rsidRPr="008106CA">
        <w:rPr>
          <w:lang w:val="en-US"/>
        </w:rPr>
        <w:t xml:space="preserve"> possible synergies to ensure that the universal periodic review has the greates</w:t>
      </w:r>
      <w:r>
        <w:rPr>
          <w:lang w:val="en-US"/>
        </w:rPr>
        <w:t>t impact at the national level,</w:t>
      </w:r>
    </w:p>
    <w:p w:rsidR="008106CA" w:rsidRPr="008106CA" w:rsidRDefault="008106CA" w:rsidP="008106CA">
      <w:pPr>
        <w:pStyle w:val="SingleTxtG"/>
      </w:pPr>
      <w:r>
        <w:tab/>
        <w:t>1.</w:t>
      </w:r>
      <w:r>
        <w:tab/>
      </w:r>
      <w:r w:rsidRPr="008106CA">
        <w:rPr>
          <w:i/>
        </w:rPr>
        <w:t>Encourages</w:t>
      </w:r>
      <w:r w:rsidRPr="008106CA">
        <w:t xml:space="preserve"> States, in accordance with their national legal framework, to promote the involvement of parliaments in all stages of the universal periodic review reporting process, inter</w:t>
      </w:r>
      <w:r w:rsidR="00E96BA3">
        <w:t xml:space="preserve"> </w:t>
      </w:r>
      <w:r w:rsidRPr="008106CA">
        <w:t xml:space="preserve">alia through the inclusion of the national parliament as a relevant stakeholder in the consultation process </w:t>
      </w:r>
      <w:r w:rsidR="009F2A2E">
        <w:t>for</w:t>
      </w:r>
      <w:r w:rsidRPr="008106CA">
        <w:t xml:space="preserve"> the national report and in the implementation of supported recommendations by the State concerned, and to report on such involvement in their national report and voluntary mid-term reports or during the interactive dialogue session of</w:t>
      </w:r>
      <w:r>
        <w:t xml:space="preserve"> the universal periodic review;</w:t>
      </w:r>
    </w:p>
    <w:p w:rsidR="008106CA" w:rsidRPr="008106CA" w:rsidRDefault="008106CA" w:rsidP="008106CA">
      <w:pPr>
        <w:pStyle w:val="SingleTxtG"/>
      </w:pPr>
      <w:r>
        <w:tab/>
        <w:t>2.</w:t>
      </w:r>
      <w:r>
        <w:tab/>
      </w:r>
      <w:r w:rsidRPr="008106CA">
        <w:rPr>
          <w:i/>
        </w:rPr>
        <w:t>Welcomes</w:t>
      </w:r>
      <w:r w:rsidRPr="008106CA">
        <w:t xml:space="preserve"> the growing practice by States under review of including parliamentarians in their national delegations to the universal periodic review, and encourages States, as appropriate, to continue this </w:t>
      </w:r>
      <w:r>
        <w:t>practice;</w:t>
      </w:r>
    </w:p>
    <w:p w:rsidR="008106CA" w:rsidRPr="008106CA" w:rsidRDefault="008106CA" w:rsidP="008106CA">
      <w:pPr>
        <w:pStyle w:val="SingleTxtG"/>
      </w:pPr>
      <w:r>
        <w:tab/>
        <w:t>3.</w:t>
      </w:r>
      <w:r>
        <w:tab/>
      </w:r>
      <w:r w:rsidRPr="008106CA">
        <w:rPr>
          <w:i/>
        </w:rPr>
        <w:t>Invites</w:t>
      </w:r>
      <w:r w:rsidRPr="008106CA">
        <w:t xml:space="preserve"> the High Commissioner to provide the Human Rights Council with regular updates on the </w:t>
      </w:r>
      <w:r>
        <w:t xml:space="preserve">parliamentary capacity-building </w:t>
      </w:r>
      <w:r w:rsidRPr="008106CA">
        <w:t>and awareness</w:t>
      </w:r>
      <w:r w:rsidR="004E1214">
        <w:t>-</w:t>
      </w:r>
      <w:r w:rsidRPr="008106CA">
        <w:t xml:space="preserve">raising </w:t>
      </w:r>
      <w:r w:rsidRPr="008106CA">
        <w:rPr>
          <w:bCs/>
        </w:rPr>
        <w:t>activities</w:t>
      </w:r>
      <w:r>
        <w:rPr>
          <w:bCs/>
        </w:rPr>
        <w:t xml:space="preserve"> </w:t>
      </w:r>
      <w:r w:rsidRPr="008106CA">
        <w:rPr>
          <w:bCs/>
        </w:rPr>
        <w:t xml:space="preserve">carried out by the </w:t>
      </w:r>
      <w:r w:rsidRPr="008106CA">
        <w:rPr>
          <w:lang w:val="en-US"/>
        </w:rPr>
        <w:t xml:space="preserve">Office of the High Commissioner for Human Rights </w:t>
      </w:r>
      <w:r w:rsidRPr="008106CA">
        <w:rPr>
          <w:bCs/>
        </w:rPr>
        <w:t>in cooperation and</w:t>
      </w:r>
      <w:r>
        <w:rPr>
          <w:bCs/>
        </w:rPr>
        <w:t xml:space="preserve"> </w:t>
      </w:r>
      <w:r w:rsidRPr="008106CA">
        <w:rPr>
          <w:bCs/>
        </w:rPr>
        <w:t xml:space="preserve">coordination with </w:t>
      </w:r>
      <w:r>
        <w:t xml:space="preserve">the </w:t>
      </w:r>
      <w:r w:rsidRPr="008106CA">
        <w:t>Inter-Parliamentary Union, as well as on related</w:t>
      </w:r>
      <w:r>
        <w:t xml:space="preserve"> </w:t>
      </w:r>
      <w:r w:rsidRPr="008106CA">
        <w:t>activities with regard to the work of the Council and its universal periodic review;</w:t>
      </w:r>
    </w:p>
    <w:p w:rsidR="008106CA" w:rsidRPr="008106CA" w:rsidRDefault="008106CA" w:rsidP="008106CA">
      <w:pPr>
        <w:pStyle w:val="SingleTxtG"/>
      </w:pPr>
      <w:r>
        <w:tab/>
        <w:t>4.</w:t>
      </w:r>
      <w:r>
        <w:tab/>
      </w:r>
      <w:r w:rsidRPr="008106CA">
        <w:rPr>
          <w:i/>
        </w:rPr>
        <w:t>Encourages</w:t>
      </w:r>
      <w:r w:rsidRPr="008106CA">
        <w:t xml:space="preserve"> all relevant stakeholders to promote and enhance cooperation between their national parliaments and national human rights institutions and civil society in the promotion and protection of all human rights and fundamental freedoms;</w:t>
      </w:r>
    </w:p>
    <w:p w:rsidR="008106CA" w:rsidRPr="008106CA" w:rsidRDefault="008106CA" w:rsidP="008106CA">
      <w:pPr>
        <w:pStyle w:val="SingleTxtG"/>
        <w:rPr>
          <w:lang w:val="en-US"/>
        </w:rPr>
      </w:pPr>
      <w:r>
        <w:rPr>
          <w:i/>
          <w:lang w:val="en-US"/>
        </w:rPr>
        <w:tab/>
      </w:r>
      <w:r w:rsidRPr="008106CA">
        <w:rPr>
          <w:lang w:val="en-US"/>
        </w:rPr>
        <w:t>5.</w:t>
      </w:r>
      <w:r>
        <w:rPr>
          <w:i/>
          <w:lang w:val="en-US"/>
        </w:rPr>
        <w:tab/>
      </w:r>
      <w:r w:rsidRPr="008106CA">
        <w:rPr>
          <w:i/>
          <w:lang w:val="en-US"/>
        </w:rPr>
        <w:t xml:space="preserve">Requests </w:t>
      </w:r>
      <w:r w:rsidRPr="008106CA">
        <w:rPr>
          <w:lang w:val="en-US"/>
        </w:rPr>
        <w:t xml:space="preserve">the Office of the High Commissioner for Human Rights to prepare a study, in close cooperation with the Inter-Parliamentary Union, </w:t>
      </w:r>
      <w:r w:rsidR="004E1214">
        <w:rPr>
          <w:lang w:val="en-US"/>
        </w:rPr>
        <w:t xml:space="preserve">and </w:t>
      </w:r>
      <w:r w:rsidRPr="008106CA">
        <w:rPr>
          <w:lang w:val="en-US"/>
        </w:rPr>
        <w:t>in consultation with States, United</w:t>
      </w:r>
      <w:r w:rsidR="004E1214">
        <w:rPr>
          <w:lang w:val="en-US"/>
        </w:rPr>
        <w:t> </w:t>
      </w:r>
      <w:r w:rsidRPr="008106CA">
        <w:rPr>
          <w:lang w:val="en-US"/>
        </w:rPr>
        <w:t xml:space="preserve">Nations agencies and other relevant stakeholders, on how to promote and enhance synergies between the parliaments and the work of the Human Rights Council and its </w:t>
      </w:r>
      <w:r w:rsidR="004E1214">
        <w:rPr>
          <w:lang w:val="en-US"/>
        </w:rPr>
        <w:t>u</w:t>
      </w:r>
      <w:r w:rsidRPr="008106CA">
        <w:rPr>
          <w:lang w:val="en-US"/>
        </w:rPr>
        <w:t xml:space="preserve">niversal </w:t>
      </w:r>
      <w:r w:rsidR="004E1214">
        <w:rPr>
          <w:lang w:val="en-US"/>
        </w:rPr>
        <w:t>p</w:t>
      </w:r>
      <w:r w:rsidRPr="008106CA">
        <w:rPr>
          <w:lang w:val="en-US"/>
        </w:rPr>
        <w:t xml:space="preserve">eriodic </w:t>
      </w:r>
      <w:r w:rsidR="004E1214">
        <w:rPr>
          <w:lang w:val="en-US"/>
        </w:rPr>
        <w:t>r</w:t>
      </w:r>
      <w:r w:rsidRPr="008106CA">
        <w:rPr>
          <w:lang w:val="en-US"/>
        </w:rPr>
        <w:t>eview</w:t>
      </w:r>
      <w:r w:rsidR="004E1214">
        <w:rPr>
          <w:lang w:val="en-US"/>
        </w:rPr>
        <w:t>,</w:t>
      </w:r>
      <w:r w:rsidRPr="008106CA">
        <w:rPr>
          <w:lang w:val="en-US"/>
        </w:rPr>
        <w:t xml:space="preserve"> and </w:t>
      </w:r>
      <w:r w:rsidR="004E1214">
        <w:rPr>
          <w:lang w:val="en-US"/>
        </w:rPr>
        <w:t xml:space="preserve">to </w:t>
      </w:r>
      <w:r w:rsidRPr="008106CA">
        <w:rPr>
          <w:lang w:val="en-US"/>
        </w:rPr>
        <w:t>present it to the Human Rights Council at its thirty</w:t>
      </w:r>
      <w:r w:rsidR="004E1214">
        <w:rPr>
          <w:lang w:val="en-US"/>
        </w:rPr>
        <w:t>-</w:t>
      </w:r>
      <w:r w:rsidRPr="008106CA">
        <w:rPr>
          <w:lang w:val="en-US"/>
        </w:rPr>
        <w:t>eight</w:t>
      </w:r>
      <w:r w:rsidR="00AD59A0">
        <w:rPr>
          <w:lang w:val="en-US"/>
        </w:rPr>
        <w:t>h</w:t>
      </w:r>
      <w:r w:rsidRPr="008106CA">
        <w:rPr>
          <w:lang w:val="en-US"/>
        </w:rPr>
        <w:t xml:space="preserve"> session, in order to provide States and other </w:t>
      </w:r>
      <w:r w:rsidRPr="009F2A2E">
        <w:rPr>
          <w:lang w:val="en-US"/>
        </w:rPr>
        <w:t xml:space="preserve">relevant stakeholders </w:t>
      </w:r>
      <w:r w:rsidR="004E1214" w:rsidRPr="009F2A2E">
        <w:rPr>
          <w:lang w:val="en-US"/>
        </w:rPr>
        <w:t xml:space="preserve">with </w:t>
      </w:r>
      <w:r w:rsidRPr="009F2A2E">
        <w:rPr>
          <w:lang w:val="en-US"/>
        </w:rPr>
        <w:t xml:space="preserve">elements </w:t>
      </w:r>
      <w:r w:rsidRPr="009F2A2E">
        <w:t>that could serve as orientation to strengthen their interaction towards the effective promotion</w:t>
      </w:r>
      <w:r w:rsidRPr="008106CA">
        <w:t xml:space="preserve"> and protection of</w:t>
      </w:r>
      <w:r w:rsidRPr="008106CA">
        <w:rPr>
          <w:lang w:val="en-US"/>
        </w:rPr>
        <w:t xml:space="preserve"> human rights;</w:t>
      </w:r>
    </w:p>
    <w:p w:rsidR="008106CA" w:rsidRPr="008106CA" w:rsidRDefault="008106CA" w:rsidP="008106CA">
      <w:pPr>
        <w:pStyle w:val="SingleTxtG"/>
        <w:rPr>
          <w:lang w:val="en-US"/>
        </w:rPr>
      </w:pPr>
      <w:r>
        <w:rPr>
          <w:i/>
          <w:lang w:val="en-US"/>
        </w:rPr>
        <w:lastRenderedPageBreak/>
        <w:tab/>
      </w:r>
      <w:r>
        <w:rPr>
          <w:lang w:val="en-US"/>
        </w:rPr>
        <w:t>6.</w:t>
      </w:r>
      <w:r>
        <w:rPr>
          <w:lang w:val="en-US"/>
        </w:rPr>
        <w:tab/>
      </w:r>
      <w:proofErr w:type="gramStart"/>
      <w:r w:rsidRPr="008106CA">
        <w:rPr>
          <w:i/>
          <w:lang w:val="en-US"/>
        </w:rPr>
        <w:t>Encourages</w:t>
      </w:r>
      <w:proofErr w:type="gramEnd"/>
      <w:r w:rsidRPr="008106CA">
        <w:rPr>
          <w:lang w:val="en-US"/>
        </w:rPr>
        <w:t xml:space="preserve"> all relevant human rights mechanisms to consider the present resolution, within the framework of their respective mandates;</w:t>
      </w:r>
    </w:p>
    <w:p w:rsidR="008106CA" w:rsidRPr="008106CA" w:rsidRDefault="008106CA" w:rsidP="008106CA">
      <w:pPr>
        <w:pStyle w:val="SingleTxtG"/>
        <w:rPr>
          <w:lang w:val="en-US"/>
        </w:rPr>
      </w:pPr>
      <w:r>
        <w:rPr>
          <w:lang w:val="en-US"/>
        </w:rPr>
        <w:tab/>
        <w:t>7.</w:t>
      </w:r>
      <w:r>
        <w:rPr>
          <w:lang w:val="en-US"/>
        </w:rPr>
        <w:tab/>
      </w:r>
      <w:r w:rsidRPr="008106CA">
        <w:rPr>
          <w:i/>
          <w:lang w:val="en-US"/>
        </w:rPr>
        <w:t>Decides</w:t>
      </w:r>
      <w:r w:rsidRPr="008106CA">
        <w:rPr>
          <w:lang w:val="en-US"/>
        </w:rPr>
        <w:t xml:space="preserve"> to continue consideration of this issue under the same agenda item.</w:t>
      </w:r>
    </w:p>
    <w:p w:rsidR="00FE7BB7" w:rsidRPr="001703D1" w:rsidRDefault="001703D1" w:rsidP="001703D1">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1703D1" w:rsidSect="00F2789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D4" w:rsidRDefault="00AF3FD4"/>
  </w:endnote>
  <w:endnote w:type="continuationSeparator" w:id="0">
    <w:p w:rsidR="00AF3FD4" w:rsidRDefault="00AF3FD4"/>
  </w:endnote>
  <w:endnote w:type="continuationNotice" w:id="1">
    <w:p w:rsidR="00AF3FD4" w:rsidRDefault="00AF3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F" w:rsidRPr="001D18FE" w:rsidRDefault="00447FCF"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710D3C">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F" w:rsidRPr="001D18FE" w:rsidRDefault="00447FCF"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710D3C">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3C" w:rsidRDefault="00710D3C" w:rsidP="00710D3C">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459DB8B3" wp14:editId="4EC38C22">
          <wp:simplePos x="0" y="0"/>
          <wp:positionH relativeFrom="margin">
            <wp:posOffset>5241290</wp:posOffset>
          </wp:positionH>
          <wp:positionV relativeFrom="margin">
            <wp:posOffset>8109585</wp:posOffset>
          </wp:positionV>
          <wp:extent cx="638175" cy="638175"/>
          <wp:effectExtent l="0" t="0" r="9525" b="9525"/>
          <wp:wrapNone/>
          <wp:docPr id="2" name="Picture 1" descr="https://undocs.org/m2/QRCode.ashx?DS=A/HRC/35/L.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2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44E97B1E" wp14:editId="4C2514D9">
          <wp:simplePos x="0" y="0"/>
          <wp:positionH relativeFrom="margin">
            <wp:posOffset>4242435</wp:posOffset>
          </wp:positionH>
          <wp:positionV relativeFrom="margin">
            <wp:posOffset>8353425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D3C" w:rsidRDefault="00710D3C" w:rsidP="00710D3C">
    <w:pPr>
      <w:pStyle w:val="Footer"/>
      <w:ind w:right="1134"/>
      <w:rPr>
        <w:sz w:val="20"/>
      </w:rPr>
    </w:pPr>
    <w:r>
      <w:rPr>
        <w:sz w:val="20"/>
      </w:rPr>
      <w:t>GE.17-10093(E)</w:t>
    </w:r>
  </w:p>
  <w:p w:rsidR="00710D3C" w:rsidRPr="00710D3C" w:rsidRDefault="00710D3C" w:rsidP="00710D3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D4" w:rsidRPr="000B175B" w:rsidRDefault="00AF3FD4" w:rsidP="000B175B">
      <w:pPr>
        <w:tabs>
          <w:tab w:val="right" w:pos="2155"/>
        </w:tabs>
        <w:spacing w:after="80"/>
        <w:ind w:left="680"/>
        <w:rPr>
          <w:u w:val="single"/>
        </w:rPr>
      </w:pPr>
      <w:r>
        <w:rPr>
          <w:u w:val="single"/>
        </w:rPr>
        <w:tab/>
      </w:r>
    </w:p>
  </w:footnote>
  <w:footnote w:type="continuationSeparator" w:id="0">
    <w:p w:rsidR="00AF3FD4" w:rsidRPr="00FC68B7" w:rsidRDefault="00AF3FD4" w:rsidP="00FC68B7">
      <w:pPr>
        <w:tabs>
          <w:tab w:val="left" w:pos="2155"/>
        </w:tabs>
        <w:spacing w:after="80"/>
        <w:ind w:left="680"/>
        <w:rPr>
          <w:u w:val="single"/>
        </w:rPr>
      </w:pPr>
      <w:r>
        <w:rPr>
          <w:u w:val="single"/>
        </w:rPr>
        <w:tab/>
      </w:r>
    </w:p>
  </w:footnote>
  <w:footnote w:type="continuationNotice" w:id="1">
    <w:p w:rsidR="00AF3FD4" w:rsidRDefault="00AF3FD4"/>
  </w:footnote>
  <w:footnote w:id="2">
    <w:p w:rsidR="007362FC" w:rsidRPr="007362FC" w:rsidRDefault="007362FC">
      <w:pPr>
        <w:pStyle w:val="FootnoteText"/>
      </w:pPr>
      <w:r w:rsidRPr="00AD59A0">
        <w:rPr>
          <w:rStyle w:val="FootnoteReference"/>
          <w:szCs w:val="18"/>
        </w:rPr>
        <w:tab/>
      </w:r>
      <w:r w:rsidRPr="009270F8">
        <w:rPr>
          <w:rStyle w:val="FootnoteReference"/>
          <w:szCs w:val="18"/>
          <w:vertAlign w:val="baseline"/>
        </w:rPr>
        <w:t>*</w:t>
      </w:r>
      <w:r w:rsidRPr="009270F8">
        <w:rPr>
          <w:rStyle w:val="FootnoteReference"/>
          <w:szCs w:val="18"/>
          <w:vertAlign w:val="baseline"/>
        </w:rPr>
        <w:tab/>
      </w:r>
      <w:r>
        <w:t>State not a member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F" w:rsidRPr="001D18FE" w:rsidRDefault="00447FCF">
    <w:pPr>
      <w:pStyle w:val="Header"/>
    </w:pPr>
    <w:r>
      <w:t>A/HRC/</w:t>
    </w:r>
    <w:r w:rsidR="00B3422A">
      <w:t>3</w:t>
    </w:r>
    <w:r w:rsidR="00E41E66">
      <w:t>5</w:t>
    </w:r>
    <w:r w:rsidR="008106CA">
      <w:t>/L.24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F" w:rsidRPr="001D18FE" w:rsidRDefault="00447FCF" w:rsidP="001D18FE">
    <w:pPr>
      <w:pStyle w:val="Header"/>
      <w:jc w:val="right"/>
    </w:pPr>
    <w:r>
      <w:t>A/HRC/</w:t>
    </w:r>
    <w:r w:rsidR="00B3422A">
      <w:t>3</w:t>
    </w:r>
    <w:r w:rsidR="00E70A60">
      <w:t>5</w:t>
    </w:r>
    <w:r>
      <w:t>/L.</w:t>
    </w:r>
    <w:r w:rsidR="00E70A60">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21A4D"/>
    <w:rsid w:val="00022DB5"/>
    <w:rsid w:val="000403D1"/>
    <w:rsid w:val="000449AA"/>
    <w:rsid w:val="00050F6B"/>
    <w:rsid w:val="00072B9A"/>
    <w:rsid w:val="00072C8C"/>
    <w:rsid w:val="00073E70"/>
    <w:rsid w:val="000876EB"/>
    <w:rsid w:val="00091419"/>
    <w:rsid w:val="000931C0"/>
    <w:rsid w:val="00096138"/>
    <w:rsid w:val="000A53E0"/>
    <w:rsid w:val="000B175B"/>
    <w:rsid w:val="000B3A0F"/>
    <w:rsid w:val="000B4A3B"/>
    <w:rsid w:val="000C1B72"/>
    <w:rsid w:val="000D1851"/>
    <w:rsid w:val="000E0415"/>
    <w:rsid w:val="000F0D61"/>
    <w:rsid w:val="00114DBE"/>
    <w:rsid w:val="00127BA7"/>
    <w:rsid w:val="001421B6"/>
    <w:rsid w:val="00146D32"/>
    <w:rsid w:val="001509BA"/>
    <w:rsid w:val="001703D1"/>
    <w:rsid w:val="001B4B04"/>
    <w:rsid w:val="001C6663"/>
    <w:rsid w:val="001C7895"/>
    <w:rsid w:val="001D18FE"/>
    <w:rsid w:val="001D26DF"/>
    <w:rsid w:val="001E2790"/>
    <w:rsid w:val="001F7F7D"/>
    <w:rsid w:val="00211E0B"/>
    <w:rsid w:val="00211E72"/>
    <w:rsid w:val="00214047"/>
    <w:rsid w:val="0022130F"/>
    <w:rsid w:val="00237785"/>
    <w:rsid w:val="002410DD"/>
    <w:rsid w:val="00241466"/>
    <w:rsid w:val="00247CED"/>
    <w:rsid w:val="00253D58"/>
    <w:rsid w:val="0027725F"/>
    <w:rsid w:val="002804C2"/>
    <w:rsid w:val="00281C20"/>
    <w:rsid w:val="00287D9C"/>
    <w:rsid w:val="002C21F0"/>
    <w:rsid w:val="002C7FF5"/>
    <w:rsid w:val="002D7F05"/>
    <w:rsid w:val="002E75E8"/>
    <w:rsid w:val="003107FA"/>
    <w:rsid w:val="003143CB"/>
    <w:rsid w:val="00314A1D"/>
    <w:rsid w:val="003229D8"/>
    <w:rsid w:val="003314D1"/>
    <w:rsid w:val="00335A2F"/>
    <w:rsid w:val="00341937"/>
    <w:rsid w:val="003652ED"/>
    <w:rsid w:val="003653C5"/>
    <w:rsid w:val="00372AA9"/>
    <w:rsid w:val="00375C1D"/>
    <w:rsid w:val="0039277A"/>
    <w:rsid w:val="003972E0"/>
    <w:rsid w:val="003975ED"/>
    <w:rsid w:val="003C2CC4"/>
    <w:rsid w:val="003D4B23"/>
    <w:rsid w:val="00424C80"/>
    <w:rsid w:val="00425972"/>
    <w:rsid w:val="004325CB"/>
    <w:rsid w:val="0044503A"/>
    <w:rsid w:val="00446DE4"/>
    <w:rsid w:val="00447761"/>
    <w:rsid w:val="00447FCF"/>
    <w:rsid w:val="00451EC3"/>
    <w:rsid w:val="00455C08"/>
    <w:rsid w:val="0045643A"/>
    <w:rsid w:val="004721B1"/>
    <w:rsid w:val="00480B3D"/>
    <w:rsid w:val="004859EC"/>
    <w:rsid w:val="00490E94"/>
    <w:rsid w:val="00491662"/>
    <w:rsid w:val="00496A15"/>
    <w:rsid w:val="004B75D2"/>
    <w:rsid w:val="004D1140"/>
    <w:rsid w:val="004E1214"/>
    <w:rsid w:val="004F3918"/>
    <w:rsid w:val="004F55ED"/>
    <w:rsid w:val="005130F3"/>
    <w:rsid w:val="0052176C"/>
    <w:rsid w:val="005261E5"/>
    <w:rsid w:val="00526ED1"/>
    <w:rsid w:val="005420F2"/>
    <w:rsid w:val="00542574"/>
    <w:rsid w:val="005436AB"/>
    <w:rsid w:val="005462A1"/>
    <w:rsid w:val="00546DBF"/>
    <w:rsid w:val="00552E7C"/>
    <w:rsid w:val="00553D76"/>
    <w:rsid w:val="005552B5"/>
    <w:rsid w:val="0056117B"/>
    <w:rsid w:val="005664FA"/>
    <w:rsid w:val="00571365"/>
    <w:rsid w:val="00596358"/>
    <w:rsid w:val="005B3DB3"/>
    <w:rsid w:val="005B6E48"/>
    <w:rsid w:val="005B7C37"/>
    <w:rsid w:val="005E1712"/>
    <w:rsid w:val="005E540E"/>
    <w:rsid w:val="005E5677"/>
    <w:rsid w:val="00611FC4"/>
    <w:rsid w:val="006176FB"/>
    <w:rsid w:val="00620CB6"/>
    <w:rsid w:val="00630C19"/>
    <w:rsid w:val="00636406"/>
    <w:rsid w:val="00640B26"/>
    <w:rsid w:val="0064762A"/>
    <w:rsid w:val="00670741"/>
    <w:rsid w:val="00690F34"/>
    <w:rsid w:val="00696BD6"/>
    <w:rsid w:val="006A6B9D"/>
    <w:rsid w:val="006A7392"/>
    <w:rsid w:val="006B3189"/>
    <w:rsid w:val="006B7D65"/>
    <w:rsid w:val="006D6DA6"/>
    <w:rsid w:val="006E2649"/>
    <w:rsid w:val="006E564B"/>
    <w:rsid w:val="006F13F0"/>
    <w:rsid w:val="006F5035"/>
    <w:rsid w:val="007065EB"/>
    <w:rsid w:val="00710D3C"/>
    <w:rsid w:val="00717D2D"/>
    <w:rsid w:val="00720183"/>
    <w:rsid w:val="0072632A"/>
    <w:rsid w:val="007321D0"/>
    <w:rsid w:val="00732933"/>
    <w:rsid w:val="00735AE3"/>
    <w:rsid w:val="007361D6"/>
    <w:rsid w:val="007362FC"/>
    <w:rsid w:val="0074200B"/>
    <w:rsid w:val="007A6296"/>
    <w:rsid w:val="007B6BA5"/>
    <w:rsid w:val="007C1B62"/>
    <w:rsid w:val="007C3390"/>
    <w:rsid w:val="007C4F4B"/>
    <w:rsid w:val="007D0747"/>
    <w:rsid w:val="007D2CDC"/>
    <w:rsid w:val="007D5327"/>
    <w:rsid w:val="007F6611"/>
    <w:rsid w:val="0080208B"/>
    <w:rsid w:val="008106CA"/>
    <w:rsid w:val="008155C3"/>
    <w:rsid w:val="008175E9"/>
    <w:rsid w:val="00821011"/>
    <w:rsid w:val="0082243E"/>
    <w:rsid w:val="008242D7"/>
    <w:rsid w:val="00834C65"/>
    <w:rsid w:val="00851FBC"/>
    <w:rsid w:val="00856CD2"/>
    <w:rsid w:val="00857ACB"/>
    <w:rsid w:val="00861BC6"/>
    <w:rsid w:val="00871FD5"/>
    <w:rsid w:val="00882795"/>
    <w:rsid w:val="008979B1"/>
    <w:rsid w:val="008A6B25"/>
    <w:rsid w:val="008A6C4F"/>
    <w:rsid w:val="008C1E4D"/>
    <w:rsid w:val="008E0E46"/>
    <w:rsid w:val="0090452C"/>
    <w:rsid w:val="00907C3F"/>
    <w:rsid w:val="0092237C"/>
    <w:rsid w:val="009270F8"/>
    <w:rsid w:val="0093707B"/>
    <w:rsid w:val="009400EB"/>
    <w:rsid w:val="009408E3"/>
    <w:rsid w:val="009427E3"/>
    <w:rsid w:val="00956D9B"/>
    <w:rsid w:val="00963CBA"/>
    <w:rsid w:val="00964EF9"/>
    <w:rsid w:val="009654B7"/>
    <w:rsid w:val="00973780"/>
    <w:rsid w:val="00991261"/>
    <w:rsid w:val="009A0B83"/>
    <w:rsid w:val="009B35E7"/>
    <w:rsid w:val="009B3800"/>
    <w:rsid w:val="009D22AC"/>
    <w:rsid w:val="009D50DB"/>
    <w:rsid w:val="009E1C4E"/>
    <w:rsid w:val="009F2A2E"/>
    <w:rsid w:val="00A05E0B"/>
    <w:rsid w:val="00A1404B"/>
    <w:rsid w:val="00A1427D"/>
    <w:rsid w:val="00A4634F"/>
    <w:rsid w:val="00A51CF3"/>
    <w:rsid w:val="00A546A2"/>
    <w:rsid w:val="00A55194"/>
    <w:rsid w:val="00A60B14"/>
    <w:rsid w:val="00A722E1"/>
    <w:rsid w:val="00A728AE"/>
    <w:rsid w:val="00A72F22"/>
    <w:rsid w:val="00A748A6"/>
    <w:rsid w:val="00A879A4"/>
    <w:rsid w:val="00A87E95"/>
    <w:rsid w:val="00A92E29"/>
    <w:rsid w:val="00AA38DA"/>
    <w:rsid w:val="00AD09E9"/>
    <w:rsid w:val="00AD59A0"/>
    <w:rsid w:val="00AD6D2F"/>
    <w:rsid w:val="00AF0576"/>
    <w:rsid w:val="00AF3829"/>
    <w:rsid w:val="00AF3FD4"/>
    <w:rsid w:val="00B037F0"/>
    <w:rsid w:val="00B2327D"/>
    <w:rsid w:val="00B238A0"/>
    <w:rsid w:val="00B264EF"/>
    <w:rsid w:val="00B2718F"/>
    <w:rsid w:val="00B30179"/>
    <w:rsid w:val="00B3317B"/>
    <w:rsid w:val="00B334DC"/>
    <w:rsid w:val="00B3422A"/>
    <w:rsid w:val="00B3631A"/>
    <w:rsid w:val="00B507C6"/>
    <w:rsid w:val="00B53013"/>
    <w:rsid w:val="00B67F5E"/>
    <w:rsid w:val="00B73E65"/>
    <w:rsid w:val="00B81E12"/>
    <w:rsid w:val="00B87110"/>
    <w:rsid w:val="00B97FA8"/>
    <w:rsid w:val="00BB3A45"/>
    <w:rsid w:val="00BC1385"/>
    <w:rsid w:val="00BC60FB"/>
    <w:rsid w:val="00BC74E9"/>
    <w:rsid w:val="00BE381D"/>
    <w:rsid w:val="00BE618E"/>
    <w:rsid w:val="00C21CE2"/>
    <w:rsid w:val="00C24693"/>
    <w:rsid w:val="00C35F0B"/>
    <w:rsid w:val="00C463DD"/>
    <w:rsid w:val="00C55CAD"/>
    <w:rsid w:val="00C64458"/>
    <w:rsid w:val="00C745C3"/>
    <w:rsid w:val="00C805E6"/>
    <w:rsid w:val="00CA2A58"/>
    <w:rsid w:val="00CC0B55"/>
    <w:rsid w:val="00CD6995"/>
    <w:rsid w:val="00CE4A8F"/>
    <w:rsid w:val="00CF0214"/>
    <w:rsid w:val="00CF586F"/>
    <w:rsid w:val="00CF7D43"/>
    <w:rsid w:val="00D11129"/>
    <w:rsid w:val="00D2031B"/>
    <w:rsid w:val="00D22332"/>
    <w:rsid w:val="00D22798"/>
    <w:rsid w:val="00D2483E"/>
    <w:rsid w:val="00D25FE2"/>
    <w:rsid w:val="00D36022"/>
    <w:rsid w:val="00D43252"/>
    <w:rsid w:val="00D550F9"/>
    <w:rsid w:val="00D572B0"/>
    <w:rsid w:val="00D62E90"/>
    <w:rsid w:val="00D76BE5"/>
    <w:rsid w:val="00D81302"/>
    <w:rsid w:val="00D978C6"/>
    <w:rsid w:val="00DA67AD"/>
    <w:rsid w:val="00DB18CE"/>
    <w:rsid w:val="00DE3EC0"/>
    <w:rsid w:val="00E11593"/>
    <w:rsid w:val="00E12B6B"/>
    <w:rsid w:val="00E130AB"/>
    <w:rsid w:val="00E32873"/>
    <w:rsid w:val="00E35D79"/>
    <w:rsid w:val="00E41E66"/>
    <w:rsid w:val="00E438D9"/>
    <w:rsid w:val="00E443A8"/>
    <w:rsid w:val="00E4486D"/>
    <w:rsid w:val="00E55F5B"/>
    <w:rsid w:val="00E5644E"/>
    <w:rsid w:val="00E70A60"/>
    <w:rsid w:val="00E7260F"/>
    <w:rsid w:val="00E806EE"/>
    <w:rsid w:val="00E96630"/>
    <w:rsid w:val="00E96BA3"/>
    <w:rsid w:val="00EB0FB9"/>
    <w:rsid w:val="00ED0CA9"/>
    <w:rsid w:val="00ED7A2A"/>
    <w:rsid w:val="00EE1192"/>
    <w:rsid w:val="00EF1354"/>
    <w:rsid w:val="00EF1D7F"/>
    <w:rsid w:val="00EF5BDB"/>
    <w:rsid w:val="00F07FD9"/>
    <w:rsid w:val="00F22EE7"/>
    <w:rsid w:val="00F23933"/>
    <w:rsid w:val="00F24119"/>
    <w:rsid w:val="00F2789C"/>
    <w:rsid w:val="00F32454"/>
    <w:rsid w:val="00F40E75"/>
    <w:rsid w:val="00F42CD9"/>
    <w:rsid w:val="00F44A93"/>
    <w:rsid w:val="00F52936"/>
    <w:rsid w:val="00F6382D"/>
    <w:rsid w:val="00F677CB"/>
    <w:rsid w:val="00F9725F"/>
    <w:rsid w:val="00FA14EE"/>
    <w:rsid w:val="00FA7DF3"/>
    <w:rsid w:val="00FB3A3C"/>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4259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5972"/>
    <w:rPr>
      <w:rFonts w:ascii="Tahoma" w:hAnsi="Tahoma" w:cs="Tahoma"/>
      <w:sz w:val="16"/>
      <w:szCs w:val="16"/>
      <w:lang w:eastAsia="en-US"/>
    </w:rPr>
  </w:style>
  <w:style w:type="character" w:styleId="CommentReference">
    <w:name w:val="annotation reference"/>
    <w:basedOn w:val="DefaultParagraphFont"/>
    <w:rsid w:val="00F2789C"/>
    <w:rPr>
      <w:sz w:val="16"/>
      <w:szCs w:val="16"/>
    </w:rPr>
  </w:style>
  <w:style w:type="paragraph" w:styleId="CommentText">
    <w:name w:val="annotation text"/>
    <w:basedOn w:val="Normal"/>
    <w:link w:val="CommentTextChar"/>
    <w:rsid w:val="00F2789C"/>
    <w:pPr>
      <w:spacing w:line="240" w:lineRule="auto"/>
    </w:pPr>
  </w:style>
  <w:style w:type="character" w:customStyle="1" w:styleId="CommentTextChar">
    <w:name w:val="Comment Text Char"/>
    <w:basedOn w:val="DefaultParagraphFont"/>
    <w:link w:val="CommentText"/>
    <w:rsid w:val="00F2789C"/>
    <w:rPr>
      <w:lang w:eastAsia="en-US"/>
    </w:rPr>
  </w:style>
  <w:style w:type="paragraph" w:styleId="CommentSubject">
    <w:name w:val="annotation subject"/>
    <w:basedOn w:val="CommentText"/>
    <w:next w:val="CommentText"/>
    <w:link w:val="CommentSubjectChar"/>
    <w:rsid w:val="00F2789C"/>
    <w:rPr>
      <w:b/>
      <w:bCs/>
    </w:rPr>
  </w:style>
  <w:style w:type="character" w:customStyle="1" w:styleId="CommentSubjectChar">
    <w:name w:val="Comment Subject Char"/>
    <w:basedOn w:val="CommentTextChar"/>
    <w:link w:val="CommentSubject"/>
    <w:rsid w:val="00F2789C"/>
    <w:rPr>
      <w:b/>
      <w:bCs/>
      <w:lang w:eastAsia="en-US"/>
    </w:rPr>
  </w:style>
  <w:style w:type="paragraph" w:styleId="ListParagraph">
    <w:name w:val="List Paragraph"/>
    <w:basedOn w:val="Normal"/>
    <w:uiPriority w:val="34"/>
    <w:qFormat/>
    <w:rsid w:val="009F2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4259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5972"/>
    <w:rPr>
      <w:rFonts w:ascii="Tahoma" w:hAnsi="Tahoma" w:cs="Tahoma"/>
      <w:sz w:val="16"/>
      <w:szCs w:val="16"/>
      <w:lang w:eastAsia="en-US"/>
    </w:rPr>
  </w:style>
  <w:style w:type="character" w:styleId="CommentReference">
    <w:name w:val="annotation reference"/>
    <w:basedOn w:val="DefaultParagraphFont"/>
    <w:rsid w:val="00F2789C"/>
    <w:rPr>
      <w:sz w:val="16"/>
      <w:szCs w:val="16"/>
    </w:rPr>
  </w:style>
  <w:style w:type="paragraph" w:styleId="CommentText">
    <w:name w:val="annotation text"/>
    <w:basedOn w:val="Normal"/>
    <w:link w:val="CommentTextChar"/>
    <w:rsid w:val="00F2789C"/>
    <w:pPr>
      <w:spacing w:line="240" w:lineRule="auto"/>
    </w:pPr>
  </w:style>
  <w:style w:type="character" w:customStyle="1" w:styleId="CommentTextChar">
    <w:name w:val="Comment Text Char"/>
    <w:basedOn w:val="DefaultParagraphFont"/>
    <w:link w:val="CommentText"/>
    <w:rsid w:val="00F2789C"/>
    <w:rPr>
      <w:lang w:eastAsia="en-US"/>
    </w:rPr>
  </w:style>
  <w:style w:type="paragraph" w:styleId="CommentSubject">
    <w:name w:val="annotation subject"/>
    <w:basedOn w:val="CommentText"/>
    <w:next w:val="CommentText"/>
    <w:link w:val="CommentSubjectChar"/>
    <w:rsid w:val="00F2789C"/>
    <w:rPr>
      <w:b/>
      <w:bCs/>
    </w:rPr>
  </w:style>
  <w:style w:type="character" w:customStyle="1" w:styleId="CommentSubjectChar">
    <w:name w:val="Comment Subject Char"/>
    <w:basedOn w:val="CommentTextChar"/>
    <w:link w:val="CommentSubject"/>
    <w:rsid w:val="00F2789C"/>
    <w:rPr>
      <w:b/>
      <w:bCs/>
      <w:lang w:eastAsia="en-US"/>
    </w:rPr>
  </w:style>
  <w:style w:type="paragraph" w:styleId="ListParagraph">
    <w:name w:val="List Paragraph"/>
    <w:basedOn w:val="Normal"/>
    <w:uiPriority w:val="34"/>
    <w:qFormat/>
    <w:rsid w:val="009F2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EFB0-1592-44E0-B8B1-8FA191F9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5172</Characters>
  <Application>Microsoft Office Word</Application>
  <DocSecurity>0</DocSecurity>
  <Lines>93</Lines>
  <Paragraphs>29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1710093</dc:title>
  <dc:subject>A/HRC/35/L.24</dc:subject>
  <dc:creator>Kiatsurayanon</dc:creator>
  <cp:keywords/>
  <dc:description/>
  <cp:lastModifiedBy>PDF ENG</cp:lastModifiedBy>
  <cp:revision>2</cp:revision>
  <cp:lastPrinted>2017-06-19T12:53:00Z</cp:lastPrinted>
  <dcterms:created xsi:type="dcterms:W3CDTF">2017-06-20T05:51:00Z</dcterms:created>
  <dcterms:modified xsi:type="dcterms:W3CDTF">2017-06-20T05:51:00Z</dcterms:modified>
</cp:coreProperties>
</file>