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F70608">
        <w:trPr>
          <w:trHeight w:hRule="exact" w:val="851"/>
        </w:trPr>
        <w:tc>
          <w:tcPr>
            <w:tcW w:w="1276" w:type="dxa"/>
            <w:tcBorders>
              <w:bottom w:val="single" w:sz="4" w:space="0" w:color="auto"/>
            </w:tcBorders>
          </w:tcPr>
          <w:p w:rsidR="00A12E20" w:rsidRPr="00DB58B5" w:rsidRDefault="00A12E20" w:rsidP="006C3115"/>
        </w:tc>
        <w:tc>
          <w:tcPr>
            <w:tcW w:w="2268" w:type="dxa"/>
            <w:tcBorders>
              <w:bottom w:val="single" w:sz="4" w:space="0" w:color="auto"/>
            </w:tcBorders>
            <w:vAlign w:val="bottom"/>
          </w:tcPr>
          <w:p w:rsidR="00A12E20" w:rsidRPr="00DB58B5" w:rsidRDefault="00A12E20" w:rsidP="00F7060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6C3115" w:rsidP="006C3115">
            <w:pPr>
              <w:jc w:val="right"/>
            </w:pPr>
            <w:r w:rsidRPr="006C3115">
              <w:rPr>
                <w:sz w:val="40"/>
              </w:rPr>
              <w:t>A</w:t>
            </w:r>
            <w:r>
              <w:t>/HRC/32/L.26</w:t>
            </w:r>
          </w:p>
        </w:tc>
      </w:tr>
      <w:tr w:rsidR="00A12E20" w:rsidRPr="00DB58B5" w:rsidTr="00F70608">
        <w:trPr>
          <w:trHeight w:hRule="exact" w:val="2835"/>
        </w:trPr>
        <w:tc>
          <w:tcPr>
            <w:tcW w:w="1276" w:type="dxa"/>
            <w:tcBorders>
              <w:top w:val="single" w:sz="4" w:space="0" w:color="auto"/>
              <w:bottom w:val="single" w:sz="12" w:space="0" w:color="auto"/>
            </w:tcBorders>
          </w:tcPr>
          <w:p w:rsidR="00A12E20" w:rsidRPr="00DB58B5" w:rsidRDefault="00A12E20" w:rsidP="00F70608">
            <w:pPr>
              <w:spacing w:before="120"/>
              <w:jc w:val="center"/>
            </w:pPr>
            <w:r>
              <w:rPr>
                <w:noProof/>
                <w:lang w:eastAsia="fr-CH"/>
              </w:rPr>
              <w:drawing>
                <wp:inline distT="0" distB="0" distL="0" distR="0" wp14:anchorId="415416FA" wp14:editId="520251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F70608">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6C3115" w:rsidP="00F70608">
            <w:pPr>
              <w:spacing w:before="240"/>
            </w:pPr>
            <w:r>
              <w:t>Distr. limitée</w:t>
            </w:r>
          </w:p>
          <w:p w:rsidR="006C3115" w:rsidRDefault="006C3115" w:rsidP="006C3115">
            <w:pPr>
              <w:spacing w:line="240" w:lineRule="exact"/>
            </w:pPr>
            <w:r>
              <w:t>29 juin 2016</w:t>
            </w:r>
          </w:p>
          <w:p w:rsidR="006C3115" w:rsidRDefault="006C3115" w:rsidP="006C3115">
            <w:pPr>
              <w:spacing w:line="240" w:lineRule="exact"/>
            </w:pPr>
            <w:r>
              <w:t>Français</w:t>
            </w:r>
          </w:p>
          <w:p w:rsidR="006C3115" w:rsidRPr="00DB58B5" w:rsidRDefault="006C3115" w:rsidP="006C3115">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l’homme</w:t>
      </w:r>
    </w:p>
    <w:p w:rsidR="00735A79" w:rsidRPr="000E3398" w:rsidRDefault="00735A79" w:rsidP="00735A79">
      <w:pPr>
        <w:rPr>
          <w:b/>
        </w:rPr>
      </w:pPr>
      <w:r>
        <w:rPr>
          <w:b/>
        </w:rPr>
        <w:t>Trente-deuxième</w:t>
      </w:r>
      <w:r w:rsidRPr="000E3398">
        <w:rPr>
          <w:b/>
        </w:rPr>
        <w:t xml:space="preserve"> session</w:t>
      </w:r>
    </w:p>
    <w:p w:rsidR="00735A79" w:rsidRPr="000E3398" w:rsidRDefault="00735A79" w:rsidP="00735A79">
      <w:r>
        <w:t>Point 3</w:t>
      </w:r>
      <w:r w:rsidRPr="000E3398">
        <w:t xml:space="preserve"> de l’ordre du jour</w:t>
      </w:r>
    </w:p>
    <w:p w:rsidR="00735A79" w:rsidRDefault="00735A79" w:rsidP="00735A79">
      <w:pPr>
        <w:rPr>
          <w:b/>
        </w:rPr>
      </w:pPr>
      <w:r>
        <w:rPr>
          <w:b/>
        </w:rPr>
        <w:t xml:space="preserve">Promotion et protection de tous les </w:t>
      </w:r>
      <w:r w:rsidRPr="000E3398">
        <w:rPr>
          <w:b/>
        </w:rPr>
        <w:t>droits de l’homme</w:t>
      </w:r>
      <w:r>
        <w:rPr>
          <w:b/>
        </w:rPr>
        <w:t xml:space="preserve">, </w:t>
      </w:r>
      <w:r w:rsidRPr="000E3398">
        <w:rPr>
          <w:b/>
        </w:rPr>
        <w:br/>
      </w:r>
      <w:r>
        <w:rPr>
          <w:b/>
        </w:rPr>
        <w:t xml:space="preserve">civils, politiques, économiques, sociaux et culturels, </w:t>
      </w:r>
      <w:r>
        <w:rPr>
          <w:b/>
        </w:rPr>
        <w:br/>
        <w:t>y compris le droit au développement</w:t>
      </w:r>
    </w:p>
    <w:p w:rsidR="00735A79" w:rsidRPr="000E3398" w:rsidRDefault="00735A79" w:rsidP="000B6A4C">
      <w:pPr>
        <w:pStyle w:val="H23G"/>
      </w:pPr>
      <w:r w:rsidRPr="000E3398">
        <w:tab/>
      </w:r>
      <w:r w:rsidRPr="000E3398">
        <w:tab/>
        <w:t>Belgique, B</w:t>
      </w:r>
      <w:r>
        <w:t>olivie</w:t>
      </w:r>
      <w:r w:rsidR="00784486" w:rsidRPr="00784486">
        <w:rPr>
          <w:rStyle w:val="Appelnotedebasdep"/>
          <w:b w:val="0"/>
          <w:sz w:val="20"/>
          <w:vertAlign w:val="baseline"/>
        </w:rPr>
        <w:footnoteReference w:customMarkFollows="1" w:id="2"/>
        <w:t>*</w:t>
      </w:r>
      <w:r>
        <w:t>, Bosnie-Herzégovine</w:t>
      </w:r>
      <w:r w:rsidR="00784486" w:rsidRPr="00784486">
        <w:rPr>
          <w:b w:val="0"/>
        </w:rPr>
        <w:t>*</w:t>
      </w:r>
      <w:r>
        <w:t>, B</w:t>
      </w:r>
      <w:r w:rsidRPr="000E3398">
        <w:t>ulgarie</w:t>
      </w:r>
      <w:r w:rsidRPr="00784486">
        <w:rPr>
          <w:b w:val="0"/>
        </w:rPr>
        <w:t>*</w:t>
      </w:r>
      <w:r w:rsidRPr="000E3398">
        <w:t xml:space="preserve">, </w:t>
      </w:r>
      <w:r>
        <w:t>Brésil</w:t>
      </w:r>
      <w:r w:rsidRPr="00784486">
        <w:rPr>
          <w:b w:val="0"/>
        </w:rPr>
        <w:t>*</w:t>
      </w:r>
      <w:r>
        <w:t>, Croatie</w:t>
      </w:r>
      <w:r w:rsidRPr="00784486">
        <w:rPr>
          <w:b w:val="0"/>
        </w:rPr>
        <w:t>*</w:t>
      </w:r>
      <w:r>
        <w:t xml:space="preserve">, </w:t>
      </w:r>
      <w:r w:rsidRPr="000E3398">
        <w:t>Espagne</w:t>
      </w:r>
      <w:r w:rsidRPr="00784486">
        <w:rPr>
          <w:b w:val="0"/>
        </w:rPr>
        <w:t>*</w:t>
      </w:r>
      <w:r w:rsidRPr="000E3398">
        <w:t>,</w:t>
      </w:r>
      <w:r>
        <w:t xml:space="preserve"> État</w:t>
      </w:r>
      <w:r w:rsidR="00784486">
        <w:t> </w:t>
      </w:r>
      <w:r>
        <w:t>de Palestine</w:t>
      </w:r>
      <w:r w:rsidRPr="00784486">
        <w:rPr>
          <w:b w:val="0"/>
        </w:rPr>
        <w:t>*</w:t>
      </w:r>
      <w:r>
        <w:t>, Fidji</w:t>
      </w:r>
      <w:r w:rsidRPr="00784486">
        <w:rPr>
          <w:b w:val="0"/>
        </w:rPr>
        <w:t>*</w:t>
      </w:r>
      <w:r>
        <w:t>, France, Grèce</w:t>
      </w:r>
      <w:r w:rsidRPr="00784486">
        <w:rPr>
          <w:b w:val="0"/>
        </w:rPr>
        <w:t>*</w:t>
      </w:r>
      <w:r>
        <w:t>, Israël</w:t>
      </w:r>
      <w:r w:rsidRPr="00784486">
        <w:rPr>
          <w:b w:val="0"/>
        </w:rPr>
        <w:t>*</w:t>
      </w:r>
      <w:r>
        <w:t>, Monaco</w:t>
      </w:r>
      <w:r w:rsidRPr="00784486">
        <w:rPr>
          <w:b w:val="0"/>
        </w:rPr>
        <w:t>*</w:t>
      </w:r>
      <w:r>
        <w:t xml:space="preserve">, </w:t>
      </w:r>
      <w:r w:rsidRPr="000E3398">
        <w:t>Monténégro</w:t>
      </w:r>
      <w:r w:rsidRPr="00784486">
        <w:rPr>
          <w:b w:val="0"/>
        </w:rPr>
        <w:t>*</w:t>
      </w:r>
      <w:r w:rsidRPr="000E3398">
        <w:t>, P</w:t>
      </w:r>
      <w:r>
        <w:t>érou</w:t>
      </w:r>
      <w:r w:rsidRPr="00784486">
        <w:rPr>
          <w:b w:val="0"/>
        </w:rPr>
        <w:t>*</w:t>
      </w:r>
      <w:r>
        <w:t xml:space="preserve">, Portugal, </w:t>
      </w:r>
      <w:r w:rsidRPr="000E3398">
        <w:t>Roumanie</w:t>
      </w:r>
      <w:r w:rsidRPr="00784486">
        <w:rPr>
          <w:b w:val="0"/>
        </w:rPr>
        <w:t>*</w:t>
      </w:r>
      <w:r w:rsidRPr="000E3398">
        <w:t xml:space="preserve">, </w:t>
      </w:r>
      <w:r>
        <w:t>Suède</w:t>
      </w:r>
      <w:r w:rsidRPr="00784486">
        <w:rPr>
          <w:b w:val="0"/>
        </w:rPr>
        <w:t>*</w:t>
      </w:r>
      <w:r>
        <w:t>, Thaïlande</w:t>
      </w:r>
      <w:r w:rsidRPr="00784486">
        <w:rPr>
          <w:b w:val="0"/>
        </w:rPr>
        <w:t>*</w:t>
      </w:r>
      <w:r>
        <w:t>, Tunisie</w:t>
      </w:r>
      <w:r w:rsidRPr="00784486">
        <w:rPr>
          <w:b w:val="0"/>
        </w:rPr>
        <w:t>*</w:t>
      </w:r>
      <w:r w:rsidR="00784486">
        <w:t> </w:t>
      </w:r>
      <w:r w:rsidRPr="000E3398">
        <w:t>: projet de résolution</w:t>
      </w:r>
    </w:p>
    <w:p w:rsidR="00735A79" w:rsidRPr="000E3398" w:rsidRDefault="00735A79" w:rsidP="000B6A4C">
      <w:pPr>
        <w:pStyle w:val="H1G"/>
      </w:pPr>
      <w:r w:rsidRPr="000E3398">
        <w:tab/>
      </w:r>
      <w:r w:rsidRPr="000E3398">
        <w:tab/>
      </w:r>
      <w:r w:rsidRPr="000B6A4C">
        <w:t>32</w:t>
      </w:r>
      <w:r w:rsidRPr="000E3398">
        <w:t>/…</w:t>
      </w:r>
      <w:r>
        <w:t xml:space="preserve"> </w:t>
      </w:r>
      <w:r w:rsidRPr="000E3398">
        <w:br/>
        <w:t>S</w:t>
      </w:r>
      <w:r>
        <w:t>anté mental</w:t>
      </w:r>
      <w:r w:rsidR="000B0052">
        <w:t>e</w:t>
      </w:r>
      <w:r>
        <w:t xml:space="preserve"> et </w:t>
      </w:r>
      <w:r w:rsidRPr="000E3398">
        <w:t>droits de l’homme</w:t>
      </w:r>
    </w:p>
    <w:p w:rsidR="00735A79" w:rsidRPr="000E3398" w:rsidRDefault="00735A79" w:rsidP="000B6A4C">
      <w:pPr>
        <w:pStyle w:val="SingleTxtG"/>
        <w:ind w:firstLine="567"/>
      </w:pPr>
      <w:r w:rsidRPr="000B6A4C">
        <w:rPr>
          <w:i/>
        </w:rPr>
        <w:t>Le Conseil des droits de l’homme</w:t>
      </w:r>
      <w:r w:rsidRPr="000E3398">
        <w:t>,</w:t>
      </w:r>
    </w:p>
    <w:p w:rsidR="00735A79" w:rsidRDefault="00735A79" w:rsidP="00735A79">
      <w:pPr>
        <w:pStyle w:val="SingleTxtG"/>
        <w:ind w:firstLine="567"/>
        <w:rPr>
          <w:rFonts w:eastAsia="SimSun"/>
          <w:iCs/>
          <w:lang w:eastAsia="ar-SA"/>
        </w:rPr>
      </w:pPr>
      <w:r>
        <w:rPr>
          <w:rFonts w:eastAsia="SimSun"/>
          <w:i/>
          <w:iCs/>
          <w:lang w:eastAsia="ar-SA"/>
        </w:rPr>
        <w:t>Guidé</w:t>
      </w:r>
      <w:r w:rsidRPr="000E3398">
        <w:rPr>
          <w:rFonts w:eastAsia="SimSun"/>
          <w:i/>
          <w:iCs/>
          <w:lang w:eastAsia="ar-SA"/>
        </w:rPr>
        <w:t xml:space="preserve"> </w:t>
      </w:r>
      <w:r>
        <w:rPr>
          <w:rFonts w:eastAsia="SimSun"/>
          <w:iCs/>
          <w:lang w:eastAsia="ar-SA"/>
        </w:rPr>
        <w:t>par les buts et les principes de l</w:t>
      </w:r>
      <w:r w:rsidRPr="000E3398">
        <w:rPr>
          <w:rFonts w:eastAsia="SimSun"/>
          <w:iCs/>
          <w:lang w:eastAsia="ar-SA"/>
        </w:rPr>
        <w:t xml:space="preserve">a Charte des Nations Unies, </w:t>
      </w:r>
    </w:p>
    <w:p w:rsidR="00735A79" w:rsidRDefault="000B0052" w:rsidP="00735A79">
      <w:pPr>
        <w:pStyle w:val="SingleTxtG"/>
        <w:ind w:firstLine="567"/>
        <w:rPr>
          <w:rFonts w:eastAsia="SimSun"/>
          <w:iCs/>
          <w:lang w:eastAsia="ar-SA"/>
        </w:rPr>
      </w:pPr>
      <w:r>
        <w:rPr>
          <w:rFonts w:eastAsia="SimSun"/>
          <w:i/>
          <w:iCs/>
          <w:lang w:eastAsia="ar-SA"/>
        </w:rPr>
        <w:t>Guidé</w:t>
      </w:r>
      <w:r w:rsidR="00735A79">
        <w:rPr>
          <w:rFonts w:eastAsia="SimSun"/>
          <w:i/>
          <w:iCs/>
          <w:lang w:eastAsia="ar-SA"/>
        </w:rPr>
        <w:t xml:space="preserve"> également </w:t>
      </w:r>
      <w:r w:rsidR="00735A79">
        <w:rPr>
          <w:rFonts w:eastAsia="SimSun"/>
          <w:iCs/>
          <w:lang w:eastAsia="ar-SA"/>
        </w:rPr>
        <w:t>par la Déclaration universelle des droits de l’homme et tous les instruments internationaux relatifs aux droits de l’homme pertinents, notamment le Pacte international relatif aux droits civils et politiques, le Pacte international relatif aux droits économiques, sociaux et culturels, la Convention contre la torture et autres peines ou traitements cruels, inhumains ou dégradants, la Convention sur l’élimination de toutes les formes de discrimination à l’égard des femmes, la Convention relative aux droits de l’enfant et la Convention relative aux droits des personnes handicapées,</w:t>
      </w:r>
    </w:p>
    <w:p w:rsidR="00735A79" w:rsidRDefault="00735A79" w:rsidP="00735A79">
      <w:pPr>
        <w:pStyle w:val="SingleTxtG"/>
        <w:ind w:firstLine="567"/>
        <w:rPr>
          <w:rFonts w:eastAsia="SimSun"/>
          <w:iCs/>
          <w:lang w:eastAsia="ar-SA"/>
        </w:rPr>
      </w:pPr>
      <w:r>
        <w:rPr>
          <w:rFonts w:eastAsia="SimSun"/>
          <w:i/>
          <w:iCs/>
          <w:lang w:eastAsia="ar-SA"/>
        </w:rPr>
        <w:t xml:space="preserve">Réaffirmant </w:t>
      </w:r>
      <w:r>
        <w:rPr>
          <w:rFonts w:eastAsia="SimSun"/>
          <w:iCs/>
          <w:lang w:eastAsia="ar-SA"/>
        </w:rPr>
        <w:t>que tous les droits de l’homme sont universels, indivisibles, indissociables, interdépendants et se renforcent mutuellement,</w:t>
      </w:r>
    </w:p>
    <w:p w:rsidR="00735A79" w:rsidRDefault="00735A79" w:rsidP="00735A79">
      <w:pPr>
        <w:pStyle w:val="SingleTxtG"/>
        <w:ind w:firstLine="567"/>
        <w:rPr>
          <w:rFonts w:eastAsia="SimSun"/>
          <w:iCs/>
          <w:lang w:eastAsia="ar-SA"/>
        </w:rPr>
      </w:pPr>
      <w:r>
        <w:rPr>
          <w:rFonts w:eastAsia="SimSun"/>
          <w:i/>
          <w:iCs/>
          <w:lang w:eastAsia="ar-SA"/>
        </w:rPr>
        <w:t xml:space="preserve">Réaffirmant également </w:t>
      </w:r>
      <w:r>
        <w:rPr>
          <w:rFonts w:eastAsia="SimSun"/>
          <w:iCs/>
          <w:lang w:eastAsia="ar-SA"/>
        </w:rPr>
        <w:t xml:space="preserve">que tous les êtres humains sont nés libres, égaux en dignité et en droits, et reconnaissant que ces droits découlent de la dignité inhérente à la personne humaine, </w:t>
      </w:r>
    </w:p>
    <w:p w:rsidR="00735A79" w:rsidRDefault="00735A79" w:rsidP="00735A79">
      <w:pPr>
        <w:pStyle w:val="SingleTxtG"/>
        <w:ind w:firstLine="567"/>
        <w:rPr>
          <w:rFonts w:eastAsia="SimSun"/>
          <w:iCs/>
          <w:lang w:eastAsia="ar-SA"/>
        </w:rPr>
      </w:pPr>
      <w:r>
        <w:rPr>
          <w:rFonts w:eastAsia="SimSun"/>
          <w:i/>
          <w:iCs/>
          <w:lang w:eastAsia="ar-SA"/>
        </w:rPr>
        <w:t>Réaffirmant en outre</w:t>
      </w:r>
      <w:r>
        <w:rPr>
          <w:rFonts w:eastAsia="SimSun"/>
          <w:iCs/>
          <w:lang w:eastAsia="ar-SA"/>
        </w:rPr>
        <w:t xml:space="preserve"> que tout individu a droit à la vie, à la liberté et à la sûreté de sa personne, à l’autonomie de vie et à l’inclusion dans la société </w:t>
      </w:r>
      <w:r w:rsidR="000B0052">
        <w:rPr>
          <w:rFonts w:eastAsia="SimSun"/>
          <w:iCs/>
          <w:lang w:eastAsia="ar-SA"/>
        </w:rPr>
        <w:t xml:space="preserve">et </w:t>
      </w:r>
      <w:r>
        <w:rPr>
          <w:rFonts w:eastAsia="SimSun"/>
          <w:iCs/>
          <w:lang w:eastAsia="ar-SA"/>
        </w:rPr>
        <w:t>que nul ne sera soumis à la torture ni à des peines ou traitements cruels, inhumains ou dégradants,</w:t>
      </w:r>
    </w:p>
    <w:p w:rsidR="00735A79" w:rsidRDefault="00735A79" w:rsidP="00735A79">
      <w:pPr>
        <w:pStyle w:val="SingleTxtG"/>
        <w:ind w:firstLine="567"/>
        <w:rPr>
          <w:rFonts w:eastAsia="SimSun"/>
          <w:iCs/>
          <w:lang w:eastAsia="ar-SA"/>
        </w:rPr>
      </w:pPr>
      <w:r>
        <w:rPr>
          <w:rFonts w:eastAsia="SimSun"/>
          <w:i/>
          <w:iCs/>
          <w:lang w:eastAsia="ar-SA"/>
        </w:rPr>
        <w:t xml:space="preserve">Rappelant </w:t>
      </w:r>
      <w:r>
        <w:rPr>
          <w:rFonts w:eastAsia="SimSun"/>
          <w:iCs/>
          <w:lang w:eastAsia="ar-SA"/>
        </w:rPr>
        <w:t>que, selon la Constitution de l’Organisation mondiale de la Santé, la santé e</w:t>
      </w:r>
      <w:r w:rsidR="000B0052">
        <w:rPr>
          <w:rFonts w:eastAsia="SimSun"/>
          <w:iCs/>
          <w:lang w:eastAsia="ar-SA"/>
        </w:rPr>
        <w:t>st un état de complet bien-être</w:t>
      </w:r>
      <w:r>
        <w:rPr>
          <w:rFonts w:eastAsia="SimSun"/>
          <w:iCs/>
          <w:lang w:eastAsia="ar-SA"/>
        </w:rPr>
        <w:t xml:space="preserve"> physique, mental et social et qu’elle ne consiste pas seulement en une absence de maladie ou d’infirmité, </w:t>
      </w:r>
    </w:p>
    <w:p w:rsidR="00735A79" w:rsidRDefault="00735A79" w:rsidP="00735A79">
      <w:pPr>
        <w:pStyle w:val="SingleTxtG"/>
        <w:ind w:firstLine="567"/>
        <w:rPr>
          <w:rFonts w:eastAsia="SimSun"/>
          <w:iCs/>
          <w:lang w:eastAsia="ar-SA"/>
        </w:rPr>
      </w:pPr>
      <w:r>
        <w:rPr>
          <w:rFonts w:eastAsia="SimSun"/>
          <w:i/>
          <w:iCs/>
          <w:lang w:eastAsia="ar-SA"/>
        </w:rPr>
        <w:lastRenderedPageBreak/>
        <w:t xml:space="preserve">Réaffirmant </w:t>
      </w:r>
      <w:r>
        <w:rPr>
          <w:rFonts w:eastAsia="SimSun"/>
          <w:iCs/>
          <w:lang w:eastAsia="ar-SA"/>
        </w:rPr>
        <w:t>le droit qu’a toute personne de jouir du meilleur état de santé physique et mentale susceptible d’être atteint et soulignant que la santé mentale fait partie intégrante de ce droit,</w:t>
      </w:r>
    </w:p>
    <w:p w:rsidR="00735A79" w:rsidRDefault="00735A79" w:rsidP="00735A79">
      <w:pPr>
        <w:pStyle w:val="SingleTxtG"/>
        <w:ind w:firstLine="567"/>
        <w:rPr>
          <w:rFonts w:eastAsia="SimSun"/>
          <w:iCs/>
          <w:lang w:eastAsia="ar-SA"/>
        </w:rPr>
      </w:pPr>
      <w:r>
        <w:rPr>
          <w:rFonts w:eastAsia="SimSun"/>
          <w:i/>
          <w:iCs/>
          <w:lang w:eastAsia="ar-SA"/>
        </w:rPr>
        <w:t xml:space="preserve">Rappelant </w:t>
      </w:r>
      <w:r>
        <w:rPr>
          <w:rFonts w:eastAsia="SimSun"/>
          <w:iCs/>
          <w:lang w:eastAsia="ar-SA"/>
        </w:rPr>
        <w:t>que les États ont l’obligation de prendre des mesures, au maximum de</w:t>
      </w:r>
      <w:r w:rsidR="00295D26">
        <w:rPr>
          <w:rFonts w:eastAsia="SimSun"/>
          <w:iCs/>
          <w:lang w:eastAsia="ar-SA"/>
        </w:rPr>
        <w:t>s ressources dont ils disposent</w:t>
      </w:r>
      <w:r>
        <w:rPr>
          <w:rFonts w:eastAsia="SimSun"/>
          <w:iCs/>
          <w:lang w:eastAsia="ar-SA"/>
        </w:rPr>
        <w:t xml:space="preserve"> et</w:t>
      </w:r>
      <w:r w:rsidR="00295D26">
        <w:rPr>
          <w:rFonts w:eastAsia="SimSun"/>
          <w:iCs/>
          <w:lang w:eastAsia="ar-SA"/>
        </w:rPr>
        <w:t>,</w:t>
      </w:r>
      <w:r>
        <w:rPr>
          <w:rFonts w:eastAsia="SimSun"/>
          <w:iCs/>
          <w:lang w:eastAsia="ar-SA"/>
        </w:rPr>
        <w:t xml:space="preserve"> si </w:t>
      </w:r>
      <w:r w:rsidR="00295D26">
        <w:rPr>
          <w:rFonts w:eastAsia="SimSun"/>
          <w:iCs/>
          <w:lang w:eastAsia="ar-SA"/>
        </w:rPr>
        <w:t xml:space="preserve">nécessaire, </w:t>
      </w:r>
      <w:r>
        <w:rPr>
          <w:rFonts w:eastAsia="SimSun"/>
          <w:iCs/>
          <w:lang w:eastAsia="ar-SA"/>
        </w:rPr>
        <w:t>dans le cadre de la coopération internationale, dans le contexte de la santé mentale,</w:t>
      </w:r>
    </w:p>
    <w:p w:rsidR="00735A79" w:rsidRDefault="00735A79" w:rsidP="00735A79">
      <w:pPr>
        <w:pStyle w:val="SingleTxtG"/>
        <w:ind w:firstLine="567"/>
        <w:rPr>
          <w:rFonts w:eastAsia="SimSun"/>
          <w:iCs/>
          <w:lang w:eastAsia="ar-SA"/>
        </w:rPr>
      </w:pPr>
      <w:r>
        <w:rPr>
          <w:rFonts w:eastAsia="SimSun"/>
          <w:i/>
          <w:iCs/>
          <w:lang w:eastAsia="ar-SA"/>
        </w:rPr>
        <w:t xml:space="preserve">Réaffirmant </w:t>
      </w:r>
      <w:r>
        <w:rPr>
          <w:rFonts w:eastAsia="SimSun"/>
          <w:iCs/>
          <w:lang w:eastAsia="ar-SA"/>
        </w:rPr>
        <w:t xml:space="preserve">le droit de chacun à ce que lui soit </w:t>
      </w:r>
      <w:r w:rsidR="008A1873">
        <w:rPr>
          <w:rFonts w:eastAsia="SimSun"/>
          <w:iCs/>
          <w:lang w:eastAsia="ar-SA"/>
        </w:rPr>
        <w:t>garantie</w:t>
      </w:r>
      <w:r>
        <w:rPr>
          <w:rFonts w:eastAsia="SimSun"/>
          <w:iCs/>
          <w:lang w:eastAsia="ar-SA"/>
        </w:rPr>
        <w:t xml:space="preserve"> </w:t>
      </w:r>
      <w:r w:rsidR="00295D26">
        <w:rPr>
          <w:rFonts w:eastAsia="SimSun"/>
          <w:iCs/>
          <w:lang w:eastAsia="ar-SA"/>
        </w:rPr>
        <w:t xml:space="preserve">la pleine jouissance </w:t>
      </w:r>
      <w:r>
        <w:rPr>
          <w:rFonts w:eastAsia="SimSun"/>
          <w:iCs/>
          <w:lang w:eastAsia="ar-SA"/>
        </w:rPr>
        <w:t>des droits de l’homme et des libertés fondamentales, sans discrimination d’aucune sorte,</w:t>
      </w:r>
    </w:p>
    <w:p w:rsidR="00735A79" w:rsidRPr="002D4F78" w:rsidRDefault="00735A79" w:rsidP="00735A79">
      <w:pPr>
        <w:pStyle w:val="SingleTxtG"/>
        <w:ind w:firstLine="567"/>
        <w:rPr>
          <w:rFonts w:eastAsia="SimSun"/>
          <w:iCs/>
          <w:lang w:eastAsia="ar-SA"/>
        </w:rPr>
      </w:pPr>
      <w:r>
        <w:rPr>
          <w:rFonts w:eastAsia="SimSun"/>
          <w:i/>
          <w:iCs/>
          <w:lang w:eastAsia="ar-SA"/>
        </w:rPr>
        <w:t>Gravement préoccupé</w:t>
      </w:r>
      <w:r w:rsidR="00295D26">
        <w:rPr>
          <w:rFonts w:eastAsia="SimSun"/>
          <w:iCs/>
          <w:lang w:eastAsia="ar-SA"/>
        </w:rPr>
        <w:t>,</w:t>
      </w:r>
      <w:r>
        <w:rPr>
          <w:rFonts w:eastAsia="SimSun"/>
          <w:iCs/>
          <w:lang w:eastAsia="ar-SA"/>
        </w:rPr>
        <w:t xml:space="preserve"> entre autres</w:t>
      </w:r>
      <w:r w:rsidR="00295D26">
        <w:rPr>
          <w:rFonts w:eastAsia="SimSun"/>
          <w:iCs/>
          <w:lang w:eastAsia="ar-SA"/>
        </w:rPr>
        <w:t>,</w:t>
      </w:r>
      <w:r>
        <w:rPr>
          <w:rFonts w:eastAsia="SimSun"/>
          <w:iCs/>
          <w:lang w:eastAsia="ar-SA"/>
        </w:rPr>
        <w:t xml:space="preserve"> </w:t>
      </w:r>
      <w:r w:rsidR="00295D26">
        <w:rPr>
          <w:rFonts w:eastAsia="SimSun"/>
          <w:iCs/>
          <w:lang w:eastAsia="ar-SA"/>
        </w:rPr>
        <w:t>par la discrimination</w:t>
      </w:r>
      <w:r>
        <w:rPr>
          <w:rFonts w:eastAsia="SimSun"/>
          <w:iCs/>
          <w:lang w:eastAsia="ar-SA"/>
        </w:rPr>
        <w:t xml:space="preserve">, </w:t>
      </w:r>
      <w:r w:rsidR="00295D26">
        <w:rPr>
          <w:rFonts w:eastAsia="SimSun"/>
          <w:iCs/>
          <w:lang w:eastAsia="ar-SA"/>
        </w:rPr>
        <w:t xml:space="preserve">la </w:t>
      </w:r>
      <w:r>
        <w:rPr>
          <w:rFonts w:eastAsia="SimSun"/>
          <w:iCs/>
          <w:lang w:eastAsia="ar-SA"/>
        </w:rPr>
        <w:t>stig</w:t>
      </w:r>
      <w:r w:rsidR="00295D26">
        <w:rPr>
          <w:rFonts w:eastAsia="SimSun"/>
          <w:iCs/>
          <w:lang w:eastAsia="ar-SA"/>
        </w:rPr>
        <w:t xml:space="preserve">matisation, les </w:t>
      </w:r>
      <w:r>
        <w:rPr>
          <w:rFonts w:eastAsia="SimSun"/>
          <w:iCs/>
          <w:lang w:eastAsia="ar-SA"/>
        </w:rPr>
        <w:t xml:space="preserve">préjugés, </w:t>
      </w:r>
      <w:r w:rsidR="00295D26">
        <w:rPr>
          <w:rFonts w:eastAsia="SimSun"/>
          <w:iCs/>
          <w:lang w:eastAsia="ar-SA"/>
        </w:rPr>
        <w:t>la violence, l</w:t>
      </w:r>
      <w:r>
        <w:rPr>
          <w:rFonts w:eastAsia="SimSun"/>
          <w:iCs/>
          <w:lang w:eastAsia="ar-SA"/>
        </w:rPr>
        <w:t xml:space="preserve">’exclusion sociale et </w:t>
      </w:r>
      <w:r w:rsidR="00BA3106">
        <w:rPr>
          <w:rFonts w:eastAsia="SimSun"/>
          <w:iCs/>
          <w:lang w:eastAsia="ar-SA"/>
        </w:rPr>
        <w:t>la</w:t>
      </w:r>
      <w:r>
        <w:rPr>
          <w:rFonts w:eastAsia="SimSun"/>
          <w:iCs/>
          <w:lang w:eastAsia="ar-SA"/>
        </w:rPr>
        <w:t xml:space="preserve"> ségrégation, </w:t>
      </w:r>
      <w:r w:rsidR="00BA3106">
        <w:rPr>
          <w:rFonts w:eastAsia="SimSun"/>
          <w:iCs/>
          <w:lang w:eastAsia="ar-SA"/>
        </w:rPr>
        <w:t xml:space="preserve">les mesures </w:t>
      </w:r>
      <w:r>
        <w:rPr>
          <w:rFonts w:eastAsia="SimSun"/>
          <w:iCs/>
          <w:lang w:eastAsia="ar-SA"/>
        </w:rPr>
        <w:t>d’internement illégal</w:t>
      </w:r>
      <w:r w:rsidR="00BA3106">
        <w:rPr>
          <w:rFonts w:eastAsia="SimSun"/>
          <w:iCs/>
          <w:lang w:eastAsia="ar-SA"/>
        </w:rPr>
        <w:t>es</w:t>
      </w:r>
      <w:r>
        <w:rPr>
          <w:rFonts w:eastAsia="SimSun"/>
          <w:iCs/>
          <w:lang w:eastAsia="ar-SA"/>
        </w:rPr>
        <w:t xml:space="preserve"> ou arbitraire</w:t>
      </w:r>
      <w:r w:rsidR="00BA3106">
        <w:rPr>
          <w:rFonts w:eastAsia="SimSun"/>
          <w:iCs/>
          <w:lang w:eastAsia="ar-SA"/>
        </w:rPr>
        <w:t>s</w:t>
      </w:r>
      <w:r>
        <w:rPr>
          <w:rFonts w:eastAsia="SimSun"/>
          <w:iCs/>
          <w:lang w:eastAsia="ar-SA"/>
        </w:rPr>
        <w:t xml:space="preserve">, </w:t>
      </w:r>
      <w:r w:rsidR="00BA3106">
        <w:rPr>
          <w:rFonts w:eastAsia="SimSun"/>
          <w:iCs/>
          <w:lang w:eastAsia="ar-SA"/>
        </w:rPr>
        <w:t>la</w:t>
      </w:r>
      <w:r>
        <w:rPr>
          <w:rFonts w:eastAsia="SimSun"/>
          <w:iCs/>
          <w:lang w:eastAsia="ar-SA"/>
        </w:rPr>
        <w:t xml:space="preserve"> médicalisation excessive et </w:t>
      </w:r>
      <w:r w:rsidR="00BA3106">
        <w:rPr>
          <w:rFonts w:eastAsia="SimSun"/>
          <w:iCs/>
          <w:lang w:eastAsia="ar-SA"/>
        </w:rPr>
        <w:t>les</w:t>
      </w:r>
      <w:r>
        <w:rPr>
          <w:rFonts w:eastAsia="SimSun"/>
          <w:iCs/>
          <w:lang w:eastAsia="ar-SA"/>
        </w:rPr>
        <w:t xml:space="preserve"> pratiques thérapeutiques non respectueuses de leur autonomie, de leur </w:t>
      </w:r>
      <w:r w:rsidR="00BA3106">
        <w:rPr>
          <w:rFonts w:eastAsia="SimSun"/>
          <w:iCs/>
          <w:lang w:eastAsia="ar-SA"/>
        </w:rPr>
        <w:t>volonté et de leurs préférences</w:t>
      </w:r>
      <w:r w:rsidR="00AD05F8">
        <w:rPr>
          <w:rFonts w:eastAsia="SimSun"/>
          <w:iCs/>
          <w:lang w:eastAsia="ar-SA"/>
        </w:rPr>
        <w:t>,</w:t>
      </w:r>
      <w:r w:rsidR="00BA3106">
        <w:rPr>
          <w:rFonts w:eastAsia="SimSun"/>
          <w:iCs/>
          <w:lang w:eastAsia="ar-SA"/>
        </w:rPr>
        <w:t xml:space="preserve"> dont peuvent faire l’objet, sur une vaste échelle, les personnes souffrant de troubles mentaux ou d’un handicap psychosocial, en particulier celles qui utilisent des services de santé mentale,</w:t>
      </w:r>
    </w:p>
    <w:p w:rsidR="00735A79" w:rsidRDefault="00735A79" w:rsidP="00735A79">
      <w:pPr>
        <w:pStyle w:val="SingleTxtG"/>
        <w:ind w:firstLine="567"/>
        <w:rPr>
          <w:rFonts w:eastAsia="SimSun"/>
          <w:iCs/>
          <w:lang w:eastAsia="ar-SA"/>
        </w:rPr>
      </w:pPr>
      <w:r>
        <w:rPr>
          <w:rFonts w:eastAsia="SimSun"/>
          <w:i/>
          <w:iCs/>
          <w:lang w:eastAsia="ar-SA"/>
        </w:rPr>
        <w:t xml:space="preserve">Également préoccupé </w:t>
      </w:r>
      <w:r>
        <w:rPr>
          <w:rFonts w:eastAsia="SimSun"/>
          <w:iCs/>
          <w:lang w:eastAsia="ar-SA"/>
        </w:rPr>
        <w:t xml:space="preserve">par le fait que de telles pratiques peuvent constituer des violations et des atteintes de leurs droits de l’homme et libertés fondamentales et </w:t>
      </w:r>
      <w:r w:rsidR="00233B24">
        <w:rPr>
          <w:rFonts w:eastAsia="SimSun"/>
          <w:iCs/>
          <w:lang w:eastAsia="ar-SA"/>
        </w:rPr>
        <w:t>sont</w:t>
      </w:r>
      <w:r>
        <w:rPr>
          <w:rFonts w:eastAsia="SimSun"/>
          <w:iCs/>
          <w:lang w:eastAsia="ar-SA"/>
        </w:rPr>
        <w:t xml:space="preserve"> parfois </w:t>
      </w:r>
      <w:r w:rsidR="00233B24">
        <w:rPr>
          <w:rFonts w:eastAsia="SimSun"/>
          <w:iCs/>
          <w:lang w:eastAsia="ar-SA"/>
        </w:rPr>
        <w:t xml:space="preserve">constitutives d’actes </w:t>
      </w:r>
      <w:r>
        <w:rPr>
          <w:rFonts w:eastAsia="SimSun"/>
          <w:iCs/>
          <w:lang w:eastAsia="ar-SA"/>
        </w:rPr>
        <w:t xml:space="preserve">de torture ou </w:t>
      </w:r>
      <w:r w:rsidR="00233B24">
        <w:rPr>
          <w:rFonts w:eastAsia="SimSun"/>
          <w:iCs/>
          <w:lang w:eastAsia="ar-SA"/>
        </w:rPr>
        <w:t>d’</w:t>
      </w:r>
      <w:r>
        <w:rPr>
          <w:rFonts w:eastAsia="SimSun"/>
          <w:iCs/>
          <w:lang w:eastAsia="ar-SA"/>
        </w:rPr>
        <w:t xml:space="preserve">autres peines ou traitements cruels, inhumains ou dégradants, et conscient qu’il est nécessaire de faire preuve d’une plus grande détermination face à tous les défis qui restent à relever en la matière, </w:t>
      </w:r>
    </w:p>
    <w:p w:rsidR="00735A79" w:rsidRDefault="00735A79" w:rsidP="00735A79">
      <w:pPr>
        <w:pStyle w:val="SingleTxtG"/>
        <w:ind w:firstLine="567"/>
        <w:rPr>
          <w:rFonts w:eastAsia="SimSun"/>
          <w:iCs/>
          <w:lang w:eastAsia="ar-SA"/>
        </w:rPr>
      </w:pPr>
      <w:r>
        <w:rPr>
          <w:rFonts w:eastAsia="SimSun"/>
          <w:i/>
          <w:iCs/>
          <w:lang w:eastAsia="ar-SA"/>
        </w:rPr>
        <w:t xml:space="preserve">Reconnaissant </w:t>
      </w:r>
      <w:r w:rsidR="00233B24">
        <w:rPr>
          <w:rFonts w:eastAsia="SimSun"/>
          <w:iCs/>
          <w:lang w:eastAsia="ar-SA"/>
        </w:rPr>
        <w:t>la nécessité</w:t>
      </w:r>
      <w:r>
        <w:rPr>
          <w:rFonts w:eastAsia="SimSun"/>
          <w:iCs/>
          <w:lang w:eastAsia="ar-SA"/>
        </w:rPr>
        <w:t xml:space="preserve"> de protéger, de promouvoir et de respecter tous les droits de l’homme dans le cadre de la réponse </w:t>
      </w:r>
      <w:r w:rsidR="00233B24">
        <w:rPr>
          <w:rFonts w:eastAsia="SimSun"/>
          <w:iCs/>
          <w:lang w:eastAsia="ar-SA"/>
        </w:rPr>
        <w:t>intégrée</w:t>
      </w:r>
      <w:r>
        <w:rPr>
          <w:rFonts w:eastAsia="SimSun"/>
          <w:iCs/>
          <w:lang w:eastAsia="ar-SA"/>
        </w:rPr>
        <w:t xml:space="preserve"> aux questions relatives à la santé mentale,</w:t>
      </w:r>
      <w:r w:rsidR="00233B24">
        <w:rPr>
          <w:rFonts w:eastAsia="SimSun"/>
          <w:iCs/>
          <w:lang w:eastAsia="ar-SA"/>
        </w:rPr>
        <w:t xml:space="preserve"> et soulignant que les services de santé mentale et les services communautaires devraient</w:t>
      </w:r>
      <w:r>
        <w:rPr>
          <w:rFonts w:eastAsia="SimSun"/>
          <w:iCs/>
          <w:lang w:eastAsia="ar-SA"/>
        </w:rPr>
        <w:t xml:space="preserve"> intégrer une démarche fondée sur les droits de l’homme de façon à éviter tout préjudice aux personnes qui les utilisent,</w:t>
      </w:r>
    </w:p>
    <w:p w:rsidR="00735A79" w:rsidRDefault="00735A79" w:rsidP="00735A79">
      <w:pPr>
        <w:pStyle w:val="SingleTxtG"/>
        <w:ind w:firstLine="567"/>
      </w:pPr>
      <w:r>
        <w:rPr>
          <w:i/>
        </w:rPr>
        <w:t xml:space="preserve">Convaincu </w:t>
      </w:r>
      <w:r w:rsidR="001F7D05">
        <w:t xml:space="preserve">que, </w:t>
      </w:r>
      <w:r>
        <w:t xml:space="preserve">dans l’exercice de sa responsabilité </w:t>
      </w:r>
      <w:r w:rsidR="001F7D05">
        <w:t>pour ce qui est de</w:t>
      </w:r>
      <w:r>
        <w:t xml:space="preserve"> promouvoir le respect universel et la défense de tous les droits de l’homme et de toutes les libertés fondamentales, pour tous, sans distinction aucune de façon juste et équitable,</w:t>
      </w:r>
      <w:r w:rsidR="001F7D05">
        <w:t xml:space="preserve"> le Conseil des droits de l’homme</w:t>
      </w:r>
      <w:r>
        <w:t xml:space="preserve"> a un rôle important à jouer dans le domaine de la santé mentale et des droits de l’homme </w:t>
      </w:r>
      <w:r w:rsidR="001F7D05">
        <w:t>aux fins d’encourager</w:t>
      </w:r>
      <w:r>
        <w:t xml:space="preserve"> un dialogue constructif et une coopération au niveau </w:t>
      </w:r>
      <w:r w:rsidR="001F7D05">
        <w:t>inter</w:t>
      </w:r>
      <w:r>
        <w:t xml:space="preserve">national et de promouvoir </w:t>
      </w:r>
      <w:r w:rsidR="001F7D05">
        <w:t xml:space="preserve">l’éducation </w:t>
      </w:r>
      <w:r w:rsidR="00D6522C">
        <w:t>et la formation dans le domaine</w:t>
      </w:r>
      <w:r w:rsidR="001F7D05">
        <w:t xml:space="preserve"> des droits de l’homme, ainsi que l’assistance technique, le renforcement des capacités et </w:t>
      </w:r>
      <w:r>
        <w:t>les activités de sensibilisation,</w:t>
      </w:r>
    </w:p>
    <w:p w:rsidR="00735A79" w:rsidRDefault="001F7D05" w:rsidP="00735A79">
      <w:pPr>
        <w:pStyle w:val="SingleTxtG"/>
        <w:ind w:firstLine="567"/>
      </w:pPr>
      <w:r>
        <w:rPr>
          <w:i/>
        </w:rPr>
        <w:t>Notant</w:t>
      </w:r>
      <w:r w:rsidR="00735A79">
        <w:t xml:space="preserve"> le rôle de chef de file que joue l’Organisation mondiale de la Santé dans le domaine de la santé et le travail qu’elle a accompli jusqu’à présent </w:t>
      </w:r>
      <w:r w:rsidR="00EF39C2">
        <w:t>en vue</w:t>
      </w:r>
      <w:r w:rsidR="00735A79">
        <w:t xml:space="preserve"> </w:t>
      </w:r>
      <w:r w:rsidR="00EF39C2">
        <w:t>d’</w:t>
      </w:r>
      <w:r w:rsidR="00735A79">
        <w:t xml:space="preserve">intégrer, entre autres, une </w:t>
      </w:r>
      <w:r w:rsidR="00EF39C2">
        <w:t xml:space="preserve">approche fondée sur les </w:t>
      </w:r>
      <w:r w:rsidR="00735A79">
        <w:t xml:space="preserve">droits de l’homme dans </w:t>
      </w:r>
      <w:r w:rsidR="00EF39C2">
        <w:t xml:space="preserve">la problématique de la </w:t>
      </w:r>
      <w:r w:rsidR="00735A79">
        <w:t xml:space="preserve">santé mentale, et rappelant que les États se sont engagés à atteindre ce but </w:t>
      </w:r>
      <w:r w:rsidR="00EF39C2">
        <w:t>au moyen du</w:t>
      </w:r>
      <w:r w:rsidR="00735A79">
        <w:t xml:space="preserve"> Plan d’action pour la santé mentale 2013</w:t>
      </w:r>
      <w:r w:rsidR="005C7157">
        <w:noBreakHyphen/>
      </w:r>
      <w:r w:rsidR="00735A79">
        <w:t>2020,</w:t>
      </w:r>
    </w:p>
    <w:p w:rsidR="00735A79" w:rsidRDefault="00735A79" w:rsidP="00735A79">
      <w:pPr>
        <w:pStyle w:val="SingleTxtG"/>
        <w:ind w:firstLine="567"/>
      </w:pPr>
      <w:r>
        <w:t>1.</w:t>
      </w:r>
      <w:r>
        <w:tab/>
      </w:r>
      <w:r>
        <w:rPr>
          <w:i/>
        </w:rPr>
        <w:t xml:space="preserve">Réaffirme </w:t>
      </w:r>
      <w:r w:rsidRPr="00B60C38">
        <w:t>que les États</w:t>
      </w:r>
      <w:r>
        <w:t xml:space="preserve"> sont tenus de promouvoir </w:t>
      </w:r>
      <w:r w:rsidR="005C7157">
        <w:t>et</w:t>
      </w:r>
      <w:r>
        <w:t xml:space="preserve"> de protéger tous les droits de l’homme et les libertés fondamentales et de veiller à ce que les politiques et les services relatifs à la santé mentale soient conformes aux normes internationales des droits de l’homme ;</w:t>
      </w:r>
    </w:p>
    <w:p w:rsidR="00735A79" w:rsidRDefault="00735A79" w:rsidP="00735A79">
      <w:pPr>
        <w:pStyle w:val="SingleTxtG"/>
        <w:ind w:firstLine="567"/>
      </w:pPr>
      <w:r>
        <w:t>2.</w:t>
      </w:r>
      <w:r>
        <w:tab/>
      </w:r>
      <w:r w:rsidR="005C7157">
        <w:rPr>
          <w:i/>
        </w:rPr>
        <w:t>Considère</w:t>
      </w:r>
      <w:r>
        <w:t xml:space="preserve"> qu’il est nécessaire que les États prennent des mesures concrètes pour intégrer pleinement </w:t>
      </w:r>
      <w:r w:rsidR="005C7157">
        <w:t>une approche fondée sur les</w:t>
      </w:r>
      <w:r>
        <w:t xml:space="preserve"> droits de l’homme dans le services de santé mentale et les services communautaires, notamment afin d’éliminer toutes les formes de violence et de discrimination dans ce contexte, et po</w:t>
      </w:r>
      <w:r w:rsidR="001809E4">
        <w:t>ur promouvoir le droit de toute personne</w:t>
      </w:r>
      <w:r>
        <w:t xml:space="preserve"> à une intégration complète et à une participation effective dans la société ;</w:t>
      </w:r>
    </w:p>
    <w:p w:rsidR="00735A79" w:rsidRDefault="00735A79" w:rsidP="001C3B95">
      <w:pPr>
        <w:pStyle w:val="SingleTxtG"/>
        <w:keepNext/>
        <w:keepLines/>
        <w:ind w:firstLine="567"/>
      </w:pPr>
      <w:r>
        <w:lastRenderedPageBreak/>
        <w:t>3.</w:t>
      </w:r>
      <w:r>
        <w:tab/>
      </w:r>
      <w:r>
        <w:rPr>
          <w:i/>
        </w:rPr>
        <w:t>Prie</w:t>
      </w:r>
      <w:r>
        <w:t xml:space="preserve"> le Haut-Commissaire des Nations Unies aux droits de l’homme d’établir un rapport sur l’intégration d’une </w:t>
      </w:r>
      <w:r w:rsidR="001809E4">
        <w:t>approche</w:t>
      </w:r>
      <w:r>
        <w:t xml:space="preserve"> fondée sur les droits de l’homme dans le domaine de la santé mentale et la réalisation des droits de l’homme et des libertés fondamentales des personnes souffrant </w:t>
      </w:r>
      <w:r w:rsidR="00B40338">
        <w:t>d’un trouble mental</w:t>
      </w:r>
      <w:r>
        <w:t xml:space="preserve"> ou d’un handicap psychosocial, notamment </w:t>
      </w:r>
      <w:r w:rsidR="00120B97">
        <w:t>celles</w:t>
      </w:r>
      <w:r>
        <w:t xml:space="preserve"> qui utilisent des services de santé mentale et </w:t>
      </w:r>
      <w:r w:rsidR="002308F8">
        <w:t xml:space="preserve">des services </w:t>
      </w:r>
      <w:r>
        <w:t>communautaires et de lui soumettre à sa trente-quatrième session</w:t>
      </w:r>
      <w:r w:rsidR="002308F8">
        <w:t xml:space="preserve"> ce rapport,</w:t>
      </w:r>
      <w:r>
        <w:t xml:space="preserve"> dans lequel il :</w:t>
      </w:r>
    </w:p>
    <w:p w:rsidR="00735A79" w:rsidRDefault="00735A79" w:rsidP="00735A79">
      <w:pPr>
        <w:pStyle w:val="SingleTxtG"/>
        <w:ind w:firstLine="567"/>
      </w:pPr>
      <w:r>
        <w:rPr>
          <w:i/>
        </w:rPr>
        <w:t>a</w:t>
      </w:r>
      <w:r w:rsidRPr="00D30BCE">
        <w:t>)</w:t>
      </w:r>
      <w:r>
        <w:tab/>
        <w:t>Recensera les problèmes qui se posent actuellement et les bonnes pratiques naissantes et fera des recommandations à cet ég</w:t>
      </w:r>
      <w:bookmarkStart w:id="0" w:name="_GoBack"/>
      <w:bookmarkEnd w:id="0"/>
      <w:r>
        <w:t>ard ;</w:t>
      </w:r>
    </w:p>
    <w:p w:rsidR="00735A79" w:rsidRDefault="00735A79" w:rsidP="00735A79">
      <w:pPr>
        <w:pStyle w:val="SingleTxtG"/>
        <w:ind w:firstLine="567"/>
      </w:pPr>
      <w:r>
        <w:rPr>
          <w:i/>
        </w:rPr>
        <w:t>b</w:t>
      </w:r>
      <w:r>
        <w:t>)</w:t>
      </w:r>
      <w:r>
        <w:tab/>
      </w:r>
      <w:r w:rsidR="001C3B95">
        <w:t>Proposera</w:t>
      </w:r>
      <w:r>
        <w:t xml:space="preserve"> des moyens </w:t>
      </w:r>
      <w:r w:rsidR="001C3B95">
        <w:t xml:space="preserve">pour promouvoir </w:t>
      </w:r>
      <w:r>
        <w:t>l’assistance technique et le renforcement des capacités, en tenant compte des activités et des expériences dans ce domaine, en consultation avec les États concernés et avec leur accord ;</w:t>
      </w:r>
    </w:p>
    <w:p w:rsidR="00735A79" w:rsidRDefault="00735A79" w:rsidP="00735A79">
      <w:pPr>
        <w:pStyle w:val="SingleTxtG"/>
        <w:ind w:firstLine="567"/>
      </w:pPr>
      <w:r>
        <w:t>4.</w:t>
      </w:r>
      <w:r>
        <w:tab/>
      </w:r>
      <w:r>
        <w:rPr>
          <w:i/>
        </w:rPr>
        <w:t>Encourage</w:t>
      </w:r>
      <w:r>
        <w:t xml:space="preserve"> le Haut-Commissaire, lorsqu’il élaborera </w:t>
      </w:r>
      <w:r w:rsidR="001C3B95">
        <w:t>le rapport susmentionné, à</w:t>
      </w:r>
      <w:r>
        <w:t xml:space="preserve"> prendre contact avec les États Membres et toutes les </w:t>
      </w:r>
      <w:r w:rsidR="00E46F0D">
        <w:t xml:space="preserve">autres </w:t>
      </w:r>
      <w:r>
        <w:t>parties prenantes, selon qu’il conviendra, y compris les organes, organismes, fonds et programmes compétents des Nations Unies, en particulier l’Organisation mondiale de la Santé, les procédures spéciales, notamment le Rapporteur spécial sur le droit qu’a toute personne à la jouissance du meilleur niveau de santé physique et mentale possible et le Rapporteur spécial sur les droits des personnes handicapées, les organes conventionnels, les institutions nationales des droits de l’homme et la société civile</w:t>
      </w:r>
      <w:r w:rsidR="00E46F0D">
        <w:t>, et à recueillir</w:t>
      </w:r>
      <w:r>
        <w:t xml:space="preserve"> leurs avis ;</w:t>
      </w:r>
    </w:p>
    <w:p w:rsidR="00735A79" w:rsidRDefault="00735A79" w:rsidP="00735A79">
      <w:pPr>
        <w:pStyle w:val="SingleTxtG"/>
        <w:ind w:firstLine="567"/>
      </w:pPr>
      <w:r>
        <w:t>5.</w:t>
      </w:r>
      <w:r>
        <w:tab/>
      </w:r>
      <w:r>
        <w:rPr>
          <w:i/>
        </w:rPr>
        <w:t>Décide</w:t>
      </w:r>
      <w:r>
        <w:t xml:space="preserve"> de rester saisi de la question.</w:t>
      </w:r>
    </w:p>
    <w:p w:rsidR="00AD2FF4" w:rsidRPr="00AD2FF4" w:rsidRDefault="00AD2FF4" w:rsidP="00AD2FF4">
      <w:pPr>
        <w:pStyle w:val="SingleTxtG"/>
        <w:spacing w:before="240" w:after="0"/>
        <w:jc w:val="center"/>
        <w:rPr>
          <w:u w:val="single"/>
        </w:rPr>
      </w:pPr>
      <w:r>
        <w:rPr>
          <w:u w:val="single"/>
        </w:rPr>
        <w:tab/>
      </w:r>
      <w:r>
        <w:rPr>
          <w:u w:val="single"/>
        </w:rPr>
        <w:tab/>
      </w:r>
      <w:r>
        <w:rPr>
          <w:u w:val="single"/>
        </w:rPr>
        <w:tab/>
      </w:r>
    </w:p>
    <w:sectPr w:rsidR="00AD2FF4" w:rsidRPr="00AD2FF4" w:rsidSect="006C3115">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F36" w:rsidRPr="00EF7F30" w:rsidRDefault="00BC1F36" w:rsidP="00EF7F30">
      <w:pPr>
        <w:pStyle w:val="Pieddepage"/>
      </w:pPr>
    </w:p>
  </w:endnote>
  <w:endnote w:type="continuationSeparator" w:id="0">
    <w:p w:rsidR="00BC1F36" w:rsidRPr="00EF7F30" w:rsidRDefault="00BC1F36" w:rsidP="00EF7F30">
      <w:pPr>
        <w:pStyle w:val="Pieddepage"/>
      </w:pPr>
    </w:p>
  </w:endnote>
  <w:endnote w:type="continuationNotice" w:id="1">
    <w:p w:rsidR="00BC1F36" w:rsidRDefault="00BC1F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15" w:rsidRPr="006C3115" w:rsidRDefault="006C3115" w:rsidP="006C3115">
    <w:pPr>
      <w:pStyle w:val="Pieddepage"/>
      <w:tabs>
        <w:tab w:val="right" w:pos="9638"/>
      </w:tabs>
    </w:pPr>
    <w:r w:rsidRPr="006C3115">
      <w:rPr>
        <w:b/>
        <w:sz w:val="18"/>
      </w:rPr>
      <w:fldChar w:fldCharType="begin"/>
    </w:r>
    <w:r w:rsidRPr="006C3115">
      <w:rPr>
        <w:b/>
        <w:sz w:val="18"/>
      </w:rPr>
      <w:instrText xml:space="preserve"> PAGE  \* MERGEFORMAT </w:instrText>
    </w:r>
    <w:r w:rsidRPr="006C3115">
      <w:rPr>
        <w:b/>
        <w:sz w:val="18"/>
      </w:rPr>
      <w:fldChar w:fldCharType="separate"/>
    </w:r>
    <w:r w:rsidR="00D6522C">
      <w:rPr>
        <w:b/>
        <w:noProof/>
        <w:sz w:val="18"/>
      </w:rPr>
      <w:t>2</w:t>
    </w:r>
    <w:r w:rsidRPr="006C3115">
      <w:rPr>
        <w:b/>
        <w:sz w:val="18"/>
      </w:rPr>
      <w:fldChar w:fldCharType="end"/>
    </w:r>
    <w:r>
      <w:rPr>
        <w:b/>
        <w:sz w:val="18"/>
      </w:rPr>
      <w:tab/>
    </w:r>
    <w:r>
      <w:t>GE.16-11073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15" w:rsidRPr="006C3115" w:rsidRDefault="006C3115" w:rsidP="006C3115">
    <w:pPr>
      <w:pStyle w:val="Pieddepage"/>
      <w:tabs>
        <w:tab w:val="right" w:pos="9638"/>
      </w:tabs>
      <w:rPr>
        <w:b/>
        <w:sz w:val="18"/>
      </w:rPr>
    </w:pPr>
    <w:r>
      <w:t>GE.16-11073</w:t>
    </w:r>
    <w:r>
      <w:tab/>
    </w:r>
    <w:r w:rsidRPr="006C3115">
      <w:rPr>
        <w:b/>
        <w:sz w:val="18"/>
      </w:rPr>
      <w:fldChar w:fldCharType="begin"/>
    </w:r>
    <w:r w:rsidRPr="006C3115">
      <w:rPr>
        <w:b/>
        <w:sz w:val="18"/>
      </w:rPr>
      <w:instrText xml:space="preserve"> PAGE  \* MERGEFORMAT </w:instrText>
    </w:r>
    <w:r w:rsidRPr="006C3115">
      <w:rPr>
        <w:b/>
        <w:sz w:val="18"/>
      </w:rPr>
      <w:fldChar w:fldCharType="separate"/>
    </w:r>
    <w:r w:rsidR="00485203">
      <w:rPr>
        <w:b/>
        <w:noProof/>
        <w:sz w:val="18"/>
      </w:rPr>
      <w:t>3</w:t>
    </w:r>
    <w:r w:rsidRPr="006C311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2E" w:rsidRPr="006C3115" w:rsidRDefault="006C3115" w:rsidP="006C3115">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0A64F8F5" wp14:editId="5EAF82ED">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16-11073  (F)    300616    300616</w:t>
    </w:r>
    <w:r>
      <w:rPr>
        <w:sz w:val="20"/>
      </w:rPr>
      <w:br/>
    </w:r>
    <w:r w:rsidRPr="006C3115">
      <w:rPr>
        <w:rFonts w:ascii="C39T30Lfz" w:hAnsi="C39T30Lfz"/>
        <w:sz w:val="56"/>
      </w:rPr>
      <w:t></w:t>
    </w:r>
    <w:r w:rsidRPr="006C3115">
      <w:rPr>
        <w:rFonts w:ascii="C39T30Lfz" w:hAnsi="C39T30Lfz"/>
        <w:sz w:val="56"/>
      </w:rPr>
      <w:t></w:t>
    </w:r>
    <w:r w:rsidRPr="006C3115">
      <w:rPr>
        <w:rFonts w:ascii="C39T30Lfz" w:hAnsi="C39T30Lfz"/>
        <w:sz w:val="56"/>
      </w:rPr>
      <w:t></w:t>
    </w:r>
    <w:r w:rsidRPr="006C3115">
      <w:rPr>
        <w:rFonts w:ascii="C39T30Lfz" w:hAnsi="C39T30Lfz"/>
        <w:sz w:val="56"/>
      </w:rPr>
      <w:t></w:t>
    </w:r>
    <w:r w:rsidRPr="006C3115">
      <w:rPr>
        <w:rFonts w:ascii="C39T30Lfz" w:hAnsi="C39T30Lfz"/>
        <w:sz w:val="56"/>
      </w:rPr>
      <w:t></w:t>
    </w:r>
    <w:r w:rsidRPr="006C3115">
      <w:rPr>
        <w:rFonts w:ascii="C39T30Lfz" w:hAnsi="C39T30Lfz"/>
        <w:sz w:val="56"/>
      </w:rPr>
      <w:t></w:t>
    </w:r>
    <w:r w:rsidRPr="006C3115">
      <w:rPr>
        <w:rFonts w:ascii="C39T30Lfz" w:hAnsi="C39T30Lfz"/>
        <w:sz w:val="56"/>
      </w:rPr>
      <w:t></w:t>
    </w:r>
    <w:r w:rsidRPr="006C3115">
      <w:rPr>
        <w:rFonts w:ascii="C39T30Lfz" w:hAnsi="C39T30Lfz"/>
        <w:sz w:val="56"/>
      </w:rPr>
      <w:t></w:t>
    </w:r>
    <w:r w:rsidRPr="006C3115">
      <w:rPr>
        <w:rFonts w:ascii="C39T30Lfz" w:hAnsi="C39T30Lfz"/>
        <w:sz w:val="56"/>
      </w:rPr>
      <w:t></w:t>
    </w:r>
    <w:r>
      <w:rPr>
        <w:noProof/>
        <w:sz w:val="20"/>
        <w:lang w:eastAsia="fr-CH"/>
      </w:rPr>
      <w:drawing>
        <wp:anchor distT="0" distB="0" distL="114300" distR="114300" simplePos="0" relativeHeight="251660288" behindDoc="0" locked="0" layoutInCell="1" allowOverlap="1" wp14:anchorId="0E3EB995" wp14:editId="176249CB">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A/HRC/32/L.2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L.2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F36" w:rsidRPr="00EF7F30" w:rsidRDefault="00BC1F36"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BC1F36" w:rsidRPr="00EF7F30" w:rsidRDefault="00BC1F36" w:rsidP="000E5ADA">
      <w:pPr>
        <w:pStyle w:val="Pieddepage"/>
        <w:tabs>
          <w:tab w:val="right" w:pos="2155"/>
        </w:tabs>
        <w:spacing w:after="80" w:line="240" w:lineRule="atLeast"/>
        <w:ind w:left="680"/>
      </w:pPr>
      <w:r w:rsidRPr="00EF7F30">
        <w:rPr>
          <w:u w:val="single"/>
        </w:rPr>
        <w:tab/>
      </w:r>
    </w:p>
  </w:footnote>
  <w:footnote w:type="continuationNotice" w:id="1">
    <w:p w:rsidR="00BC1F36" w:rsidRPr="000F2457" w:rsidRDefault="00BC1F36">
      <w:pPr>
        <w:spacing w:line="240" w:lineRule="auto"/>
        <w:rPr>
          <w:sz w:val="2"/>
          <w:szCs w:val="2"/>
        </w:rPr>
      </w:pPr>
    </w:p>
  </w:footnote>
  <w:footnote w:id="2">
    <w:p w:rsidR="00784486" w:rsidRPr="00784486" w:rsidRDefault="00784486">
      <w:pPr>
        <w:pStyle w:val="Notedebasdepage"/>
      </w:pPr>
      <w:r>
        <w:rPr>
          <w:rStyle w:val="Appelnotedebasdep"/>
        </w:rPr>
        <w:tab/>
      </w:r>
      <w:r w:rsidRPr="00784486">
        <w:rPr>
          <w:rStyle w:val="Appelnotedebasdep"/>
          <w:sz w:val="20"/>
          <w:vertAlign w:val="baseline"/>
        </w:rPr>
        <w:t>*</w:t>
      </w:r>
      <w:r>
        <w:rPr>
          <w:rStyle w:val="Appelnotedebasdep"/>
          <w:sz w:val="20"/>
          <w:vertAlign w:val="baseline"/>
        </w:rPr>
        <w:tab/>
      </w:r>
      <w:r>
        <w:t>État non membre du Conseil des droits de l’homme.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15" w:rsidRPr="006C3115" w:rsidRDefault="006C3115">
    <w:pPr>
      <w:pStyle w:val="En-tte"/>
    </w:pPr>
    <w:r>
      <w:t>A/HRC/32/L.26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15" w:rsidRPr="006C3115" w:rsidRDefault="006C3115" w:rsidP="006C3115">
    <w:pPr>
      <w:pStyle w:val="En-tte"/>
      <w:jc w:val="right"/>
    </w:pPr>
    <w:r>
      <w:t>A/HRC/32/L.26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F36"/>
    <w:rsid w:val="00023842"/>
    <w:rsid w:val="0007796D"/>
    <w:rsid w:val="000B0052"/>
    <w:rsid w:val="000B6A4C"/>
    <w:rsid w:val="000E5ADA"/>
    <w:rsid w:val="000F2457"/>
    <w:rsid w:val="00111F2F"/>
    <w:rsid w:val="00120B97"/>
    <w:rsid w:val="0014365E"/>
    <w:rsid w:val="00176178"/>
    <w:rsid w:val="001809E4"/>
    <w:rsid w:val="001C3B95"/>
    <w:rsid w:val="001F525A"/>
    <w:rsid w:val="001F7D05"/>
    <w:rsid w:val="00212168"/>
    <w:rsid w:val="002308F8"/>
    <w:rsid w:val="00233B24"/>
    <w:rsid w:val="00260711"/>
    <w:rsid w:val="00295D26"/>
    <w:rsid w:val="002E0D9C"/>
    <w:rsid w:val="003547BE"/>
    <w:rsid w:val="003D03B5"/>
    <w:rsid w:val="00446FE5"/>
    <w:rsid w:val="00485203"/>
    <w:rsid w:val="0051746E"/>
    <w:rsid w:val="00552797"/>
    <w:rsid w:val="00573BE5"/>
    <w:rsid w:val="00574B52"/>
    <w:rsid w:val="00586ED3"/>
    <w:rsid w:val="00587A52"/>
    <w:rsid w:val="005B4E23"/>
    <w:rsid w:val="005C7157"/>
    <w:rsid w:val="00617B29"/>
    <w:rsid w:val="0068446C"/>
    <w:rsid w:val="00691E24"/>
    <w:rsid w:val="00695AED"/>
    <w:rsid w:val="006C3115"/>
    <w:rsid w:val="00710BD6"/>
    <w:rsid w:val="0071601D"/>
    <w:rsid w:val="00721020"/>
    <w:rsid w:val="00731589"/>
    <w:rsid w:val="00735A79"/>
    <w:rsid w:val="00784486"/>
    <w:rsid w:val="0080684C"/>
    <w:rsid w:val="00871C75"/>
    <w:rsid w:val="008776DC"/>
    <w:rsid w:val="008A1873"/>
    <w:rsid w:val="0094352E"/>
    <w:rsid w:val="00962015"/>
    <w:rsid w:val="009705C8"/>
    <w:rsid w:val="009A47AB"/>
    <w:rsid w:val="00A11031"/>
    <w:rsid w:val="00A12E20"/>
    <w:rsid w:val="00AD05F8"/>
    <w:rsid w:val="00AD2FF4"/>
    <w:rsid w:val="00AE323C"/>
    <w:rsid w:val="00B16AAF"/>
    <w:rsid w:val="00B22A9E"/>
    <w:rsid w:val="00B24C75"/>
    <w:rsid w:val="00B40338"/>
    <w:rsid w:val="00B528BF"/>
    <w:rsid w:val="00BA3106"/>
    <w:rsid w:val="00BC1F36"/>
    <w:rsid w:val="00C02897"/>
    <w:rsid w:val="00C12613"/>
    <w:rsid w:val="00D45432"/>
    <w:rsid w:val="00D6522C"/>
    <w:rsid w:val="00DB1831"/>
    <w:rsid w:val="00DD3BFD"/>
    <w:rsid w:val="00E228A8"/>
    <w:rsid w:val="00E46F0D"/>
    <w:rsid w:val="00EF39C2"/>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SingleTxtGChar">
    <w:name w:val="_ Single Txt_G Char"/>
    <w:link w:val="SingleTxtG"/>
    <w:rsid w:val="00735A79"/>
    <w:rPr>
      <w:rFonts w:ascii="Times New Roman" w:eastAsia="Times New Roman" w:hAnsi="Times New Roman" w:cs="Times New Roman"/>
      <w:sz w:val="20"/>
      <w:szCs w:val="20"/>
      <w:lang w:eastAsia="en-US"/>
    </w:rPr>
  </w:style>
  <w:style w:type="character" w:customStyle="1" w:styleId="H1GChar">
    <w:name w:val="_ H_1_G Char"/>
    <w:link w:val="H1G"/>
    <w:rsid w:val="00735A79"/>
    <w:rPr>
      <w:rFonts w:ascii="Times New Roman" w:eastAsia="Times New Roman" w:hAnsi="Times New Roman" w:cs="Times New Roman"/>
      <w:b/>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rsid w:val="00023842"/>
    <w:rPr>
      <w:rFonts w:ascii="Times New Roman" w:hAnsi="Times New Roman"/>
      <w:sz w:val="18"/>
      <w:vertAlign w:val="superscript"/>
      <w:lang w:val="fr-CH"/>
    </w:rPr>
  </w:style>
  <w:style w:type="table" w:styleId="Grilledutableau">
    <w:name w:val="Table Grid"/>
    <w:basedOn w:val="Tableau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212168"/>
    <w:rPr>
      <w:color w:val="0000FF"/>
      <w:u w:val="none"/>
    </w:rPr>
  </w:style>
  <w:style w:type="character" w:styleId="Lienhypertextesuivivisit">
    <w:name w:val="FollowedHyperlink"/>
    <w:basedOn w:val="Policepardfaut"/>
    <w:unhideWhenUsed/>
    <w:rsid w:val="002121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SingleTxtGChar">
    <w:name w:val="_ Single Txt_G Char"/>
    <w:link w:val="SingleTxtG"/>
    <w:rsid w:val="00735A79"/>
    <w:rPr>
      <w:rFonts w:ascii="Times New Roman" w:eastAsia="Times New Roman" w:hAnsi="Times New Roman" w:cs="Times New Roman"/>
      <w:sz w:val="20"/>
      <w:szCs w:val="20"/>
      <w:lang w:eastAsia="en-US"/>
    </w:rPr>
  </w:style>
  <w:style w:type="character" w:customStyle="1" w:styleId="H1GChar">
    <w:name w:val="_ H_1_G Char"/>
    <w:link w:val="H1G"/>
    <w:rsid w:val="00735A79"/>
    <w:rPr>
      <w:rFonts w:ascii="Times New Roman" w:eastAsia="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AB133-7DB8-4D4E-860E-914DA0C62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3</Pages>
  <Words>1136</Words>
  <Characters>6230</Characters>
  <Application>Microsoft Office Word</Application>
  <DocSecurity>0</DocSecurity>
  <Lines>107</Lines>
  <Paragraphs>35</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A/HRC/32/L.26</dc:title>
  <dc:subject/>
  <dc:creator>Chautagnat</dc:creator>
  <cp:keywords/>
  <dc:description/>
  <cp:lastModifiedBy>Chautagnat</cp:lastModifiedBy>
  <cp:revision>2</cp:revision>
  <dcterms:created xsi:type="dcterms:W3CDTF">2016-06-30T12:07:00Z</dcterms:created>
  <dcterms:modified xsi:type="dcterms:W3CDTF">2016-06-30T12:07:00Z</dcterms:modified>
</cp:coreProperties>
</file>