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2D7877A1" w14:textId="77777777" w:rsidTr="00281242">
        <w:trPr>
          <w:trHeight w:hRule="exact" w:val="851"/>
        </w:trPr>
        <w:tc>
          <w:tcPr>
            <w:tcW w:w="1274" w:type="dxa"/>
            <w:tcBorders>
              <w:bottom w:val="single" w:sz="4" w:space="0" w:color="auto"/>
            </w:tcBorders>
            <w:shd w:val="clear" w:color="auto" w:fill="auto"/>
          </w:tcPr>
          <w:p w14:paraId="4C04A482"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6927EC36"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3B9DBD6B" w14:textId="77777777" w:rsidR="006B3E27" w:rsidRPr="00281242" w:rsidRDefault="005E2932" w:rsidP="00A64A00">
            <w:pPr>
              <w:bidi w:val="0"/>
              <w:spacing w:after="20"/>
              <w:jc w:val="left"/>
              <w:rPr>
                <w:szCs w:val="20"/>
              </w:rPr>
            </w:pPr>
            <w:r w:rsidRPr="005E2932">
              <w:rPr>
                <w:sz w:val="40"/>
                <w:szCs w:val="20"/>
              </w:rPr>
              <w:t>A</w:t>
            </w:r>
            <w:r>
              <w:rPr>
                <w:szCs w:val="20"/>
              </w:rPr>
              <w:t>/HRC/44/L.3</w:t>
            </w:r>
          </w:p>
        </w:tc>
      </w:tr>
      <w:tr w:rsidR="006B3E27" w:rsidRPr="00ED7442" w14:paraId="2D23B4F8" w14:textId="77777777" w:rsidTr="00281242">
        <w:trPr>
          <w:trHeight w:hRule="exact" w:val="2835"/>
        </w:trPr>
        <w:tc>
          <w:tcPr>
            <w:tcW w:w="1274" w:type="dxa"/>
            <w:tcBorders>
              <w:top w:val="single" w:sz="4" w:space="0" w:color="auto"/>
              <w:bottom w:val="single" w:sz="12" w:space="0" w:color="auto"/>
            </w:tcBorders>
            <w:shd w:val="clear" w:color="auto" w:fill="auto"/>
          </w:tcPr>
          <w:p w14:paraId="01923974" w14:textId="56392251" w:rsidR="006B3E27" w:rsidRPr="00281242" w:rsidRDefault="00E11FA6" w:rsidP="00281242">
            <w:pPr>
              <w:jc w:val="center"/>
              <w:rPr>
                <w:sz w:val="56"/>
                <w:szCs w:val="56"/>
                <w:rtl/>
              </w:rPr>
            </w:pPr>
            <w:r>
              <w:rPr>
                <w:noProof/>
                <w:sz w:val="56"/>
                <w:szCs w:val="56"/>
              </w:rPr>
              <w:drawing>
                <wp:inline distT="0" distB="0" distL="0" distR="0" wp14:anchorId="0368047A" wp14:editId="6FCAE827">
                  <wp:extent cx="62928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1B2C213"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21CC2FD1" w14:textId="77777777" w:rsidR="006B3E27" w:rsidRDefault="00A64A00" w:rsidP="00A64A00">
            <w:pPr>
              <w:bidi w:val="0"/>
              <w:spacing w:before="240"/>
              <w:jc w:val="left"/>
              <w:rPr>
                <w:szCs w:val="20"/>
              </w:rPr>
            </w:pPr>
            <w:r>
              <w:rPr>
                <w:szCs w:val="20"/>
              </w:rPr>
              <w:t>Distr.: Limited</w:t>
            </w:r>
          </w:p>
          <w:p w14:paraId="31532CDC" w14:textId="77777777" w:rsidR="00A64A00" w:rsidRDefault="00A64A00" w:rsidP="00A64A00">
            <w:pPr>
              <w:bidi w:val="0"/>
              <w:jc w:val="left"/>
              <w:rPr>
                <w:szCs w:val="20"/>
              </w:rPr>
            </w:pPr>
            <w:r>
              <w:rPr>
                <w:szCs w:val="20"/>
              </w:rPr>
              <w:t>10 July 2020</w:t>
            </w:r>
          </w:p>
          <w:p w14:paraId="5EECB5C8" w14:textId="77777777" w:rsidR="00A64A00" w:rsidRDefault="00A64A00" w:rsidP="00A64A00">
            <w:pPr>
              <w:bidi w:val="0"/>
              <w:jc w:val="left"/>
              <w:rPr>
                <w:szCs w:val="20"/>
              </w:rPr>
            </w:pPr>
            <w:r>
              <w:rPr>
                <w:szCs w:val="20"/>
              </w:rPr>
              <w:t>Arabic</w:t>
            </w:r>
          </w:p>
          <w:p w14:paraId="3A06ACE6" w14:textId="77777777" w:rsidR="00A64A00" w:rsidRPr="00281242" w:rsidRDefault="00A64A00" w:rsidP="00A64A00">
            <w:pPr>
              <w:bidi w:val="0"/>
              <w:jc w:val="left"/>
              <w:rPr>
                <w:szCs w:val="20"/>
              </w:rPr>
            </w:pPr>
            <w:r>
              <w:rPr>
                <w:szCs w:val="20"/>
              </w:rPr>
              <w:t>Original: English</w:t>
            </w:r>
          </w:p>
        </w:tc>
      </w:tr>
    </w:tbl>
    <w:p w14:paraId="4DE25786" w14:textId="77777777" w:rsidR="00A64A00" w:rsidRPr="00A64A00" w:rsidRDefault="00673245" w:rsidP="00A64A00">
      <w:pPr>
        <w:pStyle w:val="SingleTxtGA"/>
        <w:spacing w:before="120" w:after="0"/>
        <w:ind w:left="0"/>
        <w:rPr>
          <w:b/>
          <w:bCs/>
          <w:sz w:val="36"/>
          <w:szCs w:val="36"/>
          <w:rtl/>
        </w:rPr>
      </w:pPr>
      <w:r w:rsidRPr="00A64A00">
        <w:rPr>
          <w:rFonts w:hint="cs"/>
          <w:b/>
          <w:bCs/>
          <w:sz w:val="36"/>
          <w:szCs w:val="36"/>
          <w:rtl/>
        </w:rPr>
        <w:t>مجلس حقوق الإنسان</w:t>
      </w:r>
    </w:p>
    <w:p w14:paraId="73876CAD" w14:textId="77777777" w:rsidR="00A64A00" w:rsidRPr="00A64A00" w:rsidRDefault="00A64A00" w:rsidP="00A64A00">
      <w:pPr>
        <w:spacing w:line="360" w:lineRule="exact"/>
        <w:textDirection w:val="tbRlV"/>
        <w:rPr>
          <w:b/>
          <w:szCs w:val="20"/>
          <w:lang w:val="ar-SA" w:eastAsia="zh-TW" w:bidi="en-GB"/>
        </w:rPr>
      </w:pPr>
      <w:r w:rsidRPr="00A64A00">
        <w:rPr>
          <w:b/>
          <w:bCs/>
          <w:rtl/>
        </w:rPr>
        <w:t>الدورة الرابعة والأربعون</w:t>
      </w:r>
    </w:p>
    <w:p w14:paraId="2D6129F3" w14:textId="7554A01F" w:rsidR="00A64A00" w:rsidRPr="00A64A00" w:rsidRDefault="00A64A00" w:rsidP="00A64A00">
      <w:pPr>
        <w:spacing w:line="360" w:lineRule="exact"/>
        <w:textDirection w:val="tbRlV"/>
        <w:rPr>
          <w:szCs w:val="20"/>
          <w:lang w:val="ar-SA" w:eastAsia="zh-TW" w:bidi="en-GB"/>
        </w:rPr>
      </w:pPr>
      <w:r w:rsidRPr="00A64A00">
        <w:rPr>
          <w:szCs w:val="20"/>
          <w:rtl/>
        </w:rPr>
        <w:t>30</w:t>
      </w:r>
      <w:r w:rsidRPr="00A64A00">
        <w:rPr>
          <w:rtl/>
        </w:rPr>
        <w:t xml:space="preserve"> حزيران/يونيه -</w:t>
      </w:r>
      <w:r w:rsidR="003168AA">
        <w:rPr>
          <w:rFonts w:hint="cs"/>
          <w:rtl/>
        </w:rPr>
        <w:t xml:space="preserve"> </w:t>
      </w:r>
      <w:r w:rsidRPr="00A64A00">
        <w:rPr>
          <w:szCs w:val="20"/>
          <w:rtl/>
        </w:rPr>
        <w:t>17</w:t>
      </w:r>
      <w:r w:rsidRPr="00A64A00">
        <w:rPr>
          <w:rtl/>
        </w:rPr>
        <w:t xml:space="preserve"> تموز/يوليه </w:t>
      </w:r>
      <w:r w:rsidRPr="00A64A00">
        <w:rPr>
          <w:szCs w:val="20"/>
          <w:rtl/>
        </w:rPr>
        <w:t>2020</w:t>
      </w:r>
    </w:p>
    <w:p w14:paraId="039327EC" w14:textId="77777777" w:rsidR="00A64A00" w:rsidRPr="00A64A00" w:rsidRDefault="00A64A00" w:rsidP="00A64A00">
      <w:pPr>
        <w:spacing w:line="360" w:lineRule="exact"/>
        <w:textDirection w:val="tbRlV"/>
        <w:rPr>
          <w:szCs w:val="20"/>
          <w:lang w:val="ar-SA" w:eastAsia="zh-TW" w:bidi="en-GB"/>
        </w:rPr>
      </w:pPr>
      <w:r w:rsidRPr="00A64A00">
        <w:rPr>
          <w:rtl/>
        </w:rPr>
        <w:t xml:space="preserve">البند </w:t>
      </w:r>
      <w:r w:rsidRPr="00A64A00">
        <w:rPr>
          <w:szCs w:val="20"/>
          <w:rtl/>
        </w:rPr>
        <w:t>3</w:t>
      </w:r>
      <w:r w:rsidRPr="00A64A00">
        <w:rPr>
          <w:rtl/>
        </w:rPr>
        <w:t xml:space="preserve"> من جدول الأعمال</w:t>
      </w:r>
    </w:p>
    <w:p w14:paraId="3F6F37A4" w14:textId="77777777" w:rsidR="00A64A00" w:rsidRPr="00A64A00" w:rsidRDefault="00A64A00" w:rsidP="00A64A00">
      <w:pPr>
        <w:spacing w:line="360" w:lineRule="exact"/>
        <w:ind w:right="4774"/>
        <w:textDirection w:val="tbRlV"/>
        <w:rPr>
          <w:b/>
          <w:szCs w:val="20"/>
          <w:lang w:val="ar-SA" w:eastAsia="zh-TW" w:bidi="en-GB"/>
        </w:rPr>
      </w:pPr>
      <w:r w:rsidRPr="00A64A00">
        <w:rPr>
          <w:b/>
          <w:bCs/>
          <w:rtl/>
        </w:rPr>
        <w:t>تعزيز وحماية جميع حقوق الإنسان، المدنية والسياسية والاقتصادية والاجتماعية والثقافية، بما في ذلك الحق في التنمية</w:t>
      </w:r>
    </w:p>
    <w:p w14:paraId="28B65D2E" w14:textId="3AEE6E1D" w:rsidR="00A64A00" w:rsidRPr="00A64A00" w:rsidRDefault="00A64A00" w:rsidP="00A64A00">
      <w:pPr>
        <w:pStyle w:val="H23GA"/>
        <w:rPr>
          <w:rFonts w:ascii="Times New Roman" w:hAnsi="Times New Roman"/>
          <w:szCs w:val="20"/>
          <w:lang w:eastAsia="zh-TW" w:bidi="en-GB"/>
        </w:rPr>
      </w:pPr>
      <w:r w:rsidRPr="00A64A00">
        <w:rPr>
          <w:rFonts w:ascii="Times New Roman" w:hAnsi="Times New Roman"/>
          <w:rtl/>
        </w:rPr>
        <w:tab/>
      </w:r>
      <w:r w:rsidRPr="00A64A00">
        <w:rPr>
          <w:rFonts w:ascii="Times New Roman" w:hAnsi="Times New Roman"/>
          <w:rtl/>
        </w:rPr>
        <w:tab/>
        <w:t>الأرجنتين، أرمينيا، إسبانيا، أستراليا، إستونيا*، إكوادور*، ألبانيا*، ألمانيا، أوروغواي، أوكرانيا، أيرلندا</w:t>
      </w:r>
      <w:r w:rsidRPr="00A64A00">
        <w:rPr>
          <w:rStyle w:val="FootnoteReference"/>
          <w:sz w:val="20"/>
          <w:vertAlign w:val="baseline"/>
          <w:rtl/>
        </w:rPr>
        <w:footnoteReference w:customMarkFollows="1" w:id="1"/>
        <w:t>*</w:t>
      </w:r>
      <w:r w:rsidRPr="00A64A00">
        <w:rPr>
          <w:rFonts w:ascii="Times New Roman" w:hAnsi="Times New Roman"/>
          <w:rtl/>
        </w:rPr>
        <w:t>، آيسلندا*، إيطاليا، باراغواي*،</w:t>
      </w:r>
      <w:bookmarkStart w:id="0" w:name="_GoBack"/>
      <w:bookmarkEnd w:id="0"/>
      <w:r w:rsidRPr="00A64A00">
        <w:rPr>
          <w:rFonts w:ascii="Times New Roman" w:hAnsi="Times New Roman"/>
          <w:rtl/>
        </w:rPr>
        <w:t xml:space="preserve"> البرتغال*، بلجيكا*، بلغاريا، بيرو، تشيكيا، تونس*، الجبل الأسود*، الدانمرك، دولة فلسطين*، رومانيا*، سان مارينو*، سلوفاكيا، سلوفينيا*، السويد*، سويسرا*، شيلي، فرنسا*، فنلندا*، فيجي، قبرص*، كرواتيا*، كندا*، لاتفيا*، لكسمبرغ*، ليتوانيا*، ليختنشتاين*، مالطة*، مقدونيا الشمالية*، المكسيك، المملكة المتحدة لبريطانيا العظمى وأيرلندا الشمالية*، موناكو*، النرويج*، النمسا، نيوزيلندا*، هنغاريا*، هولندا، اليونان*: مشروع قرار</w:t>
      </w:r>
    </w:p>
    <w:p w14:paraId="772175F0" w14:textId="1E1653D9" w:rsidR="00A64A00" w:rsidRPr="00A64A00" w:rsidRDefault="00A64A00" w:rsidP="00A64A00">
      <w:pPr>
        <w:pStyle w:val="H1GA"/>
        <w:ind w:left="2094" w:hanging="847"/>
        <w:rPr>
          <w:szCs w:val="20"/>
          <w:lang w:eastAsia="zh-TW" w:bidi="en-GB"/>
        </w:rPr>
      </w:pPr>
      <w:r w:rsidRPr="008B2537">
        <w:rPr>
          <w:sz w:val="32"/>
          <w:szCs w:val="28"/>
          <w:rtl/>
        </w:rPr>
        <w:t>44</w:t>
      </w:r>
      <w:r w:rsidRPr="00A64A00">
        <w:rPr>
          <w:rFonts w:hint="cs"/>
          <w:sz w:val="32"/>
          <w:szCs w:val="28"/>
          <w:rtl/>
        </w:rPr>
        <w:t>/...</w:t>
      </w:r>
      <w:r w:rsidRPr="00A64A00">
        <w:rPr>
          <w:rtl/>
        </w:rPr>
        <w:tab/>
        <w:t>ولاية المقرر(ة) الخاص(ة) المعني(ة) بحالات الإعدام خارج القضاء أو</w:t>
      </w:r>
      <w:r>
        <w:rPr>
          <w:rFonts w:hint="cs"/>
          <w:rtl/>
        </w:rPr>
        <w:t> </w:t>
      </w:r>
      <w:r w:rsidRPr="00A64A00">
        <w:rPr>
          <w:rtl/>
        </w:rPr>
        <w:t>بإجراءات موجزة أو تعسفاً</w:t>
      </w:r>
    </w:p>
    <w:p w14:paraId="59B67C49" w14:textId="6BE02091" w:rsidR="00A64A00" w:rsidRPr="00A64A00" w:rsidRDefault="00A64A00" w:rsidP="00A64A00">
      <w:pPr>
        <w:pStyle w:val="SingleTxtGA"/>
        <w:rPr>
          <w:i/>
          <w:iCs/>
          <w:szCs w:val="20"/>
          <w:rtl/>
          <w:lang w:eastAsia="zh-TW"/>
        </w:rPr>
      </w:pPr>
      <w:r w:rsidRPr="00A64A00">
        <w:rPr>
          <w:i/>
          <w:iCs/>
          <w:rtl/>
        </w:rPr>
        <w:tab/>
        <w:t>إن مجلس حقوق الإنسان</w:t>
      </w:r>
      <w:r w:rsidRPr="00A64A00">
        <w:rPr>
          <w:i/>
          <w:iCs/>
          <w:szCs w:val="20"/>
          <w:lang w:eastAsia="zh-TW" w:bidi="en-GB"/>
        </w:rPr>
        <w:t xml:space="preserve"> </w:t>
      </w:r>
      <w:r w:rsidRPr="00A64A00">
        <w:rPr>
          <w:i/>
          <w:iCs/>
          <w:szCs w:val="20"/>
          <w:rtl/>
          <w:lang w:eastAsia="zh-TW"/>
        </w:rPr>
        <w:t xml:space="preserve"> </w:t>
      </w:r>
    </w:p>
    <w:p w14:paraId="48CADF5A" w14:textId="104E569C" w:rsidR="00A64A00" w:rsidRPr="00A64A00" w:rsidRDefault="00A64A00" w:rsidP="00A64A00">
      <w:pPr>
        <w:pStyle w:val="SingleTxtGA"/>
        <w:rPr>
          <w:szCs w:val="20"/>
          <w:lang w:val="ar-SA" w:eastAsia="zh-TW" w:bidi="en-GB"/>
        </w:rPr>
      </w:pPr>
      <w:r w:rsidRPr="00A64A00">
        <w:rPr>
          <w:i/>
          <w:iCs/>
          <w:rtl/>
        </w:rPr>
        <w:tab/>
      </w:r>
      <w:r w:rsidRPr="00A64A00">
        <w:rPr>
          <w:i/>
          <w:iCs/>
          <w:rtl/>
        </w:rPr>
        <w:t xml:space="preserve">إذ يشير </w:t>
      </w:r>
      <w:r w:rsidRPr="00A64A00">
        <w:rPr>
          <w:rtl/>
        </w:rPr>
        <w:t xml:space="preserve">إلى الإعلان العالمي لحقوق الإنسان الذي يضمن للفرد الحق في الحياة والحرية والأمان على شخصه، وإلى الأحكام المتصلة بذلك من العهد الدولي الخاص بالحقوق المدنية والسياسية، </w:t>
      </w:r>
    </w:p>
    <w:p w14:paraId="29E74994" w14:textId="3A6D3211" w:rsidR="00A64A00" w:rsidRPr="00A64A00" w:rsidRDefault="00A64A00" w:rsidP="00A64A00">
      <w:pPr>
        <w:pStyle w:val="SingleTxtGA"/>
        <w:rPr>
          <w:spacing w:val="-4"/>
          <w:szCs w:val="20"/>
          <w:lang w:eastAsia="zh-TW" w:bidi="en-GB"/>
        </w:rPr>
      </w:pPr>
      <w:r w:rsidRPr="00A64A00">
        <w:rPr>
          <w:i/>
          <w:iCs/>
          <w:spacing w:val="-4"/>
          <w:rtl/>
        </w:rPr>
        <w:tab/>
      </w:r>
      <w:r w:rsidRPr="00A64A00">
        <w:rPr>
          <w:i/>
          <w:iCs/>
          <w:spacing w:val="-4"/>
          <w:rtl/>
        </w:rPr>
        <w:t xml:space="preserve">وإذ يضع في اعتباره </w:t>
      </w:r>
      <w:r w:rsidRPr="00A64A00">
        <w:rPr>
          <w:spacing w:val="-4"/>
          <w:rtl/>
        </w:rPr>
        <w:t xml:space="preserve">الإطار القانوني لولاية المقرر(ة) الخاص(ة) المعني(ة) بحالات الإعدام خارج القضاء أو بإجراءات موجزة أو تعسفاً، بما في ذلك الأحكام الواردة في قرار لجنة حقوق الإنسان </w:t>
      </w:r>
      <w:r w:rsidRPr="00A64A00">
        <w:rPr>
          <w:spacing w:val="-4"/>
          <w:szCs w:val="20"/>
        </w:rPr>
        <w:t>72/1992</w:t>
      </w:r>
      <w:r w:rsidRPr="00A64A00">
        <w:rPr>
          <w:spacing w:val="-4"/>
          <w:rtl/>
        </w:rPr>
        <w:t xml:space="preserve"> المؤرخ </w:t>
      </w:r>
      <w:r w:rsidRPr="00A64A00">
        <w:rPr>
          <w:spacing w:val="-4"/>
          <w:szCs w:val="20"/>
          <w:rtl/>
        </w:rPr>
        <w:t>5</w:t>
      </w:r>
      <w:r w:rsidRPr="00A64A00">
        <w:rPr>
          <w:spacing w:val="-4"/>
          <w:rtl/>
        </w:rPr>
        <w:t xml:space="preserve"> آذار/مارس </w:t>
      </w:r>
      <w:r w:rsidRPr="00A64A00">
        <w:rPr>
          <w:spacing w:val="-4"/>
          <w:szCs w:val="20"/>
          <w:rtl/>
        </w:rPr>
        <w:t>1992</w:t>
      </w:r>
      <w:r w:rsidRPr="00A64A00">
        <w:rPr>
          <w:spacing w:val="-4"/>
          <w:rtl/>
        </w:rPr>
        <w:t xml:space="preserve">، وقرار الجمعية العامة </w:t>
      </w:r>
      <w:r w:rsidRPr="00A64A00">
        <w:rPr>
          <w:spacing w:val="-4"/>
          <w:szCs w:val="20"/>
        </w:rPr>
        <w:t>136/47</w:t>
      </w:r>
      <w:r w:rsidRPr="00A64A00">
        <w:rPr>
          <w:spacing w:val="-4"/>
          <w:rtl/>
        </w:rPr>
        <w:t xml:space="preserve"> المؤرخ </w:t>
      </w:r>
      <w:r w:rsidRPr="00A64A00">
        <w:rPr>
          <w:spacing w:val="-4"/>
          <w:szCs w:val="20"/>
          <w:rtl/>
        </w:rPr>
        <w:t>18</w:t>
      </w:r>
      <w:r w:rsidRPr="00A64A00">
        <w:rPr>
          <w:spacing w:val="-4"/>
          <w:rtl/>
        </w:rPr>
        <w:t xml:space="preserve"> كانون الأول/ديسمبر </w:t>
      </w:r>
      <w:r w:rsidRPr="00A64A00">
        <w:rPr>
          <w:spacing w:val="-4"/>
          <w:szCs w:val="20"/>
          <w:rtl/>
        </w:rPr>
        <w:t>1992</w:t>
      </w:r>
      <w:r w:rsidRPr="00A64A00">
        <w:rPr>
          <w:spacing w:val="-4"/>
          <w:rtl/>
        </w:rPr>
        <w:t xml:space="preserve">، </w:t>
      </w:r>
    </w:p>
    <w:p w14:paraId="28FE69FD" w14:textId="21A93082" w:rsidR="00A64A00" w:rsidRPr="00CE0D8B" w:rsidRDefault="00A64A00" w:rsidP="00A64A00">
      <w:pPr>
        <w:pStyle w:val="SingleTxtGA"/>
        <w:rPr>
          <w:szCs w:val="20"/>
          <w:lang w:eastAsia="zh-TW" w:bidi="en-GB"/>
        </w:rPr>
      </w:pPr>
      <w:r w:rsidRPr="00A64A00">
        <w:rPr>
          <w:i/>
          <w:iCs/>
          <w:rtl/>
        </w:rPr>
        <w:tab/>
      </w:r>
      <w:r w:rsidRPr="00A64A00">
        <w:rPr>
          <w:i/>
          <w:iCs/>
          <w:rtl/>
        </w:rPr>
        <w:t xml:space="preserve">وإذ يرحب </w:t>
      </w:r>
      <w:r w:rsidRPr="00A64A00">
        <w:rPr>
          <w:rtl/>
        </w:rPr>
        <w:t xml:space="preserve">بالتصديق العالمي على اتفاقيات جنيف المؤرخة </w:t>
      </w:r>
      <w:r w:rsidRPr="00A64A00">
        <w:rPr>
          <w:szCs w:val="20"/>
          <w:rtl/>
        </w:rPr>
        <w:t>12</w:t>
      </w:r>
      <w:r w:rsidRPr="00A64A00">
        <w:rPr>
          <w:rtl/>
        </w:rPr>
        <w:t xml:space="preserve"> آب/أغسطس </w:t>
      </w:r>
      <w:r w:rsidRPr="00A64A00">
        <w:rPr>
          <w:szCs w:val="20"/>
          <w:rtl/>
        </w:rPr>
        <w:t>1949</w:t>
      </w:r>
      <w:r w:rsidRPr="00A64A00">
        <w:rPr>
          <w:rtl/>
        </w:rPr>
        <w:t xml:space="preserve"> التي توفر، إلى جانب قانون حقوق الإنسان، إطاراً هاماً للمساءلة فيما يتعلق بحالات الإعدام خارج القضاء أو بإجراءات موجزة أو تعسفاً، </w:t>
      </w:r>
    </w:p>
    <w:p w14:paraId="4334E3BB" w14:textId="44CC4B57" w:rsidR="00A64A00" w:rsidRPr="00A64A00" w:rsidRDefault="00A64A00" w:rsidP="00A64A00">
      <w:pPr>
        <w:pStyle w:val="SingleTxtGA"/>
        <w:rPr>
          <w:szCs w:val="20"/>
          <w:lang w:val="ar-SA" w:eastAsia="zh-TW" w:bidi="en-GB"/>
        </w:rPr>
      </w:pPr>
      <w:r w:rsidRPr="00A64A00">
        <w:rPr>
          <w:i/>
          <w:iCs/>
          <w:rtl/>
        </w:rPr>
        <w:lastRenderedPageBreak/>
        <w:tab/>
      </w:r>
      <w:r w:rsidRPr="00A64A00">
        <w:rPr>
          <w:i/>
          <w:iCs/>
          <w:rtl/>
        </w:rPr>
        <w:t xml:space="preserve">وإذ يضع في اعتباره </w:t>
      </w:r>
      <w:r w:rsidRPr="00A64A00">
        <w:rPr>
          <w:rtl/>
        </w:rPr>
        <w:t xml:space="preserve">الفقرة </w:t>
      </w:r>
      <w:r w:rsidRPr="00A64A00">
        <w:rPr>
          <w:szCs w:val="20"/>
          <w:rtl/>
        </w:rPr>
        <w:t>6</w:t>
      </w:r>
      <w:r w:rsidRPr="00A64A00">
        <w:rPr>
          <w:rtl/>
        </w:rPr>
        <w:t xml:space="preserve"> من قرار الجمعية العامة </w:t>
      </w:r>
      <w:r w:rsidRPr="00A64A00">
        <w:rPr>
          <w:szCs w:val="20"/>
        </w:rPr>
        <w:t>251/60</w:t>
      </w:r>
      <w:r w:rsidRPr="00A64A00">
        <w:rPr>
          <w:rtl/>
        </w:rPr>
        <w:t xml:space="preserve"> المؤرخ </w:t>
      </w:r>
      <w:r w:rsidRPr="00A64A00">
        <w:rPr>
          <w:szCs w:val="20"/>
          <w:rtl/>
        </w:rPr>
        <w:t>15</w:t>
      </w:r>
      <w:r w:rsidRPr="00A64A00">
        <w:rPr>
          <w:rtl/>
        </w:rPr>
        <w:t xml:space="preserve"> آذار/مارس </w:t>
      </w:r>
      <w:r w:rsidRPr="00A64A00">
        <w:rPr>
          <w:szCs w:val="20"/>
          <w:rtl/>
        </w:rPr>
        <w:t>2006</w:t>
      </w:r>
      <w:r w:rsidRPr="00A64A00">
        <w:rPr>
          <w:rtl/>
        </w:rPr>
        <w:t xml:space="preserve">، </w:t>
      </w:r>
    </w:p>
    <w:p w14:paraId="5F114816" w14:textId="794CF892" w:rsidR="00A64A00" w:rsidRPr="00A64A00" w:rsidRDefault="008B2537" w:rsidP="00A64A00">
      <w:pPr>
        <w:pStyle w:val="SingleTxtGA"/>
        <w:rPr>
          <w:szCs w:val="20"/>
          <w:lang w:eastAsia="zh-TW" w:bidi="en-GB"/>
        </w:rPr>
      </w:pPr>
      <w:r>
        <w:rPr>
          <w:rtl/>
        </w:rPr>
        <w:tab/>
      </w:r>
      <w:r w:rsidR="00A64A00" w:rsidRPr="008B2537">
        <w:rPr>
          <w:i/>
          <w:iCs/>
          <w:rtl/>
        </w:rPr>
        <w:t>وإذ يشير</w:t>
      </w:r>
      <w:r w:rsidR="00A64A00" w:rsidRPr="00A64A00">
        <w:rPr>
          <w:rtl/>
        </w:rPr>
        <w:t xml:space="preserve"> إلى قرار مجلس حقوق الإنسان </w:t>
      </w:r>
      <w:r w:rsidR="00A64A00" w:rsidRPr="00A64A00">
        <w:rPr>
          <w:szCs w:val="20"/>
        </w:rPr>
        <w:t>1/5</w:t>
      </w:r>
      <w:r w:rsidR="00A64A00" w:rsidRPr="00A64A00">
        <w:rPr>
          <w:rtl/>
        </w:rPr>
        <w:t xml:space="preserve"> بشأن بناء مؤسسات المجلس، وقراره </w:t>
      </w:r>
      <w:r w:rsidR="00A64A00" w:rsidRPr="00A64A00">
        <w:rPr>
          <w:szCs w:val="20"/>
        </w:rPr>
        <w:t>2/5</w:t>
      </w:r>
      <w:r w:rsidR="00A64A00" w:rsidRPr="00A64A00">
        <w:rPr>
          <w:rtl/>
        </w:rPr>
        <w:t xml:space="preserve"> بشأن مدونة قواعد السلوك لأصحاب الولايات في إطار الإجراءات الخاصة للمجلس، المؤرخيْن </w:t>
      </w:r>
      <w:r w:rsidR="00A64A00" w:rsidRPr="00A64A00">
        <w:rPr>
          <w:szCs w:val="20"/>
          <w:rtl/>
        </w:rPr>
        <w:t>18</w:t>
      </w:r>
      <w:r w:rsidR="00A64A00" w:rsidRPr="00A64A00">
        <w:rPr>
          <w:rtl/>
        </w:rPr>
        <w:t xml:space="preserve"> حزيران/يونيه </w:t>
      </w:r>
      <w:r w:rsidR="00A64A00" w:rsidRPr="00A64A00">
        <w:rPr>
          <w:szCs w:val="20"/>
          <w:rtl/>
        </w:rPr>
        <w:t>2007</w:t>
      </w:r>
      <w:r w:rsidR="00A64A00" w:rsidRPr="00A64A00">
        <w:rPr>
          <w:rtl/>
        </w:rPr>
        <w:t xml:space="preserve">، وإذ يشدد على أن على المكلف(ة) بالولاية أن يؤدي/تؤدي واجباته(ا) وفقاً لهذين القرارين ومرفقيهما، </w:t>
      </w:r>
    </w:p>
    <w:p w14:paraId="350754F3" w14:textId="36382AF6" w:rsidR="00A64A00" w:rsidRPr="008B2537" w:rsidRDefault="00A64A00" w:rsidP="00A64A00">
      <w:pPr>
        <w:pStyle w:val="SingleTxtGA"/>
        <w:rPr>
          <w:szCs w:val="20"/>
          <w:lang w:val="ar-SA" w:eastAsia="zh-TW" w:bidi="en-GB"/>
        </w:rPr>
      </w:pPr>
      <w:r w:rsidRPr="008B2537">
        <w:rPr>
          <w:i/>
          <w:iCs/>
          <w:spacing w:val="-4"/>
          <w:rtl/>
        </w:rPr>
        <w:tab/>
      </w:r>
      <w:r w:rsidRPr="008B2537">
        <w:rPr>
          <w:i/>
          <w:iCs/>
          <w:spacing w:val="-4"/>
          <w:rtl/>
        </w:rPr>
        <w:t xml:space="preserve">وإذ يضع في اعتباره </w:t>
      </w:r>
      <w:r w:rsidRPr="008B2537">
        <w:rPr>
          <w:spacing w:val="-4"/>
          <w:rtl/>
        </w:rPr>
        <w:t xml:space="preserve">جميع قرارات الجمعية العامة ومجلس حقوق الإنسان ولجنة حقوق الإنسان ذات الصلة بحالات الإعدام خارج القضاء أو بإجراءات موجزة أو تعسفاً، ولا سيما قرار اللجنة </w:t>
      </w:r>
      <w:r w:rsidRPr="008B2537">
        <w:rPr>
          <w:spacing w:val="-4"/>
          <w:szCs w:val="20"/>
        </w:rPr>
        <w:t>37/2004</w:t>
      </w:r>
      <w:r w:rsidRPr="008B2537">
        <w:rPr>
          <w:spacing w:val="-4"/>
          <w:rtl/>
        </w:rPr>
        <w:t xml:space="preserve"> المؤرخ </w:t>
      </w:r>
      <w:r w:rsidRPr="008B2537">
        <w:rPr>
          <w:spacing w:val="-4"/>
          <w:szCs w:val="20"/>
          <w:rtl/>
        </w:rPr>
        <w:t>19</w:t>
      </w:r>
      <w:r w:rsidRPr="008B2537">
        <w:rPr>
          <w:spacing w:val="-4"/>
          <w:rtl/>
        </w:rPr>
        <w:t xml:space="preserve"> نيسان/أبريل </w:t>
      </w:r>
      <w:r w:rsidRPr="008B2537">
        <w:rPr>
          <w:spacing w:val="-4"/>
          <w:szCs w:val="20"/>
          <w:rtl/>
        </w:rPr>
        <w:t>2004</w:t>
      </w:r>
      <w:r w:rsidRPr="008B2537">
        <w:rPr>
          <w:spacing w:val="-4"/>
          <w:rtl/>
        </w:rPr>
        <w:t xml:space="preserve">، وقرارات المجلس </w:t>
      </w:r>
      <w:r w:rsidRPr="008B2537">
        <w:rPr>
          <w:spacing w:val="-4"/>
          <w:szCs w:val="20"/>
        </w:rPr>
        <w:t>3/8</w:t>
      </w:r>
      <w:r w:rsidRPr="008B2537">
        <w:rPr>
          <w:spacing w:val="-4"/>
          <w:rtl/>
        </w:rPr>
        <w:t xml:space="preserve"> المؤرخ </w:t>
      </w:r>
      <w:r w:rsidRPr="008B2537">
        <w:rPr>
          <w:spacing w:val="-4"/>
          <w:szCs w:val="20"/>
          <w:rtl/>
        </w:rPr>
        <w:t>18</w:t>
      </w:r>
      <w:r w:rsidRPr="008B2537">
        <w:rPr>
          <w:spacing w:val="-4"/>
          <w:rtl/>
        </w:rPr>
        <w:t xml:space="preserve"> حزيران/يونيه </w:t>
      </w:r>
      <w:r w:rsidRPr="008B2537">
        <w:rPr>
          <w:spacing w:val="-4"/>
          <w:szCs w:val="20"/>
          <w:rtl/>
        </w:rPr>
        <w:t>2008</w:t>
      </w:r>
      <w:r w:rsidRPr="008B2537">
        <w:rPr>
          <w:spacing w:val="-4"/>
          <w:rtl/>
        </w:rPr>
        <w:t>، و</w:t>
      </w:r>
      <w:r w:rsidRPr="008B2537">
        <w:rPr>
          <w:spacing w:val="-4"/>
          <w:szCs w:val="20"/>
        </w:rPr>
        <w:t>5/17</w:t>
      </w:r>
      <w:r w:rsidR="008B2537">
        <w:rPr>
          <w:rFonts w:hint="cs"/>
          <w:spacing w:val="-4"/>
          <w:rtl/>
        </w:rPr>
        <w:t xml:space="preserve"> </w:t>
      </w:r>
      <w:r w:rsidRPr="008B2537">
        <w:rPr>
          <w:spacing w:val="-4"/>
          <w:rtl/>
        </w:rPr>
        <w:t xml:space="preserve">المؤرخ </w:t>
      </w:r>
      <w:r w:rsidRPr="008B2537">
        <w:rPr>
          <w:spacing w:val="-4"/>
          <w:szCs w:val="20"/>
          <w:rtl/>
        </w:rPr>
        <w:t>16</w:t>
      </w:r>
      <w:r w:rsidRPr="008B2537">
        <w:rPr>
          <w:spacing w:val="-4"/>
          <w:rtl/>
        </w:rPr>
        <w:t xml:space="preserve"> </w:t>
      </w:r>
      <w:r w:rsidRPr="008B2537">
        <w:rPr>
          <w:rtl/>
        </w:rPr>
        <w:t xml:space="preserve">حزيران/يونيه </w:t>
      </w:r>
      <w:r w:rsidRPr="008B2537">
        <w:rPr>
          <w:szCs w:val="20"/>
          <w:rtl/>
        </w:rPr>
        <w:t>2011</w:t>
      </w:r>
      <w:r w:rsidRPr="008B2537">
        <w:rPr>
          <w:rtl/>
        </w:rPr>
        <w:t>، و</w:t>
      </w:r>
      <w:r w:rsidRPr="008B2537">
        <w:rPr>
          <w:szCs w:val="20"/>
        </w:rPr>
        <w:t>12/26</w:t>
      </w:r>
      <w:r w:rsidRPr="008B2537">
        <w:rPr>
          <w:rtl/>
        </w:rPr>
        <w:t xml:space="preserve"> المؤرخ </w:t>
      </w:r>
      <w:r w:rsidRPr="008B2537">
        <w:rPr>
          <w:szCs w:val="20"/>
          <w:rtl/>
        </w:rPr>
        <w:t>26</w:t>
      </w:r>
      <w:r w:rsidRPr="008B2537">
        <w:rPr>
          <w:rtl/>
        </w:rPr>
        <w:t xml:space="preserve"> حزيران/يونيه </w:t>
      </w:r>
      <w:r w:rsidRPr="008B2537">
        <w:rPr>
          <w:szCs w:val="20"/>
          <w:rtl/>
        </w:rPr>
        <w:t>2014</w:t>
      </w:r>
      <w:r w:rsidRPr="008B2537">
        <w:rPr>
          <w:rtl/>
        </w:rPr>
        <w:t>، و</w:t>
      </w:r>
      <w:r w:rsidRPr="008B2537">
        <w:rPr>
          <w:szCs w:val="20"/>
        </w:rPr>
        <w:t>15/35</w:t>
      </w:r>
      <w:r w:rsidRPr="008B2537">
        <w:rPr>
          <w:rtl/>
        </w:rPr>
        <w:t xml:space="preserve"> المؤرخ </w:t>
      </w:r>
      <w:r w:rsidRPr="008B2537">
        <w:rPr>
          <w:szCs w:val="20"/>
          <w:rtl/>
        </w:rPr>
        <w:t>22</w:t>
      </w:r>
      <w:r w:rsidRPr="008B2537">
        <w:rPr>
          <w:rtl/>
        </w:rPr>
        <w:t xml:space="preserve"> حزيران/يونيه </w:t>
      </w:r>
      <w:r w:rsidRPr="008B2537">
        <w:rPr>
          <w:szCs w:val="20"/>
          <w:rtl/>
        </w:rPr>
        <w:t>2017</w:t>
      </w:r>
      <w:r w:rsidRPr="008B2537">
        <w:rPr>
          <w:rtl/>
        </w:rPr>
        <w:t xml:space="preserve">، وقرارات الجمعية </w:t>
      </w:r>
      <w:r w:rsidRPr="008B2537">
        <w:rPr>
          <w:szCs w:val="20"/>
        </w:rPr>
        <w:t>173/61</w:t>
      </w:r>
      <w:r w:rsidRPr="008B2537">
        <w:rPr>
          <w:rtl/>
        </w:rPr>
        <w:t xml:space="preserve"> المؤرخ </w:t>
      </w:r>
      <w:r w:rsidRPr="008B2537">
        <w:rPr>
          <w:szCs w:val="20"/>
          <w:rtl/>
        </w:rPr>
        <w:t>19</w:t>
      </w:r>
      <w:r w:rsidRPr="008B2537">
        <w:rPr>
          <w:rtl/>
        </w:rPr>
        <w:t xml:space="preserve"> كانون الأول/ديسمبر </w:t>
      </w:r>
      <w:r w:rsidRPr="008B2537">
        <w:rPr>
          <w:szCs w:val="20"/>
          <w:rtl/>
        </w:rPr>
        <w:t>2006</w:t>
      </w:r>
      <w:r w:rsidRPr="008B2537">
        <w:rPr>
          <w:rtl/>
        </w:rPr>
        <w:t>، و</w:t>
      </w:r>
      <w:r w:rsidRPr="008B2537">
        <w:rPr>
          <w:szCs w:val="20"/>
        </w:rPr>
        <w:t>208/65</w:t>
      </w:r>
      <w:r w:rsidRPr="008B2537">
        <w:rPr>
          <w:rtl/>
        </w:rPr>
        <w:t xml:space="preserve">، المؤرخ </w:t>
      </w:r>
      <w:r w:rsidRPr="008B2537">
        <w:rPr>
          <w:szCs w:val="20"/>
          <w:rtl/>
        </w:rPr>
        <w:t>21</w:t>
      </w:r>
      <w:r w:rsidRPr="008B2537">
        <w:rPr>
          <w:rtl/>
        </w:rPr>
        <w:t xml:space="preserve"> كانون الأول/ديسمبر </w:t>
      </w:r>
      <w:r w:rsidRPr="008B2537">
        <w:rPr>
          <w:szCs w:val="20"/>
          <w:rtl/>
        </w:rPr>
        <w:t>2010</w:t>
      </w:r>
      <w:r w:rsidRPr="008B2537">
        <w:rPr>
          <w:rtl/>
        </w:rPr>
        <w:t>، و</w:t>
      </w:r>
      <w:r w:rsidRPr="008B2537">
        <w:rPr>
          <w:szCs w:val="20"/>
        </w:rPr>
        <w:t>168/67</w:t>
      </w:r>
      <w:r w:rsidRPr="008B2537">
        <w:rPr>
          <w:rtl/>
        </w:rPr>
        <w:t xml:space="preserve">، المؤرخ </w:t>
      </w:r>
      <w:r w:rsidRPr="008B2537">
        <w:rPr>
          <w:szCs w:val="20"/>
          <w:rtl/>
        </w:rPr>
        <w:t>20</w:t>
      </w:r>
      <w:r w:rsidRPr="008B2537">
        <w:rPr>
          <w:rtl/>
        </w:rPr>
        <w:t xml:space="preserve"> كانون الأول/ديسمبر </w:t>
      </w:r>
      <w:r w:rsidRPr="008B2537">
        <w:rPr>
          <w:szCs w:val="20"/>
          <w:rtl/>
        </w:rPr>
        <w:t>2012</w:t>
      </w:r>
      <w:r w:rsidRPr="008B2537">
        <w:rPr>
          <w:rtl/>
        </w:rPr>
        <w:t xml:space="preserve"> و</w:t>
      </w:r>
      <w:r w:rsidRPr="008B2537">
        <w:rPr>
          <w:szCs w:val="20"/>
        </w:rPr>
        <w:t>182/69</w:t>
      </w:r>
      <w:r w:rsidRPr="008B2537">
        <w:rPr>
          <w:rtl/>
        </w:rPr>
        <w:t xml:space="preserve"> المؤرخ </w:t>
      </w:r>
      <w:r w:rsidRPr="008B2537">
        <w:rPr>
          <w:szCs w:val="20"/>
          <w:rtl/>
        </w:rPr>
        <w:t>18</w:t>
      </w:r>
      <w:r w:rsidRPr="008B2537">
        <w:rPr>
          <w:rtl/>
        </w:rPr>
        <w:t xml:space="preserve"> كانون الأول/ديسمبر </w:t>
      </w:r>
      <w:r w:rsidRPr="008B2537">
        <w:rPr>
          <w:szCs w:val="20"/>
          <w:rtl/>
        </w:rPr>
        <w:t>2014</w:t>
      </w:r>
      <w:r w:rsidRPr="008B2537">
        <w:rPr>
          <w:rtl/>
        </w:rPr>
        <w:t>، و</w:t>
      </w:r>
      <w:r w:rsidRPr="008B2537">
        <w:rPr>
          <w:szCs w:val="20"/>
        </w:rPr>
        <w:t>198/71</w:t>
      </w:r>
      <w:r w:rsidRPr="008B2537">
        <w:rPr>
          <w:rtl/>
        </w:rPr>
        <w:t xml:space="preserve"> المؤرخ </w:t>
      </w:r>
      <w:r w:rsidRPr="008B2537">
        <w:rPr>
          <w:szCs w:val="20"/>
          <w:rtl/>
        </w:rPr>
        <w:t>19</w:t>
      </w:r>
      <w:r w:rsidRPr="008B2537">
        <w:rPr>
          <w:rtl/>
        </w:rPr>
        <w:t xml:space="preserve"> كانون الأول/ديسمبر </w:t>
      </w:r>
      <w:r w:rsidRPr="008B2537">
        <w:rPr>
          <w:szCs w:val="20"/>
          <w:rtl/>
        </w:rPr>
        <w:t>2016</w:t>
      </w:r>
      <w:r w:rsidRPr="008B2537">
        <w:rPr>
          <w:rtl/>
        </w:rPr>
        <w:t xml:space="preserve"> و</w:t>
      </w:r>
      <w:r w:rsidRPr="008B2537">
        <w:rPr>
          <w:szCs w:val="20"/>
        </w:rPr>
        <w:t>172/73</w:t>
      </w:r>
      <w:r w:rsidRPr="008B2537">
        <w:rPr>
          <w:rtl/>
        </w:rPr>
        <w:t xml:space="preserve"> المؤرخ </w:t>
      </w:r>
      <w:r w:rsidRPr="008B2537">
        <w:rPr>
          <w:szCs w:val="20"/>
          <w:rtl/>
        </w:rPr>
        <w:t>17</w:t>
      </w:r>
      <w:r w:rsidRPr="008B2537">
        <w:rPr>
          <w:rtl/>
        </w:rPr>
        <w:t xml:space="preserve"> كانون الأول/ديسمبر </w:t>
      </w:r>
      <w:r w:rsidRPr="008B2537">
        <w:rPr>
          <w:szCs w:val="20"/>
          <w:rtl/>
        </w:rPr>
        <w:t>2018</w:t>
      </w:r>
      <w:r w:rsidRPr="008B2537">
        <w:rPr>
          <w:rtl/>
        </w:rPr>
        <w:t xml:space="preserve">، </w:t>
      </w:r>
    </w:p>
    <w:p w14:paraId="7552C9C3" w14:textId="550E1C60" w:rsidR="00A64A00" w:rsidRPr="00A64A00" w:rsidRDefault="00A64A00" w:rsidP="00A64A00">
      <w:pPr>
        <w:pStyle w:val="SingleTxtGA"/>
        <w:rPr>
          <w:szCs w:val="20"/>
          <w:lang w:val="ar-SA" w:eastAsia="zh-TW" w:bidi="en-GB"/>
        </w:rPr>
      </w:pPr>
      <w:r w:rsidRPr="00A64A00">
        <w:rPr>
          <w:i/>
          <w:iCs/>
          <w:rtl/>
        </w:rPr>
        <w:tab/>
      </w:r>
      <w:r w:rsidRPr="00A64A00">
        <w:rPr>
          <w:i/>
          <w:iCs/>
          <w:rtl/>
        </w:rPr>
        <w:t xml:space="preserve">وإذ يعترف </w:t>
      </w:r>
      <w:r w:rsidRPr="00A64A00">
        <w:rPr>
          <w:rtl/>
        </w:rPr>
        <w:t>بأن حالات الإعدام خارج القضاء أو بإجراءات موجزة أو تعسفاً هي جرائم مشمولة بنظام روما الأساسي للمحكمة الجنائية الدولية،</w:t>
      </w:r>
    </w:p>
    <w:p w14:paraId="041335BB" w14:textId="1963753B" w:rsidR="00A64A00" w:rsidRPr="00A64A00" w:rsidRDefault="00A64A00" w:rsidP="00A64A00">
      <w:pPr>
        <w:pStyle w:val="SingleTxtGA"/>
        <w:rPr>
          <w:spacing w:val="-4"/>
          <w:szCs w:val="20"/>
          <w:lang w:eastAsia="zh-TW" w:bidi="en-GB"/>
        </w:rPr>
      </w:pPr>
      <w:r w:rsidRPr="00A64A00">
        <w:rPr>
          <w:i/>
          <w:iCs/>
          <w:spacing w:val="-4"/>
          <w:rtl/>
        </w:rPr>
        <w:tab/>
      </w:r>
      <w:r w:rsidRPr="00A64A00">
        <w:rPr>
          <w:i/>
          <w:iCs/>
          <w:spacing w:val="-4"/>
          <w:rtl/>
        </w:rPr>
        <w:t xml:space="preserve">واقتناعاً منه </w:t>
      </w:r>
      <w:r w:rsidRPr="00A64A00">
        <w:rPr>
          <w:spacing w:val="-4"/>
          <w:rtl/>
        </w:rPr>
        <w:t xml:space="preserve">بضرورة اتخاذ إجراءات فعالة لمكافحة الممارسة المقيتة المتمثلة في الإعدام خارج القضاء أو بإجراءات موجزة أو تعسفاً والقضاء عليها، لما تشكله من انتهاك صارخ للحق الطبيعي في الحياة، </w:t>
      </w:r>
    </w:p>
    <w:p w14:paraId="7000EC05" w14:textId="1795108F" w:rsidR="00A64A00" w:rsidRPr="00A64A00" w:rsidRDefault="00A64A00" w:rsidP="00A64A00">
      <w:pPr>
        <w:pStyle w:val="SingleTxtGA"/>
        <w:rPr>
          <w:szCs w:val="20"/>
          <w:lang w:val="ar-SA" w:eastAsia="zh-TW" w:bidi="en-GB"/>
        </w:rPr>
      </w:pPr>
      <w:r w:rsidRPr="00A64A00">
        <w:rPr>
          <w:i/>
          <w:iCs/>
          <w:rtl/>
        </w:rPr>
        <w:tab/>
      </w:r>
      <w:r w:rsidRPr="00A64A00">
        <w:rPr>
          <w:i/>
          <w:iCs/>
          <w:rtl/>
        </w:rPr>
        <w:t xml:space="preserve">وإذ يشعر بالاستياء </w:t>
      </w:r>
      <w:r w:rsidRPr="00A64A00">
        <w:rPr>
          <w:rtl/>
        </w:rPr>
        <w:t xml:space="preserve">لأن الإفلات من العقاب، وهو إنكار للعدالة، لا يزال سائداً في عدد من البلدان، ولأنه ما برح يشكل في كثير من الأحيان، السبب الرئيسي لاستمرار حدوث حالات الإعدام خارج القضاء أو بإجراءات موجزة أو تعسفاً، </w:t>
      </w:r>
    </w:p>
    <w:p w14:paraId="6E6B78A5" w14:textId="4CA8F34C" w:rsidR="00A64A00" w:rsidRPr="00A64A00" w:rsidRDefault="00A64A00" w:rsidP="00A64A00">
      <w:pPr>
        <w:pStyle w:val="SingleTxtGA"/>
        <w:rPr>
          <w:szCs w:val="20"/>
          <w:lang w:val="ar-SA" w:eastAsia="zh-TW" w:bidi="en-GB"/>
        </w:rPr>
      </w:pPr>
      <w:r w:rsidRPr="00A64A00">
        <w:rPr>
          <w:szCs w:val="20"/>
          <w:rtl/>
        </w:rPr>
        <w:tab/>
      </w:r>
      <w:r w:rsidRPr="00A64A00">
        <w:rPr>
          <w:szCs w:val="20"/>
          <w:rtl/>
        </w:rPr>
        <w:t>1-</w:t>
      </w:r>
      <w:r w:rsidRPr="00A64A00">
        <w:rPr>
          <w:rtl/>
        </w:rPr>
        <w:tab/>
      </w:r>
      <w:r w:rsidRPr="00A64A00">
        <w:rPr>
          <w:i/>
          <w:iCs/>
          <w:rtl/>
        </w:rPr>
        <w:t>يدين بشدة مرة أخرى</w:t>
      </w:r>
      <w:r w:rsidRPr="00A64A00">
        <w:rPr>
          <w:rtl/>
        </w:rPr>
        <w:t xml:space="preserve"> جميع أشكال حالات الإعدام خارج القضاء أو بإجراءات موجزة أو تعسفاً التي لا تزال تحدث في شتى أنحاء العالم؛ </w:t>
      </w:r>
    </w:p>
    <w:p w14:paraId="2C004376" w14:textId="088A910A" w:rsidR="00A64A00" w:rsidRPr="00D76464" w:rsidRDefault="00A64A00" w:rsidP="00A64A00">
      <w:pPr>
        <w:pStyle w:val="SingleTxtGA"/>
        <w:rPr>
          <w:szCs w:val="20"/>
          <w:lang w:eastAsia="zh-TW" w:bidi="en-GB"/>
        </w:rPr>
      </w:pPr>
      <w:r w:rsidRPr="00A64A00">
        <w:rPr>
          <w:szCs w:val="20"/>
          <w:rtl/>
        </w:rPr>
        <w:tab/>
      </w:r>
      <w:r w:rsidRPr="00A64A00">
        <w:rPr>
          <w:szCs w:val="20"/>
          <w:rtl/>
        </w:rPr>
        <w:t>2-</w:t>
      </w:r>
      <w:r w:rsidRPr="00A64A00">
        <w:rPr>
          <w:rtl/>
        </w:rPr>
        <w:tab/>
      </w:r>
      <w:r w:rsidRPr="00A64A00">
        <w:rPr>
          <w:i/>
          <w:iCs/>
          <w:rtl/>
        </w:rPr>
        <w:t>يعترف</w:t>
      </w:r>
      <w:r w:rsidRPr="00A64A00">
        <w:rPr>
          <w:rtl/>
        </w:rPr>
        <w:t xml:space="preserve"> بأهمية الإجراءات الخاصة ذات الصلة لمجلس حقوق الإنسان، ولا سيما ولاية المقرر(ة) الخاص(ة) المعني(ة) بحالات الإعدام خارج القضاء أو بإجراءات موجزة أو تعسفاً، من حيث دورها الرئيسي بوصفها آليات للإنذار المبكر لمنع جريمة الإبادة الجماعية، والجرائم المرتكبة ضد الإنسانية وجرائم الحرب، ويشجع المكلفين بولايات في إطار الإجراءات الخاصة ذات الصلة على التعاون، في إطار ولاياتهم، لتحقيق هذه الغاية؛ </w:t>
      </w:r>
    </w:p>
    <w:p w14:paraId="2128C08A" w14:textId="46EAEBB9" w:rsidR="00A64A00" w:rsidRPr="00A64A00" w:rsidRDefault="00A64A00" w:rsidP="00A64A00">
      <w:pPr>
        <w:pStyle w:val="SingleTxtGA"/>
        <w:rPr>
          <w:szCs w:val="20"/>
          <w:lang w:val="ar-SA" w:eastAsia="zh-TW" w:bidi="en-GB"/>
        </w:rPr>
      </w:pPr>
      <w:r w:rsidRPr="00A64A00">
        <w:rPr>
          <w:szCs w:val="20"/>
          <w:rtl/>
        </w:rPr>
        <w:tab/>
      </w:r>
      <w:r w:rsidRPr="00A64A00">
        <w:rPr>
          <w:szCs w:val="20"/>
          <w:rtl/>
        </w:rPr>
        <w:t>3-</w:t>
      </w:r>
      <w:r w:rsidRPr="00A64A00">
        <w:rPr>
          <w:rtl/>
        </w:rPr>
        <w:tab/>
      </w:r>
      <w:r w:rsidRPr="00A64A00">
        <w:rPr>
          <w:i/>
          <w:iCs/>
          <w:rtl/>
        </w:rPr>
        <w:t>يطالب</w:t>
      </w:r>
      <w:r w:rsidRPr="00A64A00">
        <w:rPr>
          <w:rtl/>
        </w:rPr>
        <w:t xml:space="preserve"> جميع الدول بضمان وضع حد لممارسة الإعدام خارج القضاء أو بإجراءات موجزة أو تعسفاً، وباتخاذ إجراءات فعالة لمكافحة هذه الظاهرة بجميع أشكالها والقضاء عليها؛ </w:t>
      </w:r>
    </w:p>
    <w:p w14:paraId="336F2A3A" w14:textId="17073F4C" w:rsidR="00A64A00" w:rsidRPr="00A64A00" w:rsidRDefault="00A64A00" w:rsidP="00A64A00">
      <w:pPr>
        <w:pStyle w:val="SingleTxtGA"/>
        <w:rPr>
          <w:szCs w:val="20"/>
          <w:lang w:val="ar-SA" w:eastAsia="zh-TW" w:bidi="en-GB"/>
        </w:rPr>
      </w:pPr>
      <w:r w:rsidRPr="00A64A00">
        <w:rPr>
          <w:szCs w:val="20"/>
          <w:rtl/>
        </w:rPr>
        <w:tab/>
      </w:r>
      <w:r w:rsidRPr="00A64A00">
        <w:rPr>
          <w:szCs w:val="20"/>
          <w:rtl/>
        </w:rPr>
        <w:t>4-</w:t>
      </w:r>
      <w:r w:rsidRPr="00A64A00">
        <w:rPr>
          <w:rtl/>
        </w:rPr>
        <w:tab/>
      </w:r>
      <w:r w:rsidRPr="00A64A00">
        <w:rPr>
          <w:i/>
          <w:iCs/>
          <w:rtl/>
        </w:rPr>
        <w:t>يكرر</w:t>
      </w:r>
      <w:r w:rsidRPr="00A64A00">
        <w:rPr>
          <w:rtl/>
        </w:rPr>
        <w:t xml:space="preserve"> تأكيد التزام جميع الدول بإجراء تحقيقات شاملة ونزيهة في جميع ما</w:t>
      </w:r>
      <w:r w:rsidRPr="00A64A00">
        <w:rPr>
          <w:rFonts w:hint="cs"/>
          <w:rtl/>
        </w:rPr>
        <w:t xml:space="preserve"> </w:t>
      </w:r>
      <w:r w:rsidRPr="00A64A00">
        <w:rPr>
          <w:rtl/>
        </w:rPr>
        <w:t xml:space="preserve">يشتبه فيه من حالات الإعدام خارج القضاء أو بإجراءات موجزة أو تعسفاً، وكشف المسؤولين عنها وتقديمهم إلى العدالة، مع ضمان حق كل فرد في محاكمة عادلة وعلنية أمام محكمة مختصة ومستقلة ونزيهة منشأة بموجب القانون، ومنح تعويضات كافية للضحايا أو أسرهم، في غضون فترة معقولة، واتخاذ جميع التدابير الضرورية، بما فيها التدابير القانونية والقضائية، من أجل وضع حد للإفلات من العقاب ومنع تكرار حالات الإعدام هذه، على نحو ما يرد في المبادئ المتعلقة بالمنع والتقصي الفعالين لعمليات الإعدام خارج نطاق القانون والإعدام التعسفي والإعدام بإجراءات موجزة؛ </w:t>
      </w:r>
    </w:p>
    <w:p w14:paraId="4AB3C079" w14:textId="23D4E068" w:rsidR="00A64A00" w:rsidRPr="00A64A00" w:rsidRDefault="00A64A00" w:rsidP="00A64A00">
      <w:pPr>
        <w:pStyle w:val="SingleTxtGA"/>
        <w:rPr>
          <w:szCs w:val="20"/>
          <w:lang w:eastAsia="zh-TW" w:bidi="en-GB"/>
        </w:rPr>
      </w:pPr>
      <w:r w:rsidRPr="00A64A00">
        <w:rPr>
          <w:szCs w:val="20"/>
          <w:rtl/>
        </w:rPr>
        <w:lastRenderedPageBreak/>
        <w:tab/>
      </w:r>
      <w:r w:rsidRPr="00A64A00">
        <w:rPr>
          <w:szCs w:val="20"/>
          <w:rtl/>
        </w:rPr>
        <w:t>5-</w:t>
      </w:r>
      <w:r w:rsidRPr="00A64A00">
        <w:rPr>
          <w:rtl/>
        </w:rPr>
        <w:tab/>
      </w:r>
      <w:r w:rsidRPr="00A64A00">
        <w:rPr>
          <w:i/>
          <w:iCs/>
          <w:rtl/>
        </w:rPr>
        <w:t>يرحب</w:t>
      </w:r>
      <w:r w:rsidRPr="00A64A00">
        <w:rPr>
          <w:rtl/>
        </w:rPr>
        <w:t xml:space="preserve"> بالعمل الذي يضطلع به المقرر(ة) الخاص(ة) المعني(ة) بحالات الإعدام خارج القضاء أو بإجراءات موجزة أو تعسفاً، ويلاحظ التقارير المواضيعية المقدمة إلى مجلس حقوق الإنسان أثناء الاضطلاع بالولاية بشأن مسألة الجهات الفاعلة المسلحة غير التابعة للدولة وحماية الحق في الحياة، والتحقيق في أعمال القتل المتعمّد التي ترتكبها الدولة وتستهدف المدافعين عن حقوق الإنسان والصحفيين والمنشقّين البارزين</w:t>
      </w:r>
      <w:r w:rsidRPr="00A64A00">
        <w:rPr>
          <w:rFonts w:hint="cs"/>
          <w:vertAlign w:val="superscript"/>
          <w:rtl/>
        </w:rPr>
        <w:t>(</w:t>
      </w:r>
      <w:r w:rsidRPr="00A64A00">
        <w:rPr>
          <w:vertAlign w:val="superscript"/>
          <w:rtl/>
        </w:rPr>
        <w:footnoteReference w:id="2"/>
      </w:r>
      <w:r w:rsidRPr="00A64A00">
        <w:rPr>
          <w:rFonts w:hint="cs"/>
          <w:vertAlign w:val="superscript"/>
          <w:rtl/>
        </w:rPr>
        <w:t>)</w:t>
      </w:r>
      <w:r w:rsidRPr="00A64A00">
        <w:rPr>
          <w:rtl/>
        </w:rPr>
        <w:t xml:space="preserve">، والمساءلة عنها ومنع حدوثها، وعمليات الإعدام خارج القضاء أو بإجراءات موجزة أو تعسفاً، ويدعو الدول إلى إيلاء الاستنتاجات والتوصيات الواردة في هذه التقارير الاعتبار الواجب؛ </w:t>
      </w:r>
      <w:r w:rsidRPr="00A64A00">
        <w:rPr>
          <w:szCs w:val="20"/>
          <w:lang w:eastAsia="zh-TW" w:bidi="en-GB"/>
        </w:rPr>
        <w:t xml:space="preserve"> </w:t>
      </w:r>
    </w:p>
    <w:p w14:paraId="6CEBADC8" w14:textId="3E220B94" w:rsidR="00A64A00" w:rsidRPr="00A64A00" w:rsidRDefault="00A64A00" w:rsidP="00A64A00">
      <w:pPr>
        <w:pStyle w:val="SingleTxtGA"/>
        <w:rPr>
          <w:szCs w:val="20"/>
          <w:lang w:eastAsia="zh-TW" w:bidi="en-GB"/>
        </w:rPr>
      </w:pPr>
      <w:r w:rsidRPr="00A64A00">
        <w:rPr>
          <w:szCs w:val="20"/>
          <w:rtl/>
        </w:rPr>
        <w:tab/>
      </w:r>
      <w:r w:rsidRPr="00A64A00">
        <w:rPr>
          <w:szCs w:val="20"/>
          <w:rtl/>
        </w:rPr>
        <w:t>6-</w:t>
      </w:r>
      <w:r w:rsidRPr="00A64A00">
        <w:rPr>
          <w:rtl/>
        </w:rPr>
        <w:tab/>
      </w:r>
      <w:r w:rsidRPr="00A64A00">
        <w:rPr>
          <w:i/>
          <w:iCs/>
          <w:rtl/>
        </w:rPr>
        <w:t>يشيــد</w:t>
      </w:r>
      <w:r w:rsidRPr="00A64A00">
        <w:rPr>
          <w:rtl/>
        </w:rPr>
        <w:t xml:space="preserve"> بالدور الهام الذي يؤديه/تؤديه المقرر(ة) الخاص(ة) في سبيل إنهاء حالات الإعدام خارج القضاء أو بإجراءات موجزة أو تعسفاً، ويشجعه(ا) على أن يواصل/تواصل، في إطار ولايته(ا)، جمع المعلومات من جميع الجهات المعنية، والاستجابة بفعالية لما يرد إليه(ا) من معلومات، ومتابعة البلاغات والزيارات القطرية والتماس آراء الحكومات وتعليقاتها وبيانها في التقارير التي يعدها/تعدها، حسب الاقتضاء؛ </w:t>
      </w:r>
    </w:p>
    <w:p w14:paraId="2876CAF8" w14:textId="3B22EFD4" w:rsidR="00A64A00" w:rsidRPr="00A64A00" w:rsidRDefault="00A64A00" w:rsidP="00A64A00">
      <w:pPr>
        <w:pStyle w:val="SingleTxtGA"/>
        <w:rPr>
          <w:spacing w:val="-4"/>
          <w:szCs w:val="20"/>
          <w:rtl/>
          <w:lang w:eastAsia="zh-TW" w:bidi="en-GB"/>
        </w:rPr>
      </w:pPr>
      <w:r w:rsidRPr="00A64A00">
        <w:rPr>
          <w:spacing w:val="-4"/>
          <w:szCs w:val="20"/>
          <w:rtl/>
        </w:rPr>
        <w:tab/>
      </w:r>
      <w:r w:rsidRPr="00A64A00">
        <w:rPr>
          <w:spacing w:val="-4"/>
          <w:szCs w:val="20"/>
          <w:rtl/>
        </w:rPr>
        <w:t>7-</w:t>
      </w:r>
      <w:r w:rsidRPr="00A64A00">
        <w:rPr>
          <w:spacing w:val="-4"/>
          <w:rtl/>
        </w:rPr>
        <w:tab/>
      </w:r>
      <w:r w:rsidRPr="00A64A00">
        <w:rPr>
          <w:i/>
          <w:iCs/>
          <w:spacing w:val="-4"/>
          <w:rtl/>
        </w:rPr>
        <w:t>يطلب</w:t>
      </w:r>
      <w:r w:rsidRPr="00A64A00">
        <w:rPr>
          <w:spacing w:val="-4"/>
          <w:rtl/>
        </w:rPr>
        <w:t xml:space="preserve"> إلى المقرر(ة) الخاص(ة)، أن يقوم/تقوم في سياق اضطلاعه(ا) بولايته(ا) بما يلي</w:t>
      </w:r>
      <w:r w:rsidRPr="008B2537">
        <w:rPr>
          <w:spacing w:val="-4"/>
          <w:sz w:val="28"/>
          <w:rtl/>
        </w:rPr>
        <w:t>:</w:t>
      </w:r>
      <w:r w:rsidRPr="008B2537">
        <w:rPr>
          <w:spacing w:val="-4"/>
          <w:sz w:val="28"/>
          <w:szCs w:val="36"/>
          <w:rtl/>
        </w:rPr>
        <w:t xml:space="preserve"> </w:t>
      </w:r>
    </w:p>
    <w:p w14:paraId="70554290" w14:textId="4657614C" w:rsidR="00A64A00" w:rsidRPr="00A64A00" w:rsidRDefault="00A64A00" w:rsidP="00A64A00">
      <w:pPr>
        <w:pStyle w:val="SingleTxtGA"/>
        <w:rPr>
          <w:szCs w:val="20"/>
          <w:lang w:val="ar-SA" w:eastAsia="zh-TW" w:bidi="en-GB"/>
        </w:rPr>
      </w:pPr>
      <w:r w:rsidRPr="00A64A00">
        <w:rPr>
          <w:rtl/>
        </w:rPr>
        <w:tab/>
      </w:r>
      <w:r w:rsidRPr="00A64A00">
        <w:rPr>
          <w:rtl/>
        </w:rPr>
        <w:t>(أ)</w:t>
      </w:r>
      <w:r w:rsidRPr="00A64A00">
        <w:rPr>
          <w:rtl/>
        </w:rPr>
        <w:tab/>
        <w:t xml:space="preserve">مواصلة دراسة حالات الإعدام خارج القضاء أو بإجراءات موجزة أو تعسفاً، في جميع الظروف وأياً كانت الأسباب، وتقديم ما يتوصل/تتوصل إليه من نتائج على أساس سنوي، مشفوعة باستنتاجاته(ا) وتوصياته(ا)، إلى مجلس حقوق الإنسان والجمعية العامة، وتوجيه اهتمام المجلس إلى الحالات الخطيرة من حالات الإعدام خارج القضاء أو بإجراءات موجزة أو تعسفاً، التي تستدعي اهتماماً فورياً أو التي قد يتيح اتخاذ إجراء مبكر بشأنها منع مزيد من التدهور؛ </w:t>
      </w:r>
    </w:p>
    <w:p w14:paraId="11E7908B" w14:textId="213C6CD0" w:rsidR="00A64A00" w:rsidRPr="00A64A00" w:rsidRDefault="00A64A00" w:rsidP="00A64A00">
      <w:pPr>
        <w:pStyle w:val="SingleTxtGA"/>
        <w:rPr>
          <w:szCs w:val="20"/>
          <w:lang w:val="ar-SA" w:eastAsia="zh-TW" w:bidi="en-GB"/>
        </w:rPr>
      </w:pPr>
      <w:r w:rsidRPr="00A64A00">
        <w:rPr>
          <w:rtl/>
        </w:rPr>
        <w:tab/>
      </w:r>
      <w:r w:rsidRPr="00A64A00">
        <w:rPr>
          <w:rtl/>
        </w:rPr>
        <w:t>(ب)</w:t>
      </w:r>
      <w:r w:rsidRPr="00A64A00">
        <w:rPr>
          <w:rtl/>
        </w:rPr>
        <w:tab/>
        <w:t xml:space="preserve">مواصلة توجيه اهتمام مفوضة الأمم المتحدة السامية لحقوق الإنسان إلى الحالات الخطيرة من حالات الإعدام خارج القضاء أو بإجراءات موجزة أو تعسفاً التي تستدعي اهتماماً فورياً أو التي قد يتيح اتخاذ إجراء مبكر بشأنها منع مزيد من التدهور؛ </w:t>
      </w:r>
    </w:p>
    <w:p w14:paraId="7BA0CC48" w14:textId="262736FD" w:rsidR="00A64A00" w:rsidRPr="00A64A00" w:rsidRDefault="00A64A00" w:rsidP="00A64A00">
      <w:pPr>
        <w:pStyle w:val="SingleTxtGA"/>
        <w:rPr>
          <w:szCs w:val="20"/>
          <w:lang w:val="ar-SA" w:eastAsia="zh-TW" w:bidi="en-GB"/>
        </w:rPr>
      </w:pPr>
      <w:r w:rsidRPr="00A64A00">
        <w:rPr>
          <w:rtl/>
        </w:rPr>
        <w:tab/>
      </w:r>
      <w:r w:rsidRPr="00A64A00">
        <w:rPr>
          <w:rtl/>
        </w:rPr>
        <w:t>(ج)</w:t>
      </w:r>
      <w:r w:rsidRPr="00A64A00">
        <w:rPr>
          <w:rtl/>
        </w:rPr>
        <w:tab/>
        <w:t xml:space="preserve">الاستجابة بفعالية للمعلومات التي ترد إليه(ا)، خاصة عندما يكون الإعدام خارج القضاء أو بإجراءات موجزة أو تعسفاً وشيكاً أو محدقاً أو قد وقع فعلاً؛ </w:t>
      </w:r>
    </w:p>
    <w:p w14:paraId="62C9D14D" w14:textId="49755011" w:rsidR="00A64A00" w:rsidRPr="008B2537" w:rsidRDefault="00A64A00" w:rsidP="00A64A00">
      <w:pPr>
        <w:pStyle w:val="SingleTxtGA"/>
        <w:rPr>
          <w:szCs w:val="20"/>
          <w:lang w:eastAsia="zh-TW" w:bidi="en-GB"/>
        </w:rPr>
      </w:pPr>
      <w:r w:rsidRPr="00A64A00">
        <w:rPr>
          <w:rtl/>
        </w:rPr>
        <w:tab/>
      </w:r>
      <w:r w:rsidRPr="00A64A00">
        <w:rPr>
          <w:rtl/>
        </w:rPr>
        <w:t>(د)</w:t>
      </w:r>
      <w:r w:rsidRPr="00A64A00">
        <w:rPr>
          <w:rtl/>
        </w:rPr>
        <w:tab/>
        <w:t xml:space="preserve">مواصلة تعزيز حواره(ا) مع الحكومات، ومتابعة التوصيات التي يقدمها/تقدمها في تقاريره(ا) عقب زيارة بلدان معينة؛ </w:t>
      </w:r>
    </w:p>
    <w:p w14:paraId="736F6D95" w14:textId="348D72F2" w:rsidR="00A64A00" w:rsidRPr="00A64A00" w:rsidRDefault="00A64A00" w:rsidP="00A64A00">
      <w:pPr>
        <w:pStyle w:val="SingleTxtGA"/>
        <w:rPr>
          <w:szCs w:val="20"/>
          <w:lang w:eastAsia="zh-TW" w:bidi="en-GB"/>
        </w:rPr>
      </w:pPr>
      <w:r w:rsidRPr="00A64A00">
        <w:rPr>
          <w:rtl/>
        </w:rPr>
        <w:tab/>
      </w:r>
      <w:r w:rsidRPr="00A64A00">
        <w:rPr>
          <w:rtl/>
        </w:rPr>
        <w:t>(هـ)</w:t>
      </w:r>
      <w:r w:rsidRPr="00A64A00">
        <w:rPr>
          <w:rtl/>
        </w:rPr>
        <w:tab/>
        <w:t xml:space="preserve">مواصلة رصد تنفيذ المعايير الدولية القائمة بشأن الضمانات والقيود المتعلقة بفرض عقوبة الإعدام، على أن يضع/تضع في اعتباره(ا) التعليقات التي أبدتها اللجنة المعنية بحقوق الإنسان في تفسيرها المادة </w:t>
      </w:r>
      <w:r w:rsidRPr="00A64A00">
        <w:rPr>
          <w:szCs w:val="20"/>
          <w:rtl/>
        </w:rPr>
        <w:t>6</w:t>
      </w:r>
      <w:r w:rsidRPr="00A64A00">
        <w:rPr>
          <w:rtl/>
        </w:rPr>
        <w:t xml:space="preserve"> من العهد الدولي الخاص بالحقوق المدنية والسياسية، والبروتوكول الاختياري الثاني الملحق به؛ </w:t>
      </w:r>
    </w:p>
    <w:p w14:paraId="14CBDB94" w14:textId="317F6E6E" w:rsidR="00A64A00" w:rsidRPr="00A64A00" w:rsidRDefault="00A64A00" w:rsidP="00A64A00">
      <w:pPr>
        <w:pStyle w:val="SingleTxtGA"/>
        <w:rPr>
          <w:szCs w:val="20"/>
          <w:lang w:val="ar-SA" w:eastAsia="zh-TW" w:bidi="en-GB"/>
        </w:rPr>
      </w:pPr>
      <w:r w:rsidRPr="00A64A00">
        <w:rPr>
          <w:rtl/>
        </w:rPr>
        <w:tab/>
      </w:r>
      <w:r w:rsidRPr="00A64A00">
        <w:rPr>
          <w:rtl/>
        </w:rPr>
        <w:t>(و)</w:t>
      </w:r>
      <w:r w:rsidRPr="00A64A00">
        <w:rPr>
          <w:rtl/>
        </w:rPr>
        <w:tab/>
        <w:t>تطبيق منظور جنساني في عمله(ا)؛</w:t>
      </w:r>
    </w:p>
    <w:p w14:paraId="6BB36659" w14:textId="00BC3480" w:rsidR="00A64A00" w:rsidRPr="00A64A00" w:rsidRDefault="00A64A00" w:rsidP="00A64A00">
      <w:pPr>
        <w:pStyle w:val="SingleTxtGA"/>
        <w:rPr>
          <w:szCs w:val="20"/>
          <w:lang w:val="ar-SA" w:eastAsia="zh-TW" w:bidi="en-GB"/>
        </w:rPr>
      </w:pPr>
      <w:r w:rsidRPr="00A64A00">
        <w:rPr>
          <w:szCs w:val="20"/>
          <w:rtl/>
        </w:rPr>
        <w:tab/>
      </w:r>
      <w:r w:rsidRPr="00A64A00">
        <w:rPr>
          <w:szCs w:val="20"/>
          <w:rtl/>
        </w:rPr>
        <w:t>8-</w:t>
      </w:r>
      <w:r w:rsidRPr="00A64A00">
        <w:rPr>
          <w:rtl/>
        </w:rPr>
        <w:tab/>
      </w:r>
      <w:r w:rsidRPr="00A64A00">
        <w:rPr>
          <w:i/>
          <w:iCs/>
          <w:rtl/>
        </w:rPr>
        <w:t>يحث</w:t>
      </w:r>
      <w:r w:rsidRPr="00A64A00">
        <w:rPr>
          <w:rtl/>
        </w:rPr>
        <w:t xml:space="preserve"> الدول على ما يلي</w:t>
      </w:r>
      <w:r w:rsidRPr="00A64A00">
        <w:rPr>
          <w:szCs w:val="20"/>
        </w:rPr>
        <w:t>:</w:t>
      </w:r>
      <w:r w:rsidRPr="00A64A00">
        <w:rPr>
          <w:rtl/>
        </w:rPr>
        <w:t xml:space="preserve"> </w:t>
      </w:r>
    </w:p>
    <w:p w14:paraId="5C6A5D44" w14:textId="16886EAE" w:rsidR="00A64A00" w:rsidRPr="00A64A00" w:rsidRDefault="00A64A00" w:rsidP="00A64A00">
      <w:pPr>
        <w:pStyle w:val="SingleTxtGA"/>
        <w:rPr>
          <w:szCs w:val="20"/>
          <w:lang w:val="ar-SA" w:eastAsia="zh-TW" w:bidi="en-GB"/>
        </w:rPr>
      </w:pPr>
      <w:r w:rsidRPr="00A64A00">
        <w:rPr>
          <w:rtl/>
        </w:rPr>
        <w:tab/>
      </w:r>
      <w:r w:rsidRPr="00A64A00">
        <w:rPr>
          <w:rtl/>
        </w:rPr>
        <w:t>(أ)</w:t>
      </w:r>
      <w:r w:rsidRPr="00A64A00">
        <w:rPr>
          <w:rtl/>
        </w:rPr>
        <w:tab/>
        <w:t xml:space="preserve">التعاون مع المقرر(ة) الخاص(ة) ومساعدته(ا) في أداء مهامه(ا)، وتقديم جميع المعلومات الضرورية التي يطلبها/تطلبها، والاستجابة على نحو مناسب وسريع لنداءاته(ا) العاجلة، </w:t>
      </w:r>
      <w:r w:rsidRPr="00A64A00">
        <w:rPr>
          <w:rtl/>
        </w:rPr>
        <w:lastRenderedPageBreak/>
        <w:t xml:space="preserve">ويحث الحكومات التي لم تردّ بعد على الرسائل التي أحالها/أحالتها إليها المقرر(ة) الخاص(ة) على أن تفعل ذلك بدون مزيد من التأخير؛ </w:t>
      </w:r>
    </w:p>
    <w:p w14:paraId="7788DA22" w14:textId="050AC5D7" w:rsidR="00A64A00" w:rsidRPr="00A64A00" w:rsidRDefault="00A64A00" w:rsidP="00A64A00">
      <w:pPr>
        <w:pStyle w:val="SingleTxtGA"/>
        <w:rPr>
          <w:szCs w:val="20"/>
          <w:lang w:val="ar-SA" w:eastAsia="zh-TW" w:bidi="en-GB"/>
        </w:rPr>
      </w:pPr>
      <w:r w:rsidRPr="00A64A00">
        <w:rPr>
          <w:rtl/>
        </w:rPr>
        <w:tab/>
      </w:r>
      <w:r w:rsidRPr="00A64A00">
        <w:rPr>
          <w:rtl/>
        </w:rPr>
        <w:t>(ب)</w:t>
      </w:r>
      <w:r w:rsidRPr="00A64A00">
        <w:rPr>
          <w:rtl/>
        </w:rPr>
        <w:tab/>
        <w:t xml:space="preserve">النظر بجدية في تلبية طلبات المقرر(ة) الخاص(ة) زيارة بلدانها؛ </w:t>
      </w:r>
    </w:p>
    <w:p w14:paraId="582541C9" w14:textId="09547B03" w:rsidR="00A64A00" w:rsidRPr="00A64A00" w:rsidRDefault="00A64A00" w:rsidP="00A64A00">
      <w:pPr>
        <w:pStyle w:val="SingleTxtGA"/>
        <w:rPr>
          <w:szCs w:val="20"/>
          <w:lang w:val="ar-SA" w:eastAsia="zh-TW" w:bidi="en-GB"/>
        </w:rPr>
      </w:pPr>
      <w:r w:rsidRPr="00A64A00">
        <w:rPr>
          <w:rtl/>
        </w:rPr>
        <w:tab/>
      </w:r>
      <w:r w:rsidRPr="00A64A00">
        <w:rPr>
          <w:rtl/>
        </w:rPr>
        <w:t>(ج)</w:t>
      </w:r>
      <w:r w:rsidRPr="00A64A00">
        <w:rPr>
          <w:rtl/>
        </w:rPr>
        <w:tab/>
        <w:t xml:space="preserve">ضمان متابعة توصيات المقرر(ة) الخاص(ة) واستنتاجاته(ا) متابعة مناسبة، بطرق، منها موافاته(ا) بمعلومات عن الإجراءات المتخذة بشأن هذه التوصيات؛ </w:t>
      </w:r>
    </w:p>
    <w:p w14:paraId="2859AA8A" w14:textId="08FFD485" w:rsidR="00A64A00" w:rsidRPr="008B2537" w:rsidRDefault="00A64A00" w:rsidP="00A64A00">
      <w:pPr>
        <w:pStyle w:val="SingleTxtGA"/>
        <w:rPr>
          <w:spacing w:val="-4"/>
          <w:szCs w:val="20"/>
          <w:lang w:eastAsia="zh-TW" w:bidi="en-GB"/>
        </w:rPr>
      </w:pPr>
      <w:r w:rsidRPr="008B2537">
        <w:rPr>
          <w:spacing w:val="-4"/>
          <w:szCs w:val="20"/>
          <w:rtl/>
        </w:rPr>
        <w:tab/>
      </w:r>
      <w:r w:rsidRPr="008B2537">
        <w:rPr>
          <w:spacing w:val="-4"/>
          <w:szCs w:val="20"/>
          <w:rtl/>
        </w:rPr>
        <w:t>9-</w:t>
      </w:r>
      <w:r w:rsidRPr="008B2537">
        <w:rPr>
          <w:spacing w:val="-4"/>
          <w:rtl/>
        </w:rPr>
        <w:tab/>
      </w:r>
      <w:r w:rsidRPr="008B2537">
        <w:rPr>
          <w:i/>
          <w:iCs/>
          <w:spacing w:val="-4"/>
          <w:rtl/>
        </w:rPr>
        <w:t>يرحب</w:t>
      </w:r>
      <w:r w:rsidRPr="008B2537">
        <w:rPr>
          <w:spacing w:val="-4"/>
          <w:rtl/>
        </w:rPr>
        <w:t xml:space="preserve"> بالتعاون القائم بين المقرر(ة) الخاص(ة) وآليات الأمم المتحدة وإجراءاتها الأخرى في ميدان حقوق الإنسان، ويشجع المقرر(ة) الخاص(ة) على مواصلة بذل جهوده(ا) في هذا الصدد؛ </w:t>
      </w:r>
    </w:p>
    <w:p w14:paraId="12F046E7" w14:textId="5988AF28" w:rsidR="00A64A00" w:rsidRPr="00A64A00" w:rsidRDefault="00A64A00" w:rsidP="00A64A00">
      <w:pPr>
        <w:pStyle w:val="SingleTxtGA"/>
        <w:rPr>
          <w:spacing w:val="-4"/>
          <w:szCs w:val="20"/>
          <w:lang w:eastAsia="zh-TW" w:bidi="en-GB"/>
        </w:rPr>
      </w:pPr>
      <w:r w:rsidRPr="00A64A00">
        <w:rPr>
          <w:spacing w:val="-4"/>
          <w:szCs w:val="20"/>
          <w:rtl/>
        </w:rPr>
        <w:tab/>
      </w:r>
      <w:r w:rsidRPr="00A64A00">
        <w:rPr>
          <w:spacing w:val="-4"/>
          <w:szCs w:val="20"/>
          <w:rtl/>
        </w:rPr>
        <w:t>10-</w:t>
      </w:r>
      <w:r w:rsidRPr="00A64A00">
        <w:rPr>
          <w:spacing w:val="-4"/>
          <w:rtl/>
        </w:rPr>
        <w:tab/>
      </w:r>
      <w:r w:rsidRPr="00A64A00">
        <w:rPr>
          <w:i/>
          <w:iCs/>
          <w:spacing w:val="-4"/>
          <w:rtl/>
        </w:rPr>
        <w:t>يطلب</w:t>
      </w:r>
      <w:r w:rsidRPr="00A64A00">
        <w:rPr>
          <w:spacing w:val="-4"/>
          <w:rtl/>
        </w:rPr>
        <w:t xml:space="preserve"> إلى الأمين العام أن يزود المقرر(ة) الخاص(ة) بما يكفي من الموارد البشرية والمالية والمادية من أجل تمكينه(ا) من الاضطلاع بولايته(ا) على نحو فعال، بوسائل منها القيام بزيارات قطرية؛ </w:t>
      </w:r>
    </w:p>
    <w:p w14:paraId="26DCCC6F" w14:textId="0B0ACE86" w:rsidR="00A64A00" w:rsidRPr="00A64A00" w:rsidRDefault="00A64A00" w:rsidP="00A64A00">
      <w:pPr>
        <w:pStyle w:val="SingleTxtGA"/>
        <w:rPr>
          <w:szCs w:val="20"/>
          <w:lang w:eastAsia="zh-TW" w:bidi="en-GB"/>
        </w:rPr>
      </w:pPr>
      <w:r w:rsidRPr="00A64A00">
        <w:rPr>
          <w:szCs w:val="20"/>
          <w:rtl/>
        </w:rPr>
        <w:tab/>
      </w:r>
      <w:r w:rsidRPr="00A64A00">
        <w:rPr>
          <w:szCs w:val="20"/>
          <w:rtl/>
        </w:rPr>
        <w:t>11-</w:t>
      </w:r>
      <w:r w:rsidRPr="00A64A00">
        <w:rPr>
          <w:rtl/>
        </w:rPr>
        <w:tab/>
      </w:r>
      <w:r w:rsidRPr="00A64A00">
        <w:rPr>
          <w:i/>
          <w:iCs/>
          <w:rtl/>
        </w:rPr>
        <w:t>يقرر</w:t>
      </w:r>
      <w:r w:rsidRPr="00A64A00">
        <w:rPr>
          <w:rtl/>
        </w:rPr>
        <w:t xml:space="preserve"> تمديد ولاية المقرر(ة) الخاص(ة) المعني(ة) بحالات الإعدام خارج القضاء أو</w:t>
      </w:r>
      <w:r>
        <w:rPr>
          <w:rFonts w:hint="cs"/>
          <w:rtl/>
        </w:rPr>
        <w:t> </w:t>
      </w:r>
      <w:r w:rsidRPr="00A64A00">
        <w:rPr>
          <w:rtl/>
        </w:rPr>
        <w:t>بإجراءات موجزة أو تعسفا</w:t>
      </w:r>
      <w:r w:rsidR="008B2537">
        <w:rPr>
          <w:rFonts w:hint="cs"/>
          <w:rtl/>
        </w:rPr>
        <w:t>ً</w:t>
      </w:r>
      <w:r w:rsidRPr="00A64A00">
        <w:rPr>
          <w:rtl/>
        </w:rPr>
        <w:t xml:space="preserve"> لفترة ثلاث سنوات؛ </w:t>
      </w:r>
    </w:p>
    <w:p w14:paraId="7F9B80DB" w14:textId="1DF33A10" w:rsidR="00A64A00" w:rsidRPr="00A64A00" w:rsidRDefault="00A64A00" w:rsidP="00A64A00">
      <w:pPr>
        <w:pStyle w:val="SingleTxtGA"/>
        <w:rPr>
          <w:szCs w:val="20"/>
          <w:lang w:val="ar-SA" w:eastAsia="zh-TW" w:bidi="en-GB"/>
        </w:rPr>
      </w:pPr>
      <w:r w:rsidRPr="00A64A00">
        <w:rPr>
          <w:szCs w:val="20"/>
          <w:rtl/>
        </w:rPr>
        <w:tab/>
      </w:r>
      <w:r w:rsidRPr="00A64A00">
        <w:rPr>
          <w:szCs w:val="20"/>
          <w:rtl/>
        </w:rPr>
        <w:t>12-</w:t>
      </w:r>
      <w:r w:rsidRPr="00A64A00">
        <w:rPr>
          <w:rtl/>
        </w:rPr>
        <w:tab/>
      </w:r>
      <w:dir w:val="rtl">
        <w:r w:rsidRPr="00A64A00">
          <w:rPr>
            <w:i/>
            <w:iCs/>
            <w:rtl/>
          </w:rPr>
          <w:t>يقرر</w:t>
        </w:r>
        <w:r w:rsidRPr="00A64A00">
          <w:rPr>
            <w:rtl/>
          </w:rPr>
          <w:t xml:space="preserve"> مواصلة النظر في هذا الموضوع وفقاً لبرنامج عمله.</w:t>
        </w:r>
        <w:r w:rsidRPr="00A64A00">
          <w:rPr>
            <w:rFonts w:cs="Times New Roman" w:hint="cs"/>
            <w:rtl/>
          </w:rPr>
          <w:t>‬</w:t>
        </w:r>
        <w:r w:rsidRPr="00A64A00">
          <w:t>‬</w:t>
        </w:r>
        <w:r w:rsidRPr="00A64A00">
          <w:t>‬</w:t>
        </w:r>
        <w:r w:rsidRPr="00A64A00">
          <w:t>‬</w:t>
        </w:r>
      </w:dir>
    </w:p>
    <w:p w14:paraId="7DD11832" w14:textId="4DE0E6F1" w:rsidR="00A64A00" w:rsidRPr="00A64A00" w:rsidRDefault="00A64A00" w:rsidP="00A64A00">
      <w:pPr>
        <w:spacing w:before="120"/>
        <w:jc w:val="center"/>
        <w:rPr>
          <w:rFonts w:hint="cs"/>
          <w:u w:val="single"/>
          <w:rtl/>
        </w:rPr>
      </w:pPr>
      <w:r>
        <w:rPr>
          <w:u w:val="single"/>
          <w:rtl/>
        </w:rPr>
        <w:tab/>
      </w:r>
      <w:r>
        <w:rPr>
          <w:u w:val="single"/>
          <w:rtl/>
        </w:rPr>
        <w:tab/>
      </w:r>
      <w:r>
        <w:rPr>
          <w:u w:val="single"/>
          <w:rtl/>
        </w:rPr>
        <w:tab/>
      </w:r>
    </w:p>
    <w:sectPr w:rsidR="00A64A00" w:rsidRPr="00A64A00" w:rsidSect="005E293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4991" w14:textId="77777777" w:rsidR="00966A94" w:rsidRPr="002901D9" w:rsidRDefault="00966A94" w:rsidP="002901D9">
      <w:pPr>
        <w:spacing w:after="60" w:line="240" w:lineRule="auto"/>
        <w:rPr>
          <w:i/>
          <w:iCs/>
        </w:rPr>
      </w:pPr>
      <w:r>
        <w:rPr>
          <w:rFonts w:hint="cs"/>
          <w:i/>
          <w:iCs/>
          <w:rtl/>
        </w:rPr>
        <w:t>الحواشي</w:t>
      </w:r>
    </w:p>
  </w:endnote>
  <w:endnote w:type="continuationSeparator" w:id="0">
    <w:p w14:paraId="1A513128" w14:textId="77777777" w:rsidR="00966A94" w:rsidRDefault="00966A9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A6EB" w14:textId="77777777" w:rsidR="005E2932" w:rsidRPr="00A64A00" w:rsidRDefault="00A64A00" w:rsidP="00A64A00">
    <w:pPr>
      <w:pStyle w:val="Footer"/>
      <w:tabs>
        <w:tab w:val="right" w:pos="9598"/>
      </w:tabs>
      <w:rPr>
        <w:sz w:val="17"/>
      </w:rPr>
    </w:pPr>
    <w:r>
      <w:rPr>
        <w:sz w:val="17"/>
      </w:rPr>
      <w:t>GE.20-09173</w:t>
    </w:r>
    <w:r>
      <w:rPr>
        <w:sz w:val="17"/>
      </w:rPr>
      <w:tab/>
    </w:r>
    <w:r w:rsidRPr="00A64A00">
      <w:rPr>
        <w:b/>
        <w:sz w:val="18"/>
      </w:rPr>
      <w:fldChar w:fldCharType="begin"/>
    </w:r>
    <w:r w:rsidRPr="00A64A00">
      <w:rPr>
        <w:b/>
        <w:sz w:val="18"/>
      </w:rPr>
      <w:instrText xml:space="preserve"> PAGE  \* MERGEFORMAT </w:instrText>
    </w:r>
    <w:r w:rsidRPr="00A64A00">
      <w:rPr>
        <w:b/>
        <w:sz w:val="18"/>
      </w:rPr>
      <w:fldChar w:fldCharType="separate"/>
    </w:r>
    <w:r>
      <w:rPr>
        <w:b/>
        <w:sz w:val="18"/>
      </w:rPr>
      <w:t>2</w:t>
    </w:r>
    <w:r w:rsidRPr="00A64A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BAFA" w14:textId="77777777" w:rsidR="006959B0" w:rsidRPr="00A64A00" w:rsidRDefault="00A64A00" w:rsidP="006959B0">
    <w:pPr>
      <w:pStyle w:val="Footer"/>
      <w:tabs>
        <w:tab w:val="right" w:pos="9599"/>
      </w:tabs>
      <w:jc w:val="left"/>
      <w:rPr>
        <w:b/>
        <w:sz w:val="18"/>
        <w:lang w:val="en-US"/>
      </w:rPr>
    </w:pPr>
    <w:r w:rsidRPr="00A64A00">
      <w:rPr>
        <w:b/>
        <w:sz w:val="18"/>
        <w:lang w:val="en-US"/>
      </w:rPr>
      <w:fldChar w:fldCharType="begin"/>
    </w:r>
    <w:r w:rsidRPr="00A64A00">
      <w:rPr>
        <w:b/>
        <w:sz w:val="18"/>
        <w:lang w:val="en-US"/>
      </w:rPr>
      <w:instrText xml:space="preserve"> PAGE  \* MERGEFORMAT </w:instrText>
    </w:r>
    <w:r w:rsidRPr="00A64A00">
      <w:rPr>
        <w:b/>
        <w:sz w:val="18"/>
        <w:lang w:val="en-US"/>
      </w:rPr>
      <w:fldChar w:fldCharType="separate"/>
    </w:r>
    <w:r w:rsidRPr="00A64A00">
      <w:rPr>
        <w:b/>
        <w:noProof/>
        <w:sz w:val="18"/>
        <w:lang w:val="en-US"/>
      </w:rPr>
      <w:t>3</w:t>
    </w:r>
    <w:r w:rsidRPr="00A64A00">
      <w:rPr>
        <w:b/>
        <w:sz w:val="18"/>
        <w:lang w:val="en-US"/>
      </w:rPr>
      <w:fldChar w:fldCharType="end"/>
    </w:r>
    <w:r>
      <w:rPr>
        <w:b/>
        <w:sz w:val="18"/>
        <w:lang w:val="en-US"/>
      </w:rPr>
      <w:tab/>
    </w:r>
    <w:r>
      <w:rPr>
        <w:sz w:val="17"/>
        <w:lang w:val="en-US"/>
      </w:rPr>
      <w:t>GE.20-09173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2E75" w14:textId="7C8B304E" w:rsidR="00FD4BC9" w:rsidRDefault="005E2932" w:rsidP="00F6741C">
    <w:pPr>
      <w:pStyle w:val="Footer"/>
      <w:spacing w:before="360"/>
      <w:jc w:val="right"/>
      <w:rPr>
        <w:sz w:val="20"/>
        <w:szCs w:val="20"/>
      </w:rPr>
    </w:pPr>
    <w:r>
      <w:rPr>
        <w:sz w:val="20"/>
        <w:szCs w:val="20"/>
      </w:rPr>
      <w:t>GE.20-09173</w:t>
    </w:r>
    <w:r w:rsidR="00E11FA6">
      <w:rPr>
        <w:noProof/>
      </w:rPr>
      <w:drawing>
        <wp:anchor distT="0" distB="0" distL="114300" distR="114300" simplePos="0" relativeHeight="251657728" behindDoc="1" locked="1" layoutInCell="0" allowOverlap="1" wp14:anchorId="47FC1DCC" wp14:editId="1D590E6D">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3F5E0FA7" w14:textId="0065530C" w:rsidR="005E2932" w:rsidRPr="005E2932" w:rsidRDefault="005E2932" w:rsidP="005E293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E11FA6">
      <w:rPr>
        <w:noProof/>
      </w:rPr>
      <w:drawing>
        <wp:anchor distT="0" distB="0" distL="114300" distR="114300" simplePos="0" relativeHeight="251659776" behindDoc="0" locked="0" layoutInCell="1" allowOverlap="1" wp14:anchorId="2E0FFFBD" wp14:editId="7D92B637">
          <wp:simplePos x="0" y="0"/>
          <wp:positionH relativeFrom="page">
            <wp:posOffset>719455</wp:posOffset>
          </wp:positionH>
          <wp:positionV relativeFrom="page">
            <wp:posOffset>9611995</wp:posOffset>
          </wp:positionV>
          <wp:extent cx="561340"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1D89E" w14:textId="77777777" w:rsidR="00966A94" w:rsidRPr="0054762C" w:rsidRDefault="00966A94" w:rsidP="000E524A">
      <w:pPr>
        <w:pStyle w:val="Footer"/>
        <w:bidi/>
        <w:spacing w:after="80" w:line="200" w:lineRule="exact"/>
        <w:ind w:left="680"/>
      </w:pPr>
      <w:r>
        <w:rPr>
          <w:rtl/>
        </w:rPr>
        <w:t>__________</w:t>
      </w:r>
    </w:p>
  </w:footnote>
  <w:footnote w:type="continuationSeparator" w:id="0">
    <w:p w14:paraId="417577EE" w14:textId="77777777" w:rsidR="00966A94" w:rsidRDefault="00966A94" w:rsidP="00656392">
      <w:pPr>
        <w:spacing w:line="240" w:lineRule="auto"/>
      </w:pPr>
      <w:r>
        <w:continuationSeparator/>
      </w:r>
    </w:p>
  </w:footnote>
  <w:footnote w:id="1">
    <w:p w14:paraId="04B0B14B" w14:textId="7CCC0874" w:rsidR="00A64A00" w:rsidRPr="00A64A00" w:rsidRDefault="00A64A00" w:rsidP="00A64A00">
      <w:pPr>
        <w:pStyle w:val="FootnoteText1"/>
        <w:rPr>
          <w:rFonts w:hint="cs"/>
          <w:rtl/>
        </w:rPr>
      </w:pPr>
      <w:r>
        <w:rPr>
          <w:rtl/>
        </w:rPr>
        <w:t>*</w:t>
      </w:r>
      <w:r>
        <w:rPr>
          <w:rtl/>
        </w:rPr>
        <w:tab/>
      </w:r>
      <w:r>
        <w:rPr>
          <w:rFonts w:hint="cs"/>
          <w:rtl/>
        </w:rPr>
        <w:t>دولة غير عضو في مجلس حقوق الإنسان.</w:t>
      </w:r>
    </w:p>
  </w:footnote>
  <w:footnote w:id="2">
    <w:p w14:paraId="482163EE" w14:textId="2444ACE0" w:rsidR="00A64A00" w:rsidRPr="00A64A00" w:rsidRDefault="00A64A00" w:rsidP="00A64A00">
      <w:pPr>
        <w:pStyle w:val="FootnoteText1"/>
        <w:textDirection w:val="tbRlV"/>
        <w:rPr>
          <w:szCs w:val="20"/>
          <w:lang w:eastAsia="zh-TW" w:bidi="en-GB"/>
        </w:rPr>
      </w:pPr>
      <w:r w:rsidRPr="00A64A00">
        <w:rPr>
          <w:rtl/>
        </w:rPr>
        <w:t>(</w:t>
      </w:r>
      <w:r w:rsidRPr="00A64A00">
        <w:rPr>
          <w:rStyle w:val="FootnoteReference"/>
          <w:rFonts w:ascii="Times New Roman"/>
          <w:b w:val="0"/>
          <w:vertAlign w:val="baseline"/>
        </w:rPr>
        <w:footnoteRef/>
      </w:r>
      <w:r>
        <w:rPr>
          <w:sz w:val="26"/>
          <w:rtl/>
        </w:rPr>
        <w:t>)</w:t>
      </w:r>
      <w:r>
        <w:rPr>
          <w:sz w:val="26"/>
          <w:rtl/>
        </w:rPr>
        <w:tab/>
      </w:r>
      <w:r>
        <w:rPr>
          <w:rFonts w:cs="Times New Roman"/>
          <w:sz w:val="20"/>
          <w:szCs w:val="20"/>
        </w:rPr>
        <w:t>A/HRC/41/36</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350A" w14:textId="77777777" w:rsidR="005E2932" w:rsidRPr="00A64A00" w:rsidRDefault="00A64A00" w:rsidP="00A64A00">
    <w:pPr>
      <w:pStyle w:val="Header"/>
      <w:jc w:val="right"/>
    </w:pPr>
    <w:r w:rsidRPr="00A64A00">
      <w:t>A/HRC/44/L.3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BC2F" w14:textId="77777777" w:rsidR="005E2932" w:rsidRPr="00A64A00" w:rsidRDefault="00A64A00" w:rsidP="00A64A00">
    <w:pPr>
      <w:pStyle w:val="Header"/>
      <w:jc w:val="left"/>
    </w:pPr>
    <w:r w:rsidRPr="00A64A00">
      <w:t>A/HRC/44/L.3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66A94"/>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168AA"/>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2932"/>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7D6E38"/>
    <w:rsid w:val="00852A9A"/>
    <w:rsid w:val="00871544"/>
    <w:rsid w:val="008930DB"/>
    <w:rsid w:val="00895D16"/>
    <w:rsid w:val="008B2537"/>
    <w:rsid w:val="008F49E1"/>
    <w:rsid w:val="0090370F"/>
    <w:rsid w:val="009269D2"/>
    <w:rsid w:val="00942135"/>
    <w:rsid w:val="009521B0"/>
    <w:rsid w:val="00966A94"/>
    <w:rsid w:val="009A7E9F"/>
    <w:rsid w:val="009E5018"/>
    <w:rsid w:val="00A12B37"/>
    <w:rsid w:val="00A50EC0"/>
    <w:rsid w:val="00A64A00"/>
    <w:rsid w:val="00A74331"/>
    <w:rsid w:val="00AB3BCA"/>
    <w:rsid w:val="00AB6758"/>
    <w:rsid w:val="00AF203E"/>
    <w:rsid w:val="00B13763"/>
    <w:rsid w:val="00B477A4"/>
    <w:rsid w:val="00B54045"/>
    <w:rsid w:val="00BA5E8B"/>
    <w:rsid w:val="00C022F5"/>
    <w:rsid w:val="00C06421"/>
    <w:rsid w:val="00C438D7"/>
    <w:rsid w:val="00C53FE8"/>
    <w:rsid w:val="00C80DB0"/>
    <w:rsid w:val="00C81B50"/>
    <w:rsid w:val="00CA655B"/>
    <w:rsid w:val="00CB3C3C"/>
    <w:rsid w:val="00CD1801"/>
    <w:rsid w:val="00CE0D8B"/>
    <w:rsid w:val="00D10EF1"/>
    <w:rsid w:val="00D42810"/>
    <w:rsid w:val="00D76464"/>
    <w:rsid w:val="00D914A7"/>
    <w:rsid w:val="00DD13C3"/>
    <w:rsid w:val="00DD596E"/>
    <w:rsid w:val="00DD621E"/>
    <w:rsid w:val="00DF0575"/>
    <w:rsid w:val="00E11FA6"/>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C557DC5"/>
  <w15:docId w15:val="{57296496-4E75-4FF7-827A-4DDEB26A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875E-BF02-496A-AA08-37309BE9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A/HRC/44/L.3</vt:lpstr>
    </vt:vector>
  </TitlesOfParts>
  <Company>DCM</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dc:title>
  <dc:subject>GE.</dc:subject>
  <dc:creator>IBAL</dc:creator>
  <cp:keywords>ODS No.</cp:keywords>
  <dc:description>Original: English _x000d_
Distribution: General_x000d_
Date:</dc:description>
  <cp:lastModifiedBy>Ibrahim Balan</cp:lastModifiedBy>
  <cp:revision>2</cp:revision>
  <dcterms:created xsi:type="dcterms:W3CDTF">2020-07-13T07:12:00Z</dcterms:created>
  <dcterms:modified xsi:type="dcterms:W3CDTF">2020-07-13T07:12:00Z</dcterms:modified>
  <cp:category>Final</cp:category>
</cp:coreProperties>
</file>