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15&amp;Size=2&amp;Lang=A"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216F02" w:rsidP="00326A32">
            <w:pPr>
              <w:bidi w:val="0"/>
              <w:spacing w:after="20"/>
              <w:jc w:val="left"/>
              <w:rPr>
                <w:szCs w:val="20"/>
              </w:rPr>
            </w:pPr>
            <w:r w:rsidRPr="00216F02">
              <w:rPr>
                <w:sz w:val="40"/>
                <w:szCs w:val="20"/>
              </w:rPr>
              <w:t>A</w:t>
            </w:r>
            <w:r>
              <w:rPr>
                <w:szCs w:val="20"/>
              </w:rPr>
              <w:t>/HRC/38/L.15</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lang w:eastAsia="zh-CN"/>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6B3E27" w:rsidRDefault="00326A32" w:rsidP="00326A32">
            <w:pPr>
              <w:bidi w:val="0"/>
              <w:spacing w:before="240"/>
              <w:jc w:val="left"/>
              <w:rPr>
                <w:szCs w:val="20"/>
              </w:rPr>
            </w:pPr>
            <w:r>
              <w:rPr>
                <w:szCs w:val="20"/>
              </w:rPr>
              <w:t>Distr.: Limited</w:t>
            </w:r>
          </w:p>
          <w:p w:rsidR="00326A32" w:rsidRDefault="00326A32" w:rsidP="00326A32">
            <w:pPr>
              <w:bidi w:val="0"/>
              <w:jc w:val="left"/>
              <w:rPr>
                <w:szCs w:val="20"/>
              </w:rPr>
            </w:pPr>
            <w:r>
              <w:rPr>
                <w:szCs w:val="20"/>
              </w:rPr>
              <w:t>3 July 2018</w:t>
            </w:r>
          </w:p>
          <w:p w:rsidR="00326A32" w:rsidRDefault="00326A32" w:rsidP="00326A32">
            <w:pPr>
              <w:bidi w:val="0"/>
              <w:jc w:val="left"/>
              <w:rPr>
                <w:szCs w:val="20"/>
              </w:rPr>
            </w:pPr>
            <w:r>
              <w:rPr>
                <w:szCs w:val="20"/>
              </w:rPr>
              <w:t>Arabic</w:t>
            </w:r>
          </w:p>
          <w:p w:rsidR="00326A32" w:rsidRPr="003E159A" w:rsidRDefault="00326A32" w:rsidP="00326A32">
            <w:pPr>
              <w:bidi w:val="0"/>
              <w:jc w:val="left"/>
              <w:rPr>
                <w:szCs w:val="20"/>
              </w:rPr>
            </w:pPr>
            <w:r>
              <w:rPr>
                <w:szCs w:val="20"/>
              </w:rPr>
              <w:t>Original: English</w:t>
            </w:r>
          </w:p>
        </w:tc>
      </w:tr>
    </w:tbl>
    <w:p w:rsidR="00326A32" w:rsidRDefault="001773DB" w:rsidP="0054762C">
      <w:pPr>
        <w:spacing w:before="120" w:line="380" w:lineRule="exact"/>
        <w:jc w:val="left"/>
        <w:rPr>
          <w:b/>
          <w:bCs/>
          <w:sz w:val="36"/>
          <w:szCs w:val="36"/>
          <w:rtl/>
        </w:rPr>
      </w:pPr>
      <w:r w:rsidRPr="001773DB">
        <w:rPr>
          <w:rFonts w:hint="cs"/>
          <w:b/>
          <w:bCs/>
          <w:sz w:val="36"/>
          <w:szCs w:val="36"/>
          <w:rtl/>
        </w:rPr>
        <w:t>مجلس حقوق الإنسان</w:t>
      </w:r>
    </w:p>
    <w:p w:rsidR="00326A32" w:rsidRPr="00326A32" w:rsidRDefault="00326A32" w:rsidP="00326A32">
      <w:pPr>
        <w:spacing w:line="380" w:lineRule="exact"/>
        <w:rPr>
          <w:b/>
          <w:bCs/>
          <w:rtl/>
          <w:lang w:eastAsia="zh-TW"/>
        </w:rPr>
      </w:pPr>
      <w:r w:rsidRPr="00326A32">
        <w:rPr>
          <w:b/>
          <w:bCs/>
          <w:rtl/>
          <w:lang w:eastAsia="zh-TW"/>
        </w:rPr>
        <w:t>الدورة الثامنة والثلاثون</w:t>
      </w:r>
    </w:p>
    <w:p w:rsidR="00326A32" w:rsidRPr="00574EDE" w:rsidRDefault="00326A32" w:rsidP="003C1A8E">
      <w:pPr>
        <w:spacing w:line="380" w:lineRule="exact"/>
        <w:rPr>
          <w:rtl/>
          <w:lang w:eastAsia="zh-TW"/>
        </w:rPr>
      </w:pPr>
      <w:r w:rsidRPr="00574EDE">
        <w:rPr>
          <w:rtl/>
          <w:lang w:eastAsia="zh-TW"/>
        </w:rPr>
        <w:t>١٨ حزيران/</w:t>
      </w:r>
      <w:proofErr w:type="gramStart"/>
      <w:r w:rsidRPr="00574EDE">
        <w:rPr>
          <w:rtl/>
          <w:lang w:eastAsia="zh-TW"/>
        </w:rPr>
        <w:t>يونيه</w:t>
      </w:r>
      <w:proofErr w:type="gramEnd"/>
      <w:r w:rsidRPr="00574EDE">
        <w:rPr>
          <w:rtl/>
          <w:lang w:eastAsia="zh-TW"/>
        </w:rPr>
        <w:t xml:space="preserve"> - ٦ تموز/يوليه ٢</w:t>
      </w:r>
      <w:r w:rsidR="003C1A8E" w:rsidRPr="00574EDE">
        <w:rPr>
          <w:rtl/>
          <w:lang w:eastAsia="zh-TW"/>
        </w:rPr>
        <w:t>٠١٨</w:t>
      </w:r>
    </w:p>
    <w:p w:rsidR="00326A32" w:rsidRPr="00574EDE" w:rsidRDefault="00326A32" w:rsidP="00326A32">
      <w:pPr>
        <w:spacing w:line="380" w:lineRule="exact"/>
        <w:rPr>
          <w:rtl/>
          <w:lang w:eastAsia="zh-TW"/>
        </w:rPr>
      </w:pPr>
      <w:r w:rsidRPr="00574EDE">
        <w:rPr>
          <w:rtl/>
          <w:lang w:eastAsia="zh-TW"/>
        </w:rPr>
        <w:t>البند 4 من جدول الأعمال</w:t>
      </w:r>
    </w:p>
    <w:p w:rsidR="00326A32" w:rsidRPr="00326A32" w:rsidRDefault="00326A32" w:rsidP="003C1A8E">
      <w:pPr>
        <w:spacing w:after="120" w:line="380" w:lineRule="exact"/>
        <w:rPr>
          <w:b/>
          <w:bCs/>
          <w:rtl/>
          <w:lang w:eastAsia="zh-TW"/>
        </w:rPr>
      </w:pPr>
      <w:r w:rsidRPr="00326A32">
        <w:rPr>
          <w:b/>
          <w:bCs/>
          <w:rtl/>
          <w:lang w:eastAsia="zh-TW"/>
        </w:rPr>
        <w:t>حالات حقوق الإنسان التي تتطلب اهتمام المجلس بها</w:t>
      </w:r>
    </w:p>
    <w:p w:rsidR="00326A32" w:rsidRPr="00574EDE" w:rsidRDefault="00326A32" w:rsidP="00326A32">
      <w:pPr>
        <w:pStyle w:val="H23GA"/>
        <w:rPr>
          <w:rtl/>
        </w:rPr>
      </w:pPr>
      <w:r>
        <w:rPr>
          <w:rtl/>
        </w:rPr>
        <w:tab/>
      </w:r>
      <w:r>
        <w:rPr>
          <w:rtl/>
        </w:rPr>
        <w:tab/>
      </w:r>
      <w:r w:rsidRPr="00574EDE">
        <w:rPr>
          <w:rtl/>
        </w:rPr>
        <w:t>جيبوتي</w:t>
      </w:r>
      <w:r w:rsidRPr="00326A32">
        <w:rPr>
          <w:rStyle w:val="FootnoteReference"/>
          <w:b/>
          <w:bCs w:val="0"/>
          <w:sz w:val="24"/>
          <w:szCs w:val="30"/>
          <w:vertAlign w:val="baseline"/>
          <w:rtl/>
          <w:lang w:eastAsia="zh-TW"/>
        </w:rPr>
        <w:footnoteReference w:customMarkFollows="1" w:id="1"/>
        <w:t>*</w:t>
      </w:r>
      <w:r w:rsidRPr="00574EDE">
        <w:rPr>
          <w:rtl/>
        </w:rPr>
        <w:t>، الصومال</w:t>
      </w:r>
      <w:r w:rsidRPr="00326A32">
        <w:rPr>
          <w:b w:val="0"/>
          <w:bCs w:val="0"/>
          <w:rtl/>
        </w:rPr>
        <w:t>*</w:t>
      </w:r>
      <w:r w:rsidRPr="00574EDE">
        <w:rPr>
          <w:rtl/>
        </w:rPr>
        <w:t>: مشروع قرار</w:t>
      </w:r>
    </w:p>
    <w:p w:rsidR="00326A32" w:rsidRPr="00574EDE" w:rsidRDefault="00326A32" w:rsidP="00326A32">
      <w:pPr>
        <w:pStyle w:val="H1GA"/>
        <w:tabs>
          <w:tab w:val="left" w:pos="2126"/>
        </w:tabs>
        <w:rPr>
          <w:rtl/>
          <w:lang w:eastAsia="zh-TW"/>
        </w:rPr>
      </w:pPr>
      <w:r>
        <w:rPr>
          <w:rtl/>
          <w:lang w:eastAsia="zh-TW"/>
        </w:rPr>
        <w:tab/>
      </w:r>
      <w:r>
        <w:rPr>
          <w:rtl/>
          <w:lang w:eastAsia="zh-TW"/>
        </w:rPr>
        <w:tab/>
      </w:r>
      <w:r w:rsidRPr="00574EDE">
        <w:rPr>
          <w:rtl/>
          <w:lang w:eastAsia="zh-TW"/>
        </w:rPr>
        <w:t>٣٨/</w:t>
      </w:r>
      <w:r>
        <w:rPr>
          <w:rFonts w:hint="cs"/>
          <w:rtl/>
          <w:lang w:eastAsia="zh-TW"/>
        </w:rPr>
        <w:t>...</w:t>
      </w:r>
      <w:r>
        <w:rPr>
          <w:rFonts w:hint="cs"/>
          <w:rtl/>
          <w:lang w:eastAsia="zh-TW"/>
        </w:rPr>
        <w:tab/>
      </w:r>
      <w:r w:rsidRPr="00574EDE">
        <w:rPr>
          <w:rtl/>
          <w:lang w:eastAsia="zh-TW"/>
        </w:rPr>
        <w:t>حالة حقوق الإنسان في إريتريا</w:t>
      </w:r>
    </w:p>
    <w:p w:rsidR="00326A32" w:rsidRPr="006F1DCB" w:rsidRDefault="00326A32" w:rsidP="00326A32">
      <w:pPr>
        <w:pStyle w:val="SingleTxtGA"/>
        <w:rPr>
          <w:i/>
          <w:iCs/>
          <w:rtl/>
          <w:lang w:eastAsia="zh-TW"/>
        </w:rPr>
      </w:pPr>
      <w:r w:rsidRPr="006F1DCB">
        <w:rPr>
          <w:i/>
          <w:iCs/>
          <w:rtl/>
          <w:lang w:eastAsia="zh-TW" w:bidi="ar-EG"/>
        </w:rPr>
        <w:tab/>
      </w:r>
      <w:r w:rsidRPr="006F1DCB">
        <w:rPr>
          <w:i/>
          <w:iCs/>
          <w:rtl/>
          <w:lang w:eastAsia="zh-TW"/>
        </w:rPr>
        <w:t>إن مجلس حقوق الإنسان،</w:t>
      </w:r>
    </w:p>
    <w:p w:rsidR="00326A32" w:rsidRPr="00574EDE" w:rsidRDefault="00326A32" w:rsidP="00326A32">
      <w:pPr>
        <w:pStyle w:val="SingleTxtGA"/>
        <w:rPr>
          <w:i/>
          <w:iCs/>
          <w:rtl/>
          <w:lang w:eastAsia="zh-TW"/>
        </w:rPr>
      </w:pPr>
      <w:r>
        <w:rPr>
          <w:i/>
          <w:iCs/>
          <w:rtl/>
          <w:lang w:eastAsia="zh-TW"/>
        </w:rPr>
        <w:tab/>
      </w:r>
      <w:r w:rsidRPr="00574EDE">
        <w:rPr>
          <w:i/>
          <w:iCs/>
          <w:rtl/>
          <w:lang w:eastAsia="zh-TW"/>
        </w:rPr>
        <w:t>إذ يسترشد</w:t>
      </w:r>
      <w:r w:rsidRPr="00574EDE">
        <w:rPr>
          <w:rtl/>
          <w:lang w:eastAsia="zh-TW"/>
        </w:rPr>
        <w:t xml:space="preserve"> بميثاق الأمم المتحدة، والإعلان العالمي لحقوق الإنسان، والعهدين الدوليين الخاصين بحقوق الإنسان، وغير ذلك من صكوك حقوق الإنسان الدولية ذات الصلة،</w:t>
      </w:r>
    </w:p>
    <w:p w:rsidR="00326A32" w:rsidRPr="006F1DCB" w:rsidRDefault="00326A32" w:rsidP="00326A32">
      <w:pPr>
        <w:pStyle w:val="SingleTxtGA"/>
        <w:rPr>
          <w:i/>
          <w:spacing w:val="-4"/>
          <w:rtl/>
          <w:lang w:eastAsia="zh-TW"/>
        </w:rPr>
      </w:pPr>
      <w:r w:rsidRPr="006F1DCB">
        <w:rPr>
          <w:i/>
          <w:iCs/>
          <w:spacing w:val="-4"/>
          <w:rtl/>
          <w:lang w:eastAsia="zh-TW" w:bidi="ar-EG"/>
        </w:rPr>
        <w:tab/>
      </w:r>
      <w:r w:rsidRPr="006F1DCB">
        <w:rPr>
          <w:i/>
          <w:iCs/>
          <w:spacing w:val="-4"/>
          <w:rtl/>
          <w:lang w:eastAsia="zh-TW"/>
        </w:rPr>
        <w:t xml:space="preserve">وإذ يشير </w:t>
      </w:r>
      <w:r w:rsidRPr="006F1DCB">
        <w:rPr>
          <w:spacing w:val="-4"/>
          <w:rtl/>
          <w:lang w:eastAsia="zh-TW"/>
        </w:rPr>
        <w:t>إلى القرار 91 للجنة الأفريقية لحقوق الإنسان والشعوب ومقرراتها 250/2002 و275/2003 و428/12،</w:t>
      </w:r>
    </w:p>
    <w:p w:rsidR="00326A32" w:rsidRPr="00574EDE" w:rsidRDefault="00326A32" w:rsidP="006F1DCB">
      <w:pPr>
        <w:pStyle w:val="SingleTxtGA"/>
        <w:rPr>
          <w:rtl/>
          <w:lang w:eastAsia="zh-TW"/>
        </w:rPr>
      </w:pPr>
      <w:r>
        <w:rPr>
          <w:i/>
          <w:iCs/>
          <w:rtl/>
          <w:lang w:eastAsia="zh-TW"/>
        </w:rPr>
        <w:tab/>
      </w:r>
      <w:r w:rsidRPr="00574EDE">
        <w:rPr>
          <w:i/>
          <w:iCs/>
          <w:rtl/>
          <w:lang w:eastAsia="zh-TW"/>
        </w:rPr>
        <w:t xml:space="preserve">وإذ يشير أيضاً </w:t>
      </w:r>
      <w:r w:rsidRPr="006F1DCB">
        <w:rPr>
          <w:rtl/>
          <w:lang w:eastAsia="zh-TW"/>
        </w:rPr>
        <w:t>إلى</w:t>
      </w:r>
      <w:r w:rsidRPr="00574EDE">
        <w:rPr>
          <w:rtl/>
          <w:lang w:eastAsia="zh-TW"/>
        </w:rPr>
        <w:t xml:space="preserve"> قراريه 5/1 المتعلق ببناء مؤسسات مجلس حقوق الإنسان و5/2 المتعلق بمدونة قواعد السلوك للمكلفين بولايات في إطار الإجراءات الخاصة للمجلس، المؤرخين</w:t>
      </w:r>
      <w:r w:rsidR="006F1DCB">
        <w:rPr>
          <w:rFonts w:hint="cs"/>
          <w:rtl/>
          <w:lang w:eastAsia="zh-TW"/>
        </w:rPr>
        <w:t> </w:t>
      </w:r>
      <w:r w:rsidR="003C1A8E">
        <w:rPr>
          <w:rtl/>
          <w:lang w:eastAsia="zh-TW"/>
        </w:rPr>
        <w:t>18 حزيران/</w:t>
      </w:r>
      <w:proofErr w:type="gramStart"/>
      <w:r w:rsidRPr="00574EDE">
        <w:rPr>
          <w:rtl/>
          <w:lang w:eastAsia="zh-TW"/>
        </w:rPr>
        <w:t>يونيه</w:t>
      </w:r>
      <w:proofErr w:type="gramEnd"/>
      <w:r w:rsidRPr="00574EDE">
        <w:rPr>
          <w:rtl/>
          <w:lang w:eastAsia="zh-TW"/>
        </w:rPr>
        <w:t xml:space="preserve"> 2007، وإذ يشدد على ضرورة أن يؤدي المكلف بالولاية واجباته وفقاً لهذين القرارين ومرفقيهما،</w:t>
      </w:r>
    </w:p>
    <w:p w:rsidR="00326A32" w:rsidRPr="006F1DCB" w:rsidRDefault="00326A32" w:rsidP="00326A32">
      <w:pPr>
        <w:pStyle w:val="SingleTxtGA"/>
        <w:rPr>
          <w:spacing w:val="-4"/>
          <w:rtl/>
          <w:lang w:eastAsia="zh-TW"/>
        </w:rPr>
      </w:pPr>
      <w:r w:rsidRPr="006F1DCB">
        <w:rPr>
          <w:i/>
          <w:iCs/>
          <w:spacing w:val="-4"/>
          <w:rtl/>
          <w:lang w:eastAsia="zh-TW"/>
        </w:rPr>
        <w:tab/>
        <w:t xml:space="preserve">وإذ يشير كذلك </w:t>
      </w:r>
      <w:r w:rsidRPr="006F1DCB">
        <w:rPr>
          <w:spacing w:val="-4"/>
          <w:rtl/>
          <w:lang w:eastAsia="zh-TW"/>
        </w:rPr>
        <w:t>إلى قراراته السابقة وجميع التقارير المتعلقة بحالة حقوق الإنسان في إريتريا،</w:t>
      </w:r>
    </w:p>
    <w:p w:rsidR="00326A32" w:rsidRPr="00574EDE" w:rsidRDefault="00326A32" w:rsidP="00326A32">
      <w:pPr>
        <w:pStyle w:val="SingleTxtGA"/>
        <w:rPr>
          <w:lang w:val="fr-CH" w:eastAsia="zh-TW"/>
        </w:rPr>
      </w:pPr>
      <w:r>
        <w:rPr>
          <w:i/>
          <w:iCs/>
          <w:rtl/>
          <w:lang w:eastAsia="zh-TW"/>
        </w:rPr>
        <w:tab/>
      </w:r>
      <w:r w:rsidRPr="00574EDE">
        <w:rPr>
          <w:i/>
          <w:iCs/>
          <w:rtl/>
          <w:lang w:eastAsia="zh-TW"/>
        </w:rPr>
        <w:t>وإذ يرحب</w:t>
      </w:r>
      <w:r w:rsidRPr="00574EDE">
        <w:rPr>
          <w:rtl/>
          <w:lang w:eastAsia="zh-TW"/>
        </w:rPr>
        <w:t xml:space="preserve"> بما اتخذته حكومة إريتريا من إجراءات لحماية وتعزيز حقوق شعبها الاقتصادية والاجتماعية، بوسائل منها تحقيق الأهداف الإنمائية للألفية في مرحلة مبكرة والتزامها بأهداف التنمية المستدامة،</w:t>
      </w:r>
    </w:p>
    <w:p w:rsidR="00326A32" w:rsidRPr="00574EDE" w:rsidRDefault="00326A32" w:rsidP="00326A32">
      <w:pPr>
        <w:pStyle w:val="SingleTxtGA"/>
        <w:rPr>
          <w:rtl/>
          <w:lang w:eastAsia="zh-TW"/>
        </w:rPr>
      </w:pPr>
      <w:r>
        <w:rPr>
          <w:i/>
          <w:iCs/>
          <w:rtl/>
          <w:lang w:eastAsia="zh-TW"/>
        </w:rPr>
        <w:tab/>
      </w:r>
      <w:r w:rsidRPr="00E821F6">
        <w:rPr>
          <w:i/>
          <w:iCs/>
          <w:rtl/>
          <w:lang w:eastAsia="zh-TW"/>
        </w:rPr>
        <w:t>وإذ يرحب أيضاً</w:t>
      </w:r>
      <w:r w:rsidRPr="00574EDE">
        <w:rPr>
          <w:rtl/>
          <w:lang w:eastAsia="zh-TW"/>
        </w:rPr>
        <w:t xml:space="preserve"> بتقديم التقرير الأولي المقدم من إريتريا إلى اللجنة الأفريقية لحقوق الإنسان والشعوب في دورتها العادية الثانية والستين،</w:t>
      </w:r>
    </w:p>
    <w:p w:rsidR="00326A32" w:rsidRPr="00574EDE" w:rsidRDefault="00326A32" w:rsidP="00326A32">
      <w:pPr>
        <w:pStyle w:val="SingleTxtGA"/>
        <w:rPr>
          <w:rtl/>
          <w:lang w:eastAsia="zh-TW"/>
        </w:rPr>
      </w:pPr>
      <w:r>
        <w:rPr>
          <w:i/>
          <w:iCs/>
          <w:rtl/>
          <w:lang w:eastAsia="zh-TW"/>
        </w:rPr>
        <w:lastRenderedPageBreak/>
        <w:tab/>
      </w:r>
      <w:r w:rsidRPr="00E821F6">
        <w:rPr>
          <w:i/>
          <w:iCs/>
          <w:rtl/>
          <w:lang w:eastAsia="zh-TW"/>
        </w:rPr>
        <w:t>وإذ يأسف</w:t>
      </w:r>
      <w:r w:rsidRPr="00574EDE">
        <w:rPr>
          <w:rtl/>
          <w:lang w:eastAsia="zh-TW"/>
        </w:rPr>
        <w:t xml:space="preserve"> لاستمرار عدم التعاون مع المقررة الخاصة المعنية بحالة حقوق الإنسان في إريتريا، بما يشمل عدم السماح له</w:t>
      </w:r>
      <w:r>
        <w:rPr>
          <w:rtl/>
          <w:lang w:eastAsia="zh-TW"/>
        </w:rPr>
        <w:t>ا</w:t>
      </w:r>
      <w:r w:rsidRPr="00574EDE">
        <w:rPr>
          <w:rtl/>
          <w:lang w:eastAsia="zh-TW"/>
        </w:rPr>
        <w:t xml:space="preserve"> بدخول البلد،</w:t>
      </w:r>
    </w:p>
    <w:p w:rsidR="00326A32" w:rsidRPr="00574EDE" w:rsidRDefault="00326A32" w:rsidP="00326A32">
      <w:pPr>
        <w:pStyle w:val="SingleTxtGA"/>
        <w:rPr>
          <w:rtl/>
          <w:lang w:eastAsia="zh-TW"/>
        </w:rPr>
      </w:pPr>
      <w:r>
        <w:rPr>
          <w:i/>
          <w:iCs/>
          <w:rtl/>
          <w:lang w:eastAsia="zh-TW"/>
        </w:rPr>
        <w:tab/>
      </w:r>
      <w:r w:rsidRPr="00E821F6">
        <w:rPr>
          <w:i/>
          <w:iCs/>
          <w:rtl/>
          <w:lang w:eastAsia="zh-TW"/>
        </w:rPr>
        <w:t xml:space="preserve">وإذ يشير </w:t>
      </w:r>
      <w:r w:rsidRPr="006F1DCB">
        <w:rPr>
          <w:rtl/>
          <w:lang w:eastAsia="zh-TW"/>
        </w:rPr>
        <w:t>إلى</w:t>
      </w:r>
      <w:r w:rsidRPr="00574EDE">
        <w:rPr>
          <w:rtl/>
          <w:lang w:eastAsia="zh-TW"/>
        </w:rPr>
        <w:t xml:space="preserve"> التقارير السابقة للجنة التحقيق المعنية بحقوق الإنسان في إريتريا، وللمقرر</w:t>
      </w:r>
      <w:r>
        <w:rPr>
          <w:rtl/>
          <w:lang w:eastAsia="zh-TW"/>
        </w:rPr>
        <w:t>ة</w:t>
      </w:r>
      <w:r w:rsidRPr="00574EDE">
        <w:rPr>
          <w:rtl/>
          <w:lang w:eastAsia="zh-TW"/>
        </w:rPr>
        <w:t xml:space="preserve"> الخاص</w:t>
      </w:r>
      <w:r>
        <w:rPr>
          <w:rtl/>
          <w:lang w:eastAsia="zh-TW"/>
        </w:rPr>
        <w:t>ة</w:t>
      </w:r>
      <w:r w:rsidRPr="00574EDE">
        <w:rPr>
          <w:rtl/>
          <w:lang w:eastAsia="zh-TW"/>
        </w:rPr>
        <w:t>، مع الاستمرار في الإعراب عن عميق قلقه إزاء النتائج التي تفيد بأن هناك أسباب</w:t>
      </w:r>
      <w:r>
        <w:rPr>
          <w:rtl/>
          <w:lang w:eastAsia="zh-TW"/>
        </w:rPr>
        <w:t>اً</w:t>
      </w:r>
      <w:r w:rsidRPr="00574EDE">
        <w:rPr>
          <w:rtl/>
          <w:lang w:eastAsia="zh-TW"/>
        </w:rPr>
        <w:t xml:space="preserve"> معقولة للاعتقاد بأن جرائم ضد الإنسانية قد ارتُكِبت في إريتريا منذ عام ١٩٩١، بما في ذلك الاعتقال التعسفي والاحتجاز مع منع الاتصال والاختفاء القسري والتعذيب، وإذ يكرر التأكيد على أن جميع مرتكبي هذه الانتهاكات والتجاوزات يجب أن يخضعوا للمساءلة،</w:t>
      </w:r>
    </w:p>
    <w:p w:rsidR="00326A32" w:rsidRPr="00574EDE" w:rsidRDefault="00326A32" w:rsidP="006F1DCB">
      <w:pPr>
        <w:pStyle w:val="SingleTxtGA"/>
        <w:rPr>
          <w:i/>
          <w:rtl/>
          <w:lang w:eastAsia="zh-TW"/>
        </w:rPr>
      </w:pPr>
      <w:r>
        <w:rPr>
          <w:i/>
          <w:iCs/>
          <w:rtl/>
          <w:lang w:eastAsia="zh-TW"/>
        </w:rPr>
        <w:tab/>
      </w:r>
      <w:r w:rsidRPr="00E821F6">
        <w:rPr>
          <w:i/>
          <w:iCs/>
          <w:rtl/>
          <w:lang w:eastAsia="zh-TW"/>
        </w:rPr>
        <w:t>وإذ يؤكد</w:t>
      </w:r>
      <w:r w:rsidRPr="00574EDE">
        <w:rPr>
          <w:rtl/>
          <w:lang w:eastAsia="zh-TW"/>
        </w:rPr>
        <w:t xml:space="preserve"> أن لكل مواطن الحق في المشاركة في إدارة الشؤون العامة في بلده، مباشرة أو</w:t>
      </w:r>
      <w:r w:rsidR="006F1DCB">
        <w:rPr>
          <w:rFonts w:hint="cs"/>
          <w:rtl/>
          <w:lang w:eastAsia="zh-TW"/>
        </w:rPr>
        <w:t> </w:t>
      </w:r>
      <w:r w:rsidRPr="00574EDE">
        <w:rPr>
          <w:rtl/>
          <w:lang w:eastAsia="zh-TW"/>
        </w:rPr>
        <w:t>بواسطة ممثلين يتم اختيارهم بحرية، وإذ يعرب عن قلقه الشديد إزاء عدم إجراء انتخابات وطنية في إريتريا منذ عام 1993،</w:t>
      </w:r>
    </w:p>
    <w:p w:rsidR="00326A32" w:rsidRPr="00574EDE" w:rsidRDefault="00326A32" w:rsidP="00326A32">
      <w:pPr>
        <w:pStyle w:val="SingleTxtGA"/>
        <w:rPr>
          <w:rtl/>
          <w:lang w:eastAsia="zh-TW"/>
        </w:rPr>
      </w:pPr>
      <w:r>
        <w:rPr>
          <w:i/>
          <w:iCs/>
          <w:rtl/>
          <w:lang w:eastAsia="zh-TW"/>
        </w:rPr>
        <w:tab/>
      </w:r>
      <w:r w:rsidRPr="00E821F6">
        <w:rPr>
          <w:i/>
          <w:iCs/>
          <w:rtl/>
          <w:lang w:eastAsia="zh-TW"/>
        </w:rPr>
        <w:t>وإذ يرحب</w:t>
      </w:r>
      <w:r w:rsidRPr="00574EDE">
        <w:rPr>
          <w:rtl/>
          <w:lang w:eastAsia="zh-TW"/>
        </w:rPr>
        <w:t xml:space="preserve"> بإفراج حكومة إريتريا في 18 آذار/مارس 2016 عن أربعة سجناء حرب </w:t>
      </w:r>
      <w:proofErr w:type="spellStart"/>
      <w:r w:rsidRPr="00574EDE">
        <w:rPr>
          <w:rtl/>
          <w:lang w:eastAsia="zh-TW"/>
        </w:rPr>
        <w:t>جيبوتيين</w:t>
      </w:r>
      <w:proofErr w:type="spellEnd"/>
      <w:r w:rsidRPr="00574EDE">
        <w:rPr>
          <w:rtl/>
          <w:lang w:eastAsia="zh-TW"/>
        </w:rPr>
        <w:t xml:space="preserve"> على إثر وساطة من حكومة قطر، وإذ يذكّر في الوقت ذاته بأن 13 </w:t>
      </w:r>
      <w:proofErr w:type="spellStart"/>
      <w:r w:rsidRPr="00574EDE">
        <w:rPr>
          <w:rtl/>
          <w:lang w:eastAsia="zh-TW"/>
        </w:rPr>
        <w:t>جيبوتياً</w:t>
      </w:r>
      <w:proofErr w:type="spellEnd"/>
      <w:r w:rsidRPr="00574EDE">
        <w:rPr>
          <w:rtl/>
          <w:lang w:eastAsia="zh-TW"/>
        </w:rPr>
        <w:t xml:space="preserve"> إضافياً من سجناء الحرب ما زالوا محتجزين في إريتريا،</w:t>
      </w:r>
    </w:p>
    <w:p w:rsidR="00326A32" w:rsidRPr="00574EDE" w:rsidRDefault="00326A32" w:rsidP="00326A32">
      <w:pPr>
        <w:pStyle w:val="SingleTxtGA"/>
        <w:rPr>
          <w:rtl/>
          <w:lang w:eastAsia="zh-TW"/>
        </w:rPr>
      </w:pPr>
      <w:r>
        <w:rPr>
          <w:i/>
          <w:iCs/>
          <w:rtl/>
          <w:lang w:eastAsia="zh-TW"/>
        </w:rPr>
        <w:tab/>
        <w:t xml:space="preserve">وإذ يعرب عن بالغ </w:t>
      </w:r>
      <w:r w:rsidRPr="00E821F6">
        <w:rPr>
          <w:i/>
          <w:iCs/>
          <w:rtl/>
          <w:lang w:eastAsia="zh-TW"/>
        </w:rPr>
        <w:t>قلق</w:t>
      </w:r>
      <w:r>
        <w:rPr>
          <w:i/>
          <w:iCs/>
          <w:rtl/>
          <w:lang w:eastAsia="zh-TW"/>
        </w:rPr>
        <w:t>ه</w:t>
      </w:r>
      <w:r w:rsidRPr="00574EDE">
        <w:rPr>
          <w:rtl/>
          <w:lang w:eastAsia="zh-TW"/>
        </w:rPr>
        <w:t xml:space="preserve"> إزاء سياسة التجنيد لمدة غير محددة في الخدمة الوطنية/</w:t>
      </w:r>
      <w:r w:rsidR="006F1DCB">
        <w:rPr>
          <w:rFonts w:hint="cs"/>
          <w:rtl/>
          <w:lang w:eastAsia="zh-TW"/>
        </w:rPr>
        <w:t xml:space="preserve"> </w:t>
      </w:r>
      <w:r w:rsidRPr="00574EDE">
        <w:rPr>
          <w:rtl/>
          <w:lang w:eastAsia="zh-TW"/>
        </w:rPr>
        <w:t>العسكرية وإزاء انتهاكات حقوق الإنسان المرتكبة في سياق الخدمة الوطنية،</w:t>
      </w:r>
    </w:p>
    <w:p w:rsidR="00326A32" w:rsidRPr="00574EDE" w:rsidRDefault="00326A32" w:rsidP="00326A32">
      <w:pPr>
        <w:pStyle w:val="SingleTxtGA"/>
        <w:rPr>
          <w:rtl/>
          <w:lang w:eastAsia="zh-TW"/>
        </w:rPr>
      </w:pPr>
      <w:r>
        <w:rPr>
          <w:i/>
          <w:iCs/>
          <w:rtl/>
          <w:lang w:eastAsia="zh-TW"/>
        </w:rPr>
        <w:tab/>
      </w:r>
      <w:r w:rsidRPr="00E821F6">
        <w:rPr>
          <w:i/>
          <w:iCs/>
          <w:rtl/>
          <w:lang w:eastAsia="zh-TW"/>
        </w:rPr>
        <w:t>وإذ يساوره قلق بالغ</w:t>
      </w:r>
      <w:r w:rsidRPr="00574EDE">
        <w:rPr>
          <w:rtl/>
          <w:lang w:eastAsia="zh-TW"/>
        </w:rPr>
        <w:t xml:space="preserve"> من أن حالة حقوق الإنسان في إريتريا </w:t>
      </w:r>
      <w:r>
        <w:rPr>
          <w:rtl/>
          <w:lang w:eastAsia="zh-TW"/>
        </w:rPr>
        <w:t>دافع</w:t>
      </w:r>
      <w:r w:rsidRPr="00574EDE">
        <w:rPr>
          <w:rtl/>
          <w:lang w:eastAsia="zh-TW"/>
        </w:rPr>
        <w:t xml:space="preserve"> رئيسي </w:t>
      </w:r>
      <w:r>
        <w:rPr>
          <w:rtl/>
          <w:lang w:eastAsia="zh-TW"/>
        </w:rPr>
        <w:t>ل</w:t>
      </w:r>
      <w:r w:rsidRPr="00574EDE">
        <w:rPr>
          <w:rtl/>
          <w:lang w:eastAsia="zh-TW"/>
        </w:rPr>
        <w:t>لأعداد الكبيرة من الإريتريين الذين يحاولون مغادرة البلد،</w:t>
      </w:r>
    </w:p>
    <w:p w:rsidR="00326A32" w:rsidRPr="00574EDE" w:rsidRDefault="00326A32" w:rsidP="00326A32">
      <w:pPr>
        <w:pStyle w:val="SingleTxtGA"/>
        <w:rPr>
          <w:rtl/>
          <w:lang w:eastAsia="zh-TW"/>
        </w:rPr>
      </w:pPr>
      <w:r>
        <w:rPr>
          <w:rtl/>
          <w:lang w:eastAsia="zh-TW"/>
        </w:rPr>
        <w:tab/>
        <w:t>١-</w:t>
      </w:r>
      <w:r>
        <w:rPr>
          <w:rtl/>
          <w:lang w:eastAsia="zh-TW"/>
        </w:rPr>
        <w:tab/>
      </w:r>
      <w:r w:rsidRPr="000007BA">
        <w:rPr>
          <w:i/>
          <w:iCs/>
          <w:rtl/>
          <w:lang w:eastAsia="zh-TW"/>
        </w:rPr>
        <w:t>يرحب مع التقدير</w:t>
      </w:r>
      <w:r w:rsidRPr="00574EDE">
        <w:rPr>
          <w:rtl/>
          <w:lang w:eastAsia="zh-TW"/>
        </w:rPr>
        <w:t xml:space="preserve"> بعمل المقررة الخاصة المعنية بحالة حقوق الإنسان في إريت</w:t>
      </w:r>
      <w:r>
        <w:rPr>
          <w:rtl/>
          <w:lang w:eastAsia="zh-TW"/>
        </w:rPr>
        <w:t>ريا، ويؤكد قلقه البالغ إزاء ما ي</w:t>
      </w:r>
      <w:r w:rsidRPr="00574EDE">
        <w:rPr>
          <w:rtl/>
          <w:lang w:eastAsia="zh-TW"/>
        </w:rPr>
        <w:t>لخصه من استمرار الانتهاكات والتجاوزات الجسيمة وانعدام التقدم، بما في ذلك الاحتجاز التعسفي وحالات الاختفاء القسري والتعذيب والعنف الجنسي والعمل الجبري، ويحث حكومة إريتريا على اتخاذ خطوات فورية وملموسة لتنفيذ جميع توصياتها؛</w:t>
      </w:r>
    </w:p>
    <w:p w:rsidR="00326A32" w:rsidRPr="00574EDE" w:rsidRDefault="00326A32" w:rsidP="00326A32">
      <w:pPr>
        <w:pStyle w:val="SingleTxtGA"/>
        <w:rPr>
          <w:i/>
          <w:rtl/>
          <w:lang w:eastAsia="zh-TW"/>
        </w:rPr>
      </w:pPr>
      <w:r>
        <w:rPr>
          <w:rtl/>
          <w:lang w:eastAsia="zh-TW"/>
        </w:rPr>
        <w:tab/>
        <w:t>٢-</w:t>
      </w:r>
      <w:r>
        <w:rPr>
          <w:rtl/>
          <w:lang w:eastAsia="zh-TW"/>
        </w:rPr>
        <w:tab/>
      </w:r>
      <w:r w:rsidRPr="000007BA">
        <w:rPr>
          <w:i/>
          <w:iCs/>
          <w:rtl/>
          <w:lang w:eastAsia="zh-TW"/>
        </w:rPr>
        <w:t xml:space="preserve">يشير </w:t>
      </w:r>
      <w:r w:rsidRPr="00326A32">
        <w:rPr>
          <w:rtl/>
          <w:lang w:eastAsia="zh-TW"/>
        </w:rPr>
        <w:t>إلى</w:t>
      </w:r>
      <w:r w:rsidRPr="00574EDE">
        <w:rPr>
          <w:rtl/>
          <w:lang w:eastAsia="zh-TW"/>
        </w:rPr>
        <w:t xml:space="preserve"> تقرير لجنة التحقيق المعنية بحقوق الإنسان في </w:t>
      </w:r>
      <w:proofErr w:type="gramStart"/>
      <w:r w:rsidRPr="00574EDE">
        <w:rPr>
          <w:rtl/>
          <w:lang w:eastAsia="zh-TW"/>
        </w:rPr>
        <w:t>إريتريا</w:t>
      </w:r>
      <w:r w:rsidRPr="00326A32">
        <w:rPr>
          <w:rFonts w:hint="cs"/>
          <w:vertAlign w:val="superscript"/>
          <w:rtl/>
          <w:lang w:eastAsia="zh-TW"/>
        </w:rPr>
        <w:t>(</w:t>
      </w:r>
      <w:proofErr w:type="gramEnd"/>
      <w:r w:rsidRPr="00326A32">
        <w:rPr>
          <w:rStyle w:val="FootnoteReference"/>
          <w:sz w:val="20"/>
          <w:szCs w:val="30"/>
          <w:rtl/>
          <w:lang w:eastAsia="zh-TW"/>
        </w:rPr>
        <w:footnoteReference w:id="2"/>
      </w:r>
      <w:r w:rsidRPr="00326A32">
        <w:rPr>
          <w:rFonts w:hint="cs"/>
          <w:vertAlign w:val="superscript"/>
          <w:rtl/>
          <w:lang w:eastAsia="zh-TW"/>
        </w:rPr>
        <w:t>)</w:t>
      </w:r>
      <w:r w:rsidRPr="00574EDE">
        <w:rPr>
          <w:rtl/>
          <w:lang w:eastAsia="zh-TW"/>
        </w:rPr>
        <w:t xml:space="preserve"> والمعلومات التي جمعتها لدعم المساءلة في المستقبل؛</w:t>
      </w:r>
    </w:p>
    <w:p w:rsidR="00326A32" w:rsidRPr="00574EDE" w:rsidRDefault="00326A32" w:rsidP="00326A32">
      <w:pPr>
        <w:pStyle w:val="SingleTxtGA"/>
        <w:rPr>
          <w:rtl/>
          <w:lang w:eastAsia="zh-TW"/>
        </w:rPr>
      </w:pPr>
      <w:r>
        <w:rPr>
          <w:rtl/>
          <w:lang w:eastAsia="zh-TW"/>
        </w:rPr>
        <w:tab/>
        <w:t>٣-</w:t>
      </w:r>
      <w:r>
        <w:rPr>
          <w:rtl/>
          <w:lang w:eastAsia="zh-TW"/>
        </w:rPr>
        <w:tab/>
      </w:r>
      <w:r w:rsidRPr="000007BA">
        <w:rPr>
          <w:i/>
          <w:iCs/>
          <w:rtl/>
          <w:lang w:eastAsia="zh-TW"/>
        </w:rPr>
        <w:t>يرحب</w:t>
      </w:r>
      <w:r w:rsidRPr="00574EDE">
        <w:rPr>
          <w:rtl/>
          <w:lang w:eastAsia="zh-TW"/>
        </w:rPr>
        <w:t xml:space="preserve"> بتعزيز الحوار التفاعلي والمعلومات الشفوية المحد</w:t>
      </w:r>
      <w:r>
        <w:rPr>
          <w:rtl/>
          <w:lang w:eastAsia="zh-TW"/>
        </w:rPr>
        <w:t>ّ</w:t>
      </w:r>
      <w:r w:rsidRPr="00574EDE">
        <w:rPr>
          <w:rtl/>
          <w:lang w:eastAsia="zh-TW"/>
        </w:rPr>
        <w:t>ث</w:t>
      </w:r>
      <w:r>
        <w:rPr>
          <w:rtl/>
          <w:lang w:eastAsia="zh-TW"/>
        </w:rPr>
        <w:t>َ</w:t>
      </w:r>
      <w:r w:rsidRPr="00574EDE">
        <w:rPr>
          <w:rtl/>
          <w:lang w:eastAsia="zh-TW"/>
        </w:rPr>
        <w:t>ة من مفوضية الأمم المتحدة السامية لحقوق الإنسان عن حالة حقوق الإنسان في إريتريا في الدورة السابعة والثلاثين لمجلس حقوق الإنسان؛</w:t>
      </w:r>
    </w:p>
    <w:p w:rsidR="00326A32" w:rsidRPr="00A407BF" w:rsidRDefault="00326A32" w:rsidP="00A407BF">
      <w:pPr>
        <w:pStyle w:val="SingleTxtGA"/>
        <w:rPr>
          <w:rtl/>
          <w:lang w:eastAsia="zh-TW"/>
        </w:rPr>
      </w:pPr>
      <w:r w:rsidRPr="00A407BF">
        <w:rPr>
          <w:rtl/>
          <w:lang w:eastAsia="zh-TW"/>
        </w:rPr>
        <w:tab/>
        <w:t>٤-</w:t>
      </w:r>
      <w:r w:rsidRPr="00A407BF">
        <w:rPr>
          <w:rtl/>
          <w:lang w:eastAsia="zh-TW"/>
        </w:rPr>
        <w:tab/>
      </w:r>
      <w:r w:rsidRPr="00A407BF">
        <w:rPr>
          <w:i/>
          <w:iCs/>
          <w:rtl/>
          <w:lang w:eastAsia="zh-TW"/>
        </w:rPr>
        <w:t>يدين بأشد العبارات</w:t>
      </w:r>
      <w:r w:rsidRPr="00A407BF">
        <w:rPr>
          <w:rtl/>
          <w:lang w:eastAsia="zh-TW"/>
        </w:rPr>
        <w:t xml:space="preserve"> انتهاكات حقوق الإنسان المنهجية والجسيمة والواسعة النطاق المبلَّغ عنها، التي ارتُكِبت وتُرتكَب على يد حكومة إريتريا في مناخ يسوده الإفلات من</w:t>
      </w:r>
      <w:r w:rsidR="00A407BF">
        <w:rPr>
          <w:rFonts w:hint="cs"/>
          <w:rtl/>
          <w:lang w:eastAsia="zh-TW"/>
        </w:rPr>
        <w:t> </w:t>
      </w:r>
      <w:r w:rsidRPr="00A407BF">
        <w:rPr>
          <w:rtl/>
          <w:lang w:eastAsia="zh-TW"/>
        </w:rPr>
        <w:t>العقاب؛</w:t>
      </w:r>
    </w:p>
    <w:p w:rsidR="00326A32" w:rsidRPr="006F1DCB" w:rsidRDefault="00326A32" w:rsidP="00326A32">
      <w:pPr>
        <w:pStyle w:val="SingleTxtGA"/>
        <w:rPr>
          <w:i/>
          <w:rtl/>
          <w:lang w:eastAsia="zh-TW"/>
        </w:rPr>
      </w:pPr>
      <w:r>
        <w:rPr>
          <w:rtl/>
          <w:lang w:eastAsia="zh-TW"/>
        </w:rPr>
        <w:tab/>
        <w:t>٥-</w:t>
      </w:r>
      <w:r>
        <w:rPr>
          <w:rtl/>
          <w:lang w:eastAsia="zh-TW"/>
        </w:rPr>
        <w:tab/>
      </w:r>
      <w:r w:rsidRPr="000007BA">
        <w:rPr>
          <w:i/>
          <w:iCs/>
          <w:rtl/>
          <w:lang w:eastAsia="zh-TW"/>
        </w:rPr>
        <w:t>يؤكد من جديد</w:t>
      </w:r>
      <w:r w:rsidRPr="00574EDE">
        <w:rPr>
          <w:rtl/>
          <w:lang w:eastAsia="zh-TW"/>
        </w:rPr>
        <w:t xml:space="preserve"> ضرورة مساءلة جميع المسؤولين عن انتهاكات وتجاوزات حقوق الإنسان؛</w:t>
      </w:r>
    </w:p>
    <w:p w:rsidR="00326A32" w:rsidRPr="00574EDE" w:rsidRDefault="00326A32" w:rsidP="006F1DCB">
      <w:pPr>
        <w:pStyle w:val="SingleTxtGA"/>
        <w:keepNext/>
        <w:keepLines/>
        <w:rPr>
          <w:rtl/>
          <w:lang w:eastAsia="zh-TW"/>
        </w:rPr>
      </w:pPr>
      <w:r>
        <w:rPr>
          <w:rtl/>
          <w:lang w:eastAsia="zh-TW"/>
        </w:rPr>
        <w:lastRenderedPageBreak/>
        <w:tab/>
        <w:t>٦-</w:t>
      </w:r>
      <w:r>
        <w:rPr>
          <w:rtl/>
          <w:lang w:eastAsia="zh-TW"/>
        </w:rPr>
        <w:tab/>
      </w:r>
      <w:r w:rsidRPr="000007BA">
        <w:rPr>
          <w:i/>
          <w:iCs/>
          <w:rtl/>
          <w:lang w:eastAsia="zh-TW"/>
        </w:rPr>
        <w:t>يؤكد من جديد أيضاً</w:t>
      </w:r>
      <w:r w:rsidRPr="00574EDE">
        <w:rPr>
          <w:rtl/>
          <w:lang w:eastAsia="zh-TW"/>
        </w:rPr>
        <w:t xml:space="preserve"> دعواته لحكومة إريتريا للقيام بما يلي:</w:t>
      </w:r>
    </w:p>
    <w:p w:rsidR="00326A32" w:rsidRPr="00574EDE" w:rsidRDefault="00326A32" w:rsidP="00326A32">
      <w:pPr>
        <w:pStyle w:val="SingleTxtGA"/>
        <w:rPr>
          <w:rtl/>
          <w:lang w:eastAsia="zh-TW"/>
        </w:rPr>
      </w:pPr>
      <w:r>
        <w:rPr>
          <w:rtl/>
          <w:lang w:eastAsia="zh-TW"/>
        </w:rPr>
        <w:tab/>
      </w:r>
      <w:r w:rsidRPr="00574EDE">
        <w:rPr>
          <w:rtl/>
          <w:lang w:eastAsia="zh-TW"/>
        </w:rPr>
        <w:t>(أ)</w:t>
      </w:r>
      <w:r>
        <w:rPr>
          <w:rtl/>
          <w:lang w:eastAsia="zh-TW"/>
        </w:rPr>
        <w:tab/>
      </w:r>
      <w:r w:rsidRPr="00574EDE">
        <w:rPr>
          <w:rtl/>
          <w:lang w:eastAsia="zh-TW"/>
        </w:rPr>
        <w:t xml:space="preserve">وضع حد لاستخدام التعذيب وغيره من ضروب المعاملة أو العقوبة </w:t>
      </w:r>
      <w:r>
        <w:rPr>
          <w:rtl/>
          <w:lang w:eastAsia="zh-TW"/>
        </w:rPr>
        <w:t>القاسية و</w:t>
      </w:r>
      <w:r w:rsidRPr="00574EDE">
        <w:rPr>
          <w:rtl/>
          <w:lang w:eastAsia="zh-TW"/>
        </w:rPr>
        <w:t xml:space="preserve">اللاإنسانية والمهينة، </w:t>
      </w:r>
      <w:r>
        <w:rPr>
          <w:rtl/>
          <w:lang w:eastAsia="zh-TW"/>
        </w:rPr>
        <w:t>بسبل منها</w:t>
      </w:r>
      <w:r w:rsidRPr="00574EDE">
        <w:rPr>
          <w:rtl/>
          <w:lang w:eastAsia="zh-TW"/>
        </w:rPr>
        <w:t xml:space="preserve"> إنهاء استخدام مراكز الاحتجاز السرية وممارسة الاحتجاز مع منع الاتصال؛</w:t>
      </w:r>
    </w:p>
    <w:p w:rsidR="00326A32" w:rsidRPr="00574EDE" w:rsidRDefault="00326A32" w:rsidP="00326A32">
      <w:pPr>
        <w:pStyle w:val="SingleTxtGA"/>
        <w:rPr>
          <w:rtl/>
          <w:lang w:eastAsia="zh-TW"/>
        </w:rPr>
      </w:pPr>
      <w:r>
        <w:rPr>
          <w:rtl/>
          <w:lang w:eastAsia="zh-TW"/>
        </w:rPr>
        <w:tab/>
      </w:r>
      <w:r w:rsidRPr="00574EDE">
        <w:rPr>
          <w:rtl/>
          <w:lang w:eastAsia="zh-TW"/>
        </w:rPr>
        <w:t>(ب)</w:t>
      </w:r>
      <w:r w:rsidRPr="00574EDE">
        <w:rPr>
          <w:rtl/>
          <w:lang w:eastAsia="zh-TW"/>
        </w:rPr>
        <w:tab/>
        <w:t>احترام حق كل فرد في حرية التعبير، وحرية الفكر والوجدان</w:t>
      </w:r>
      <w:r>
        <w:rPr>
          <w:rtl/>
          <w:lang w:eastAsia="zh-TW"/>
        </w:rPr>
        <w:t xml:space="preserve"> والدين أو المعتقد</w:t>
      </w:r>
      <w:r w:rsidRPr="00574EDE">
        <w:rPr>
          <w:rtl/>
          <w:lang w:eastAsia="zh-TW"/>
        </w:rPr>
        <w:t xml:space="preserve">، والحق في حرية التجمع السلمي وتكوين الجمعيات، وضمان الحرية والنزاهة والمساواة في الوصول إلى محكمة مستقلة ومحايدة، وتحسين </w:t>
      </w:r>
      <w:r>
        <w:rPr>
          <w:rtl/>
          <w:lang w:eastAsia="zh-TW"/>
        </w:rPr>
        <w:t>ظروف السج</w:t>
      </w:r>
      <w:r w:rsidRPr="00574EDE">
        <w:rPr>
          <w:rtl/>
          <w:lang w:eastAsia="zh-TW"/>
        </w:rPr>
        <w:t>ن، بسبل منها حظر استخدام الزنزانات الموجودة تحت الأرض وحاويات الشحن وغيرها من المرافق غير الملائمة لاحتجاز السجناء، وإنهاء استخدام مراكز الاحتجاز السرية وممارسة الاحتجاز غير القانوني والاحتجاز مع منع الاتصال، والسماح بوصول الأقارب والممثلين القانونيين وآليات الرصد المستقلة بصورة دورية إلى المحتجزين، وكفالة الوصول إلى الرعاية الطبية بشكل منتظم وفي الوقت المناسب؛</w:t>
      </w:r>
    </w:p>
    <w:p w:rsidR="00326A32" w:rsidRPr="00574EDE" w:rsidRDefault="00326A32" w:rsidP="00326A32">
      <w:pPr>
        <w:pStyle w:val="SingleTxtGA"/>
        <w:rPr>
          <w:rtl/>
          <w:lang w:eastAsia="zh-TW"/>
        </w:rPr>
      </w:pPr>
      <w:r>
        <w:rPr>
          <w:rtl/>
          <w:lang w:eastAsia="zh-TW" w:bidi="ar-EG"/>
        </w:rPr>
        <w:tab/>
      </w:r>
      <w:r w:rsidRPr="00574EDE">
        <w:rPr>
          <w:rtl/>
          <w:lang w:eastAsia="zh-TW"/>
        </w:rPr>
        <w:t>(ج)</w:t>
      </w:r>
      <w:r w:rsidRPr="00574EDE">
        <w:rPr>
          <w:rtl/>
          <w:lang w:eastAsia="zh-TW"/>
        </w:rPr>
        <w:tab/>
        <w:t>ضمان إجراء تحقيقات سريعة وفعالة في جميع الادعاءات المتعلقة بانتهاكات حقوق الإنسان، بما في ذلك التعذيب وسوء المعاملة، بهدف تقديم الجناة إلى العدالة؛</w:t>
      </w:r>
    </w:p>
    <w:p w:rsidR="00326A32" w:rsidRPr="00574EDE" w:rsidRDefault="00326A32" w:rsidP="006F1DCB">
      <w:pPr>
        <w:pStyle w:val="SingleTxtGA"/>
        <w:rPr>
          <w:rtl/>
          <w:lang w:eastAsia="zh-TW"/>
        </w:rPr>
      </w:pPr>
      <w:r>
        <w:rPr>
          <w:rtl/>
          <w:lang w:eastAsia="zh-TW"/>
        </w:rPr>
        <w:tab/>
      </w:r>
      <w:r w:rsidRPr="00574EDE">
        <w:rPr>
          <w:rtl/>
          <w:lang w:eastAsia="zh-TW"/>
        </w:rPr>
        <w:t>(د)</w:t>
      </w:r>
      <w:r w:rsidRPr="00574EDE">
        <w:rPr>
          <w:rtl/>
          <w:lang w:eastAsia="zh-TW"/>
        </w:rPr>
        <w:tab/>
        <w:t>إنهاء ومنع ممارسة إطلاق النار على المواطنين الإريتريين بهدف قتلهم أو</w:t>
      </w:r>
      <w:r w:rsidR="006F1DCB">
        <w:rPr>
          <w:rFonts w:hint="cs"/>
          <w:rtl/>
          <w:lang w:eastAsia="zh-TW"/>
        </w:rPr>
        <w:t> </w:t>
      </w:r>
      <w:r w:rsidRPr="00574EDE">
        <w:rPr>
          <w:rtl/>
          <w:lang w:eastAsia="zh-TW"/>
        </w:rPr>
        <w:t>إصابتهم بجروح عندما يحاولون عبور الحدود للهروب من البلد؛</w:t>
      </w:r>
    </w:p>
    <w:p w:rsidR="00326A32" w:rsidRPr="00574EDE" w:rsidRDefault="00326A32" w:rsidP="00326A32">
      <w:pPr>
        <w:pStyle w:val="SingleTxtGA"/>
        <w:rPr>
          <w:rtl/>
          <w:lang w:eastAsia="zh-TW"/>
        </w:rPr>
      </w:pPr>
      <w:r>
        <w:rPr>
          <w:rtl/>
          <w:lang w:eastAsia="zh-TW"/>
        </w:rPr>
        <w:tab/>
      </w:r>
      <w:r w:rsidRPr="00574EDE">
        <w:rPr>
          <w:rtl/>
          <w:lang w:eastAsia="zh-TW"/>
        </w:rPr>
        <w:t>(ه</w:t>
      </w:r>
      <w:r>
        <w:rPr>
          <w:rtl/>
          <w:lang w:eastAsia="zh-TW"/>
        </w:rPr>
        <w:t>)</w:t>
      </w:r>
      <w:r>
        <w:rPr>
          <w:rtl/>
          <w:lang w:eastAsia="zh-TW"/>
        </w:rPr>
        <w:tab/>
      </w:r>
      <w:r w:rsidRPr="00574EDE">
        <w:rPr>
          <w:rtl/>
          <w:lang w:eastAsia="zh-TW"/>
        </w:rPr>
        <w:t>الإفراج عن جميع المحتجزين تعسفاً، بمن فيهم أعضاء مجموعة الإصلاح الـ 15 والصحفيين والشخصيات الدينية والسجناء السياسيين، وضمان إتاحة محاكمة عادلة وشفافة لجميع المحتجزين؛</w:t>
      </w:r>
    </w:p>
    <w:p w:rsidR="00326A32" w:rsidRPr="00574EDE" w:rsidRDefault="00326A32" w:rsidP="00326A32">
      <w:pPr>
        <w:pStyle w:val="SingleTxtGA"/>
        <w:rPr>
          <w:rtl/>
          <w:lang w:eastAsia="zh-TW"/>
        </w:rPr>
      </w:pPr>
      <w:r>
        <w:rPr>
          <w:rtl/>
          <w:lang w:eastAsia="zh-TW"/>
        </w:rPr>
        <w:tab/>
      </w:r>
      <w:r w:rsidRPr="00574EDE">
        <w:rPr>
          <w:rtl/>
          <w:lang w:eastAsia="zh-TW"/>
        </w:rPr>
        <w:t>(و</w:t>
      </w:r>
      <w:r>
        <w:rPr>
          <w:rtl/>
          <w:lang w:eastAsia="zh-TW"/>
        </w:rPr>
        <w:t>)</w:t>
      </w:r>
      <w:r>
        <w:rPr>
          <w:rtl/>
          <w:lang w:eastAsia="zh-TW"/>
        </w:rPr>
        <w:tab/>
      </w:r>
      <w:r w:rsidRPr="00574EDE">
        <w:rPr>
          <w:rtl/>
          <w:lang w:eastAsia="zh-TW"/>
        </w:rPr>
        <w:t>وضع حد للطابع اللانهائي للخدمة الوطنية/العسكرية واستخدام المجندين في العمل الجبري، وضمان حماية جميع حقوق</w:t>
      </w:r>
      <w:r>
        <w:rPr>
          <w:rtl/>
          <w:lang w:eastAsia="zh-TW"/>
        </w:rPr>
        <w:t xml:space="preserve"> من يقومون بالخدمة الوطنية والخ</w:t>
      </w:r>
      <w:r w:rsidRPr="00574EDE">
        <w:rPr>
          <w:rtl/>
          <w:lang w:eastAsia="zh-TW"/>
        </w:rPr>
        <w:t>دمة العسكرية؛</w:t>
      </w:r>
    </w:p>
    <w:p w:rsidR="00326A32" w:rsidRPr="00574EDE" w:rsidRDefault="00326A32" w:rsidP="00326A32">
      <w:pPr>
        <w:pStyle w:val="SingleTxtGA"/>
        <w:rPr>
          <w:rtl/>
          <w:lang w:eastAsia="zh-TW"/>
        </w:rPr>
      </w:pPr>
      <w:r>
        <w:rPr>
          <w:rtl/>
          <w:lang w:eastAsia="zh-TW"/>
        </w:rPr>
        <w:tab/>
      </w:r>
      <w:r w:rsidRPr="00574EDE">
        <w:rPr>
          <w:rtl/>
          <w:lang w:eastAsia="zh-TW"/>
        </w:rPr>
        <w:t>(ز)</w:t>
      </w:r>
      <w:r w:rsidRPr="00574EDE">
        <w:rPr>
          <w:rtl/>
          <w:lang w:eastAsia="zh-TW"/>
        </w:rPr>
        <w:tab/>
        <w:t>كفالة الحق في تكوين الأحزاب السياسية والانضمام إليها، وضمان حق وفرص مشاركة جميع المواطنين على جميع المستويات في العملية السياسية والتصويت والترشح في انتخابات ديمقراطية حرة وعادلة وشفافة، بما يضمن التعبير الحر عن إرادة الشعب؛</w:t>
      </w:r>
    </w:p>
    <w:p w:rsidR="00326A32" w:rsidRPr="00574EDE" w:rsidRDefault="00326A32" w:rsidP="00326A32">
      <w:pPr>
        <w:pStyle w:val="SingleTxtGA"/>
        <w:rPr>
          <w:rtl/>
          <w:lang w:eastAsia="zh-TW"/>
        </w:rPr>
      </w:pPr>
      <w:r>
        <w:rPr>
          <w:rtl/>
          <w:lang w:eastAsia="zh-TW"/>
        </w:rPr>
        <w:tab/>
      </w:r>
      <w:r w:rsidRPr="00574EDE">
        <w:rPr>
          <w:rtl/>
          <w:lang w:eastAsia="zh-TW"/>
        </w:rPr>
        <w:t>(ح)</w:t>
      </w:r>
      <w:r w:rsidRPr="00574EDE">
        <w:rPr>
          <w:rtl/>
          <w:lang w:eastAsia="zh-TW"/>
        </w:rPr>
        <w:tab/>
        <w:t>التماس الدعم لإنشاء سلطة قضائية مستقلة ونزيهة وشفافة، بهدف ضمان إمكانية وصول الجميع إلى العدالة؛</w:t>
      </w:r>
    </w:p>
    <w:p w:rsidR="00326A32" w:rsidRPr="00574EDE" w:rsidRDefault="00326A32" w:rsidP="00326A32">
      <w:pPr>
        <w:pStyle w:val="SingleTxtGA"/>
        <w:rPr>
          <w:rtl/>
          <w:lang w:eastAsia="zh-TW"/>
        </w:rPr>
      </w:pPr>
      <w:r>
        <w:rPr>
          <w:rtl/>
          <w:lang w:eastAsia="zh-TW"/>
        </w:rPr>
        <w:tab/>
      </w:r>
      <w:r w:rsidRPr="00574EDE">
        <w:rPr>
          <w:rtl/>
          <w:lang w:eastAsia="zh-TW"/>
        </w:rPr>
        <w:t>(ط)</w:t>
      </w:r>
      <w:r w:rsidRPr="00574EDE">
        <w:rPr>
          <w:rtl/>
          <w:lang w:eastAsia="zh-TW"/>
        </w:rPr>
        <w:tab/>
        <w:t>العمل من أجل إكمال وتنفيذ دستور عام ١٩٩٧ بالتشاور مع جميع أصحاب المصلحة المعنيين؛</w:t>
      </w:r>
    </w:p>
    <w:p w:rsidR="00326A32" w:rsidRPr="00574EDE" w:rsidRDefault="00326A32" w:rsidP="00326A32">
      <w:pPr>
        <w:pStyle w:val="SingleTxtGA"/>
        <w:rPr>
          <w:rtl/>
          <w:lang w:eastAsia="zh-TW"/>
        </w:rPr>
      </w:pPr>
      <w:r>
        <w:rPr>
          <w:rtl/>
          <w:lang w:eastAsia="zh-TW"/>
        </w:rPr>
        <w:tab/>
        <w:t>(ي)</w:t>
      </w:r>
      <w:r>
        <w:rPr>
          <w:rtl/>
          <w:lang w:eastAsia="zh-TW"/>
        </w:rPr>
        <w:tab/>
      </w:r>
      <w:r w:rsidRPr="00574EDE">
        <w:rPr>
          <w:rtl/>
          <w:lang w:eastAsia="zh-TW"/>
        </w:rPr>
        <w:t xml:space="preserve">الكف فوراً عن الممارسة المتمثلة في مطالبة الإريتريين في الخارج بتوقيع الاستمارة </w:t>
      </w:r>
      <w:r w:rsidRPr="00326A32">
        <w:rPr>
          <w:lang w:eastAsia="zh-TW"/>
        </w:rPr>
        <w:t>B4/4.2</w:t>
      </w:r>
      <w:r>
        <w:rPr>
          <w:rFonts w:hint="cs"/>
          <w:rtl/>
          <w:lang w:eastAsia="zh-TW"/>
        </w:rPr>
        <w:t xml:space="preserve"> </w:t>
      </w:r>
      <w:r w:rsidRPr="00574EDE">
        <w:rPr>
          <w:rtl/>
          <w:lang w:eastAsia="zh-TW"/>
        </w:rPr>
        <w:t xml:space="preserve">(ما يسمى "استمارة الندم") التي </w:t>
      </w:r>
      <w:r>
        <w:rPr>
          <w:rtl/>
          <w:lang w:eastAsia="zh-TW"/>
        </w:rPr>
        <w:t>يقبلون</w:t>
      </w:r>
      <w:r w:rsidRPr="00574EDE">
        <w:rPr>
          <w:rtl/>
          <w:lang w:eastAsia="zh-TW"/>
        </w:rPr>
        <w:t xml:space="preserve"> فيها </w:t>
      </w:r>
      <w:r>
        <w:rPr>
          <w:rtl/>
          <w:lang w:eastAsia="zh-TW"/>
        </w:rPr>
        <w:t xml:space="preserve">تحمل </w:t>
      </w:r>
      <w:r w:rsidRPr="00574EDE">
        <w:rPr>
          <w:rtl/>
          <w:lang w:eastAsia="zh-TW"/>
        </w:rPr>
        <w:t>مسؤولية أي جريمة ارتكبوها قبل مغادرة البلد، كي يتسنى لهم الاستفادة من الخدمات القنصلية من البعثات الدبلوماسية الإريترية؛</w:t>
      </w:r>
    </w:p>
    <w:p w:rsidR="00326A32" w:rsidRPr="00574EDE" w:rsidRDefault="00326A32" w:rsidP="00326A32">
      <w:pPr>
        <w:pStyle w:val="SingleTxtGA"/>
        <w:rPr>
          <w:rtl/>
          <w:lang w:eastAsia="zh-TW"/>
        </w:rPr>
      </w:pPr>
      <w:r>
        <w:rPr>
          <w:rtl/>
          <w:lang w:eastAsia="zh-TW"/>
        </w:rPr>
        <w:tab/>
      </w:r>
      <w:r w:rsidRPr="00574EDE">
        <w:rPr>
          <w:rtl/>
          <w:lang w:eastAsia="zh-TW"/>
        </w:rPr>
        <w:t>(ك)</w:t>
      </w:r>
      <w:r w:rsidRPr="00574EDE">
        <w:rPr>
          <w:rtl/>
          <w:lang w:eastAsia="zh-TW"/>
        </w:rPr>
        <w:tab/>
        <w:t>الكف عن اللجوء إلى الابتزاز والتهديدات باستخدام العنف والغش وغير ذلك من الوسائل غير المشروعة لتحصيل الضرائب خارج إريتريا من مواطنيها أو من أفراد آخرين منحدرين من أصول إريترية والامتناع عن مثل هذه الممارسات؛</w:t>
      </w:r>
    </w:p>
    <w:p w:rsidR="00326A32" w:rsidRPr="006F1DCB" w:rsidRDefault="00326A32" w:rsidP="00326A32">
      <w:pPr>
        <w:pStyle w:val="SingleTxtGA"/>
        <w:rPr>
          <w:spacing w:val="-4"/>
          <w:rtl/>
          <w:lang w:eastAsia="zh-TW"/>
        </w:rPr>
      </w:pPr>
      <w:r w:rsidRPr="006F1DCB">
        <w:rPr>
          <w:spacing w:val="-4"/>
          <w:rtl/>
          <w:lang w:eastAsia="zh-TW"/>
        </w:rPr>
        <w:lastRenderedPageBreak/>
        <w:tab/>
        <w:t>(ل)</w:t>
      </w:r>
      <w:r w:rsidRPr="006F1DCB">
        <w:rPr>
          <w:spacing w:val="-4"/>
          <w:rtl/>
          <w:lang w:eastAsia="zh-TW"/>
        </w:rPr>
        <w:tab/>
        <w:t>السماح لوسائط الإعلام المستقلة ومنظمات المجتمع المدني المستقلة بالعمل بحرية؛</w:t>
      </w:r>
    </w:p>
    <w:p w:rsidR="00326A32" w:rsidRPr="00574EDE" w:rsidRDefault="00326A32" w:rsidP="00326A32">
      <w:pPr>
        <w:pStyle w:val="SingleTxtGA"/>
        <w:rPr>
          <w:rtl/>
          <w:lang w:eastAsia="zh-TW"/>
        </w:rPr>
      </w:pPr>
      <w:r>
        <w:rPr>
          <w:rtl/>
          <w:lang w:eastAsia="zh-TW"/>
        </w:rPr>
        <w:tab/>
      </w:r>
      <w:r w:rsidRPr="00574EDE">
        <w:rPr>
          <w:rtl/>
          <w:lang w:eastAsia="zh-TW"/>
        </w:rPr>
        <w:t>(م)</w:t>
      </w:r>
      <w:r>
        <w:rPr>
          <w:rtl/>
          <w:lang w:eastAsia="zh-TW"/>
        </w:rPr>
        <w:tab/>
      </w:r>
      <w:r w:rsidRPr="00574EDE">
        <w:rPr>
          <w:rtl/>
          <w:lang w:eastAsia="zh-TW"/>
        </w:rPr>
        <w:t xml:space="preserve">موافاة المفوضية بجميع المعلومات ذات الصلة عن هوية جميع المحتجزين والمفقودين في القتال، بمن فيهم أعضاء مجموعة ال‍ 15 والصحفيون والأشخاص الذين احتُجزوا عقب محاولة الاستيلاء على مبنى وزارة الإعلام في 21 كانون الثاني/يناير 2013 والمقاتلون </w:t>
      </w:r>
      <w:proofErr w:type="spellStart"/>
      <w:r w:rsidRPr="00574EDE">
        <w:rPr>
          <w:rtl/>
          <w:lang w:eastAsia="zh-TW"/>
        </w:rPr>
        <w:t>الجيبوتيون</w:t>
      </w:r>
      <w:proofErr w:type="spellEnd"/>
      <w:r w:rsidRPr="00574EDE">
        <w:rPr>
          <w:rtl/>
          <w:lang w:eastAsia="zh-TW"/>
        </w:rPr>
        <w:t xml:space="preserve"> الذين لا يزالون قيد الاحتجاز والبالغ عددهم 13 شخصاً، وعن سلامتهم وحالتهم الصحية وأماكن وجودهم؛ </w:t>
      </w:r>
    </w:p>
    <w:p w:rsidR="00326A32" w:rsidRPr="00574EDE" w:rsidRDefault="00326A32" w:rsidP="00326A32">
      <w:pPr>
        <w:pStyle w:val="SingleTxtGA"/>
        <w:rPr>
          <w:rtl/>
          <w:lang w:eastAsia="zh-TW"/>
        </w:rPr>
      </w:pPr>
      <w:r>
        <w:rPr>
          <w:rtl/>
          <w:lang w:eastAsia="zh-TW"/>
        </w:rPr>
        <w:tab/>
      </w:r>
      <w:r w:rsidRPr="00574EDE">
        <w:rPr>
          <w:rtl/>
          <w:lang w:eastAsia="zh-TW"/>
        </w:rPr>
        <w:t>(ن)</w:t>
      </w:r>
      <w:r w:rsidRPr="00574EDE">
        <w:rPr>
          <w:rtl/>
          <w:lang w:eastAsia="zh-TW"/>
        </w:rPr>
        <w:tab/>
        <w:t>فسح المجال أمام المفوضية السامية وآليات مجلس حقوق الإنسان لدخول البلد دون عوائق والتعاون مع كل الآليات الدولية والإقليمية الأخرى لحقوق الإنسان؛</w:t>
      </w:r>
    </w:p>
    <w:p w:rsidR="00326A32" w:rsidRPr="00574EDE" w:rsidRDefault="00326A32" w:rsidP="00326A32">
      <w:pPr>
        <w:pStyle w:val="SingleTxtGA"/>
        <w:rPr>
          <w:rtl/>
          <w:lang w:eastAsia="zh-TW"/>
        </w:rPr>
      </w:pPr>
      <w:r>
        <w:rPr>
          <w:rtl/>
          <w:lang w:eastAsia="zh-TW"/>
        </w:rPr>
        <w:tab/>
        <w:t>٧-</w:t>
      </w:r>
      <w:r>
        <w:rPr>
          <w:rtl/>
          <w:lang w:eastAsia="zh-TW"/>
        </w:rPr>
        <w:tab/>
      </w:r>
      <w:r w:rsidRPr="005B157F">
        <w:rPr>
          <w:i/>
          <w:iCs/>
          <w:rtl/>
          <w:lang w:eastAsia="zh-TW"/>
        </w:rPr>
        <w:t xml:space="preserve">يطلب </w:t>
      </w:r>
      <w:r w:rsidRPr="00326A32">
        <w:rPr>
          <w:rtl/>
          <w:lang w:eastAsia="zh-TW"/>
        </w:rPr>
        <w:t>إلى</w:t>
      </w:r>
      <w:r w:rsidRPr="00574EDE">
        <w:rPr>
          <w:rtl/>
          <w:lang w:eastAsia="zh-TW"/>
        </w:rPr>
        <w:t xml:space="preserve"> حكومة إريتريا أن تحترم احتراماً تاماً حقوق الأراضي فيما </w:t>
      </w:r>
      <w:r>
        <w:rPr>
          <w:rtl/>
          <w:lang w:eastAsia="zh-TW"/>
        </w:rPr>
        <w:t>يتصل ب</w:t>
      </w:r>
      <w:r w:rsidRPr="00574EDE">
        <w:rPr>
          <w:rtl/>
          <w:lang w:eastAsia="zh-TW"/>
        </w:rPr>
        <w:t>الملكية التقليدية وحقوق الملكية، بما في ذلك حقوق الجاليات الأجنبية، ووضع حد لجميع حالات الحرمان التعسفي من الممتلكات في انتهاك للقانون الدولي؛</w:t>
      </w:r>
    </w:p>
    <w:p w:rsidR="00326A32" w:rsidRPr="00574EDE" w:rsidRDefault="00326A32" w:rsidP="00326A32">
      <w:pPr>
        <w:pStyle w:val="SingleTxtGA"/>
        <w:rPr>
          <w:rtl/>
          <w:lang w:eastAsia="zh-TW"/>
        </w:rPr>
      </w:pPr>
      <w:r>
        <w:rPr>
          <w:rtl/>
          <w:lang w:eastAsia="zh-TW"/>
        </w:rPr>
        <w:tab/>
        <w:t>٨-</w:t>
      </w:r>
      <w:r>
        <w:rPr>
          <w:rtl/>
          <w:lang w:eastAsia="zh-TW"/>
        </w:rPr>
        <w:tab/>
      </w:r>
      <w:r w:rsidRPr="005B157F">
        <w:rPr>
          <w:i/>
          <w:iCs/>
          <w:rtl/>
          <w:lang w:eastAsia="zh-TW"/>
        </w:rPr>
        <w:t>يشجع</w:t>
      </w:r>
      <w:r w:rsidRPr="00574EDE">
        <w:rPr>
          <w:rtl/>
          <w:lang w:eastAsia="zh-TW"/>
        </w:rPr>
        <w:t xml:space="preserve"> الدول على توفير الحماية وإيلاء الاهتمام الواجب للأشخاص الذين تعاونوا مع لجنة التحقيق والمقررة الخاصة، وعلى وجه الخصوص حمايتهم من الأعمال الانتقامية؛ </w:t>
      </w:r>
      <w:r w:rsidRPr="00574EDE">
        <w:rPr>
          <w:rFonts w:cs="Times New Roman"/>
          <w:rtl/>
          <w:lang w:eastAsia="zh-TW"/>
        </w:rPr>
        <w:t>‬</w:t>
      </w:r>
    </w:p>
    <w:p w:rsidR="00326A32" w:rsidRPr="00574EDE" w:rsidRDefault="00326A32" w:rsidP="00326A32">
      <w:pPr>
        <w:pStyle w:val="SingleTxtGA"/>
        <w:rPr>
          <w:rtl/>
          <w:lang w:eastAsia="zh-TW"/>
        </w:rPr>
      </w:pPr>
      <w:r>
        <w:rPr>
          <w:rtl/>
          <w:lang w:eastAsia="zh-TW"/>
        </w:rPr>
        <w:tab/>
        <w:t>٩-</w:t>
      </w:r>
      <w:r>
        <w:rPr>
          <w:rtl/>
          <w:lang w:eastAsia="zh-TW"/>
        </w:rPr>
        <w:tab/>
      </w:r>
      <w:r w:rsidRPr="005B157F">
        <w:rPr>
          <w:i/>
          <w:iCs/>
          <w:rtl/>
          <w:lang w:eastAsia="zh-TW"/>
        </w:rPr>
        <w:t>يرحب</w:t>
      </w:r>
      <w:r w:rsidRPr="00574EDE">
        <w:rPr>
          <w:rtl/>
          <w:lang w:eastAsia="zh-TW"/>
        </w:rPr>
        <w:t xml:space="preserve"> بالاتصال الأولي الذي أجرته المقررة الخاصة مع الاتحاد الأفريقي ويحيط علماً بتوصياتها بإنشاء آلية مساءلة </w:t>
      </w:r>
      <w:proofErr w:type="gramStart"/>
      <w:r w:rsidRPr="00574EDE">
        <w:rPr>
          <w:rtl/>
          <w:lang w:eastAsia="zh-TW"/>
        </w:rPr>
        <w:t>إقليمية</w:t>
      </w:r>
      <w:r w:rsidRPr="00326A32">
        <w:rPr>
          <w:rFonts w:hint="cs"/>
          <w:vertAlign w:val="superscript"/>
          <w:rtl/>
          <w:lang w:eastAsia="zh-TW"/>
        </w:rPr>
        <w:t>(</w:t>
      </w:r>
      <w:proofErr w:type="gramEnd"/>
      <w:r w:rsidRPr="00326A32">
        <w:rPr>
          <w:rStyle w:val="FootnoteReference"/>
          <w:sz w:val="20"/>
          <w:szCs w:val="30"/>
          <w:rtl/>
          <w:lang w:eastAsia="zh-TW"/>
        </w:rPr>
        <w:footnoteReference w:id="3"/>
      </w:r>
      <w:r w:rsidRPr="00326A32">
        <w:rPr>
          <w:rFonts w:hint="cs"/>
          <w:vertAlign w:val="superscript"/>
          <w:rtl/>
          <w:lang w:eastAsia="zh-TW"/>
        </w:rPr>
        <w:t>)</w:t>
      </w:r>
      <w:r>
        <w:rPr>
          <w:rFonts w:hint="cs"/>
          <w:rtl/>
          <w:lang w:eastAsia="zh-TW"/>
        </w:rPr>
        <w:t>،</w:t>
      </w:r>
      <w:r w:rsidRPr="00574EDE">
        <w:rPr>
          <w:rtl/>
          <w:lang w:eastAsia="zh-TW"/>
        </w:rPr>
        <w:t xml:space="preserve"> وذلك بالاستناد إلى ما أكدته لجنة التحقيق من أن إنشاء محكمة مختلطة أو لجنة للحقيقة لن يكون خياراً ناجعاً في الظروف الراهنة؛</w:t>
      </w:r>
    </w:p>
    <w:p w:rsidR="00326A32" w:rsidRPr="00574EDE" w:rsidRDefault="00326A32" w:rsidP="00326A32">
      <w:pPr>
        <w:pStyle w:val="SingleTxtGA"/>
        <w:rPr>
          <w:rtl/>
          <w:lang w:eastAsia="zh-TW"/>
        </w:rPr>
      </w:pPr>
      <w:r>
        <w:rPr>
          <w:rtl/>
          <w:lang w:eastAsia="zh-TW"/>
        </w:rPr>
        <w:tab/>
        <w:t>١٠-</w:t>
      </w:r>
      <w:r>
        <w:rPr>
          <w:rtl/>
          <w:lang w:eastAsia="zh-TW"/>
        </w:rPr>
        <w:tab/>
      </w:r>
      <w:r w:rsidRPr="005B157F">
        <w:rPr>
          <w:i/>
          <w:iCs/>
          <w:rtl/>
          <w:lang w:eastAsia="zh-TW"/>
        </w:rPr>
        <w:t>يحث</w:t>
      </w:r>
      <w:r w:rsidRPr="00574EDE">
        <w:rPr>
          <w:rtl/>
          <w:lang w:eastAsia="zh-TW"/>
        </w:rPr>
        <w:t xml:space="preserve"> إريتريا على إتاحة المعلومات المتصلة بباقي أسرى الحرب </w:t>
      </w:r>
      <w:proofErr w:type="spellStart"/>
      <w:r w:rsidRPr="00574EDE">
        <w:rPr>
          <w:rtl/>
          <w:lang w:eastAsia="zh-TW"/>
        </w:rPr>
        <w:t>الجيبوتيين</w:t>
      </w:r>
      <w:proofErr w:type="spellEnd"/>
      <w:r w:rsidRPr="00574EDE">
        <w:rPr>
          <w:rtl/>
          <w:lang w:eastAsia="zh-TW"/>
        </w:rPr>
        <w:t xml:space="preserve"> المفقودين منذ الاشتباكات التي وقعت في الفترة من 10 إلى 12 حزيران/</w:t>
      </w:r>
      <w:proofErr w:type="gramStart"/>
      <w:r w:rsidRPr="00574EDE">
        <w:rPr>
          <w:rtl/>
          <w:lang w:eastAsia="zh-TW"/>
        </w:rPr>
        <w:t>يونيه</w:t>
      </w:r>
      <w:proofErr w:type="gramEnd"/>
      <w:r w:rsidRPr="00574EDE">
        <w:rPr>
          <w:rtl/>
          <w:lang w:eastAsia="zh-TW"/>
        </w:rPr>
        <w:t xml:space="preserve"> 2008 لكي يتسنى للمعنيين بالأمر التحقق من وجود أسرى حرب </w:t>
      </w:r>
      <w:proofErr w:type="spellStart"/>
      <w:r w:rsidRPr="00574EDE">
        <w:rPr>
          <w:rtl/>
          <w:lang w:eastAsia="zh-TW"/>
        </w:rPr>
        <w:t>جيبوتيين</w:t>
      </w:r>
      <w:proofErr w:type="spellEnd"/>
      <w:r w:rsidRPr="00574EDE">
        <w:rPr>
          <w:rtl/>
          <w:lang w:eastAsia="zh-TW"/>
        </w:rPr>
        <w:t xml:space="preserve"> ومن أحوالهم؛</w:t>
      </w:r>
    </w:p>
    <w:p w:rsidR="00326A32" w:rsidRPr="00574EDE" w:rsidRDefault="00326A32" w:rsidP="00326A32">
      <w:pPr>
        <w:pStyle w:val="SingleTxtGA"/>
        <w:rPr>
          <w:rtl/>
          <w:lang w:eastAsia="zh-TW"/>
        </w:rPr>
      </w:pPr>
      <w:r>
        <w:rPr>
          <w:rtl/>
          <w:lang w:eastAsia="zh-TW"/>
        </w:rPr>
        <w:tab/>
        <w:t>١١-</w:t>
      </w:r>
      <w:r>
        <w:rPr>
          <w:rtl/>
          <w:lang w:eastAsia="zh-TW"/>
        </w:rPr>
        <w:tab/>
      </w:r>
      <w:r w:rsidRPr="005B157F">
        <w:rPr>
          <w:i/>
          <w:iCs/>
          <w:rtl/>
          <w:lang w:eastAsia="zh-TW"/>
        </w:rPr>
        <w:t>يشجع</w:t>
      </w:r>
      <w:r w:rsidRPr="00574EDE">
        <w:rPr>
          <w:rtl/>
          <w:lang w:eastAsia="zh-TW"/>
        </w:rPr>
        <w:t xml:space="preserve"> المؤسسات التجارية على بذل العناية الواجبة المناسبة في مجال حقوق الإنسان بهدف تحديد آثار أنشطتها على حقوق الإنسان ومنع تلك الآثار وتخفيفها وتقديم بيانات عن طريقة معالجتها لها، بما في ذلك فيما يتعلق بادعاءات استخدام العمالة المـُجنَّدة؛ </w:t>
      </w:r>
      <w:r w:rsidRPr="00574EDE">
        <w:rPr>
          <w:rFonts w:cs="Times New Roman"/>
          <w:rtl/>
          <w:lang w:eastAsia="zh-TW"/>
        </w:rPr>
        <w:t>‬</w:t>
      </w:r>
    </w:p>
    <w:p w:rsidR="00326A32" w:rsidRPr="00574EDE" w:rsidRDefault="00326A32" w:rsidP="00326A32">
      <w:pPr>
        <w:pStyle w:val="SingleTxtGA"/>
        <w:rPr>
          <w:rtl/>
          <w:lang w:eastAsia="zh-TW"/>
        </w:rPr>
      </w:pPr>
      <w:r>
        <w:rPr>
          <w:rtl/>
          <w:lang w:eastAsia="zh-TW"/>
        </w:rPr>
        <w:tab/>
        <w:t>١٢-</w:t>
      </w:r>
      <w:r>
        <w:rPr>
          <w:rtl/>
          <w:lang w:eastAsia="zh-TW"/>
        </w:rPr>
        <w:tab/>
      </w:r>
      <w:r w:rsidRPr="005B157F">
        <w:rPr>
          <w:i/>
          <w:iCs/>
          <w:rtl/>
          <w:lang w:eastAsia="zh-TW"/>
        </w:rPr>
        <w:t>يقرر</w:t>
      </w:r>
      <w:r w:rsidRPr="00574EDE">
        <w:rPr>
          <w:rtl/>
          <w:lang w:eastAsia="zh-TW"/>
        </w:rPr>
        <w:t xml:space="preserve"> تمديد ولاية المقررة الخاصة المعنية بحالة حقوق الإنسان في إريتريا وفقاً لقرار مجلس حقوق الإنسان 35/35 المؤرخ 23 حزيران/</w:t>
      </w:r>
      <w:proofErr w:type="gramStart"/>
      <w:r w:rsidRPr="00574EDE">
        <w:rPr>
          <w:rtl/>
          <w:lang w:eastAsia="zh-TW"/>
        </w:rPr>
        <w:t>يونيه</w:t>
      </w:r>
      <w:proofErr w:type="gramEnd"/>
      <w:r w:rsidRPr="00574EDE">
        <w:rPr>
          <w:rtl/>
          <w:lang w:eastAsia="zh-TW"/>
        </w:rPr>
        <w:t xml:space="preserve"> 2017 لمدة سنة؛</w:t>
      </w:r>
    </w:p>
    <w:p w:rsidR="00326A32" w:rsidRPr="00574EDE" w:rsidRDefault="00326A32" w:rsidP="00326A32">
      <w:pPr>
        <w:pStyle w:val="SingleTxtGA"/>
        <w:rPr>
          <w:i/>
          <w:rtl/>
          <w:lang w:eastAsia="zh-TW"/>
        </w:rPr>
      </w:pPr>
      <w:r>
        <w:rPr>
          <w:rtl/>
          <w:lang w:eastAsia="zh-TW"/>
        </w:rPr>
        <w:tab/>
        <w:t>١٣-</w:t>
      </w:r>
      <w:r>
        <w:rPr>
          <w:rtl/>
          <w:lang w:eastAsia="zh-TW"/>
        </w:rPr>
        <w:tab/>
      </w:r>
      <w:r w:rsidRPr="005B157F">
        <w:rPr>
          <w:i/>
          <w:iCs/>
          <w:rtl/>
          <w:lang w:eastAsia="zh-TW"/>
        </w:rPr>
        <w:t xml:space="preserve">يطلب </w:t>
      </w:r>
      <w:r w:rsidRPr="00326A32">
        <w:rPr>
          <w:rtl/>
          <w:lang w:eastAsia="zh-TW"/>
        </w:rPr>
        <w:t>إلى</w:t>
      </w:r>
      <w:r w:rsidRPr="00574EDE">
        <w:rPr>
          <w:rtl/>
          <w:lang w:eastAsia="zh-TW"/>
        </w:rPr>
        <w:t xml:space="preserve"> المقررة الخاصة أن تقدم وتعرض تقريراً خطياً إلى مجلس حقوق الإنسان في دورته الحادية والأربعين وأن تشارك في جلسة تحاور مع الجمعية العامة بشأن تقريرها في دورتها الثالثة والسبعين؛</w:t>
      </w:r>
    </w:p>
    <w:p w:rsidR="00326A32" w:rsidRPr="00574EDE" w:rsidRDefault="00326A32" w:rsidP="00326A32">
      <w:pPr>
        <w:pStyle w:val="SingleTxtGA"/>
        <w:rPr>
          <w:rtl/>
          <w:lang w:eastAsia="zh-TW"/>
        </w:rPr>
      </w:pPr>
      <w:r>
        <w:rPr>
          <w:rtl/>
          <w:lang w:eastAsia="zh-TW"/>
        </w:rPr>
        <w:tab/>
        <w:t>١٤-</w:t>
      </w:r>
      <w:r>
        <w:rPr>
          <w:rtl/>
          <w:lang w:eastAsia="zh-TW"/>
        </w:rPr>
        <w:tab/>
      </w:r>
      <w:r w:rsidRPr="00AE7DF3">
        <w:rPr>
          <w:i/>
          <w:iCs/>
          <w:rtl/>
          <w:lang w:eastAsia="zh-TW"/>
        </w:rPr>
        <w:t>يقرر</w:t>
      </w:r>
      <w:r w:rsidRPr="00574EDE">
        <w:rPr>
          <w:rtl/>
          <w:lang w:eastAsia="zh-TW"/>
        </w:rPr>
        <w:t xml:space="preserve"> أن يجري، في دورته السابعة والثلاثين، حواراً تفاعلياً معززاً بشأن حالة حقوق الإنسان في إريتريا، بمشاركة جهات من جملتها المقررة الخاصة والمفوضية والمجتمع المدني وجهات معنية أخرى؛</w:t>
      </w:r>
    </w:p>
    <w:p w:rsidR="00326A32" w:rsidRPr="00574EDE" w:rsidRDefault="00326A32" w:rsidP="00326A32">
      <w:pPr>
        <w:pStyle w:val="SingleTxtGA"/>
        <w:rPr>
          <w:rtl/>
          <w:lang w:eastAsia="zh-TW"/>
        </w:rPr>
      </w:pPr>
      <w:r>
        <w:rPr>
          <w:rtl/>
          <w:lang w:eastAsia="zh-TW"/>
        </w:rPr>
        <w:lastRenderedPageBreak/>
        <w:tab/>
        <w:t>١٥-</w:t>
      </w:r>
      <w:r>
        <w:rPr>
          <w:rtl/>
          <w:lang w:eastAsia="zh-TW"/>
        </w:rPr>
        <w:tab/>
      </w:r>
      <w:r w:rsidRPr="00AE7DF3">
        <w:rPr>
          <w:i/>
          <w:iCs/>
          <w:rtl/>
          <w:lang w:eastAsia="zh-TW"/>
        </w:rPr>
        <w:t>يدعو</w:t>
      </w:r>
      <w:r w:rsidRPr="00574EDE">
        <w:rPr>
          <w:rtl/>
          <w:lang w:eastAsia="zh-TW"/>
        </w:rPr>
        <w:t xml:space="preserve"> المقررة الخاصة إلى إجراء تقييم وتقديم تقرير عن حالة حقوق الإنسان ومشاركة حكومة إريتريا وتعاونها مع مجلس حقوق الإنسان وآلياته، وكذلك مع المفوضية، وحيثما أمكن، وضع معايير للتقدم وخطة عمل محددة زمنياً لتنفيذها؛</w:t>
      </w:r>
    </w:p>
    <w:p w:rsidR="00326A32" w:rsidRPr="006F1DCB" w:rsidRDefault="00326A32" w:rsidP="00326A32">
      <w:pPr>
        <w:pStyle w:val="SingleTxtGA"/>
        <w:rPr>
          <w:spacing w:val="-2"/>
          <w:rtl/>
          <w:lang w:eastAsia="zh-TW"/>
        </w:rPr>
      </w:pPr>
      <w:r w:rsidRPr="006F1DCB">
        <w:rPr>
          <w:spacing w:val="-2"/>
          <w:rtl/>
          <w:lang w:eastAsia="zh-TW"/>
        </w:rPr>
        <w:tab/>
        <w:t>١٦-</w:t>
      </w:r>
      <w:r w:rsidRPr="006F1DCB">
        <w:rPr>
          <w:spacing w:val="-2"/>
          <w:rtl/>
          <w:lang w:eastAsia="zh-TW"/>
        </w:rPr>
        <w:tab/>
      </w:r>
      <w:r w:rsidRPr="006F1DCB">
        <w:rPr>
          <w:i/>
          <w:iCs/>
          <w:spacing w:val="-2"/>
          <w:rtl/>
          <w:lang w:eastAsia="zh-TW"/>
        </w:rPr>
        <w:t>يهيب</w:t>
      </w:r>
      <w:r w:rsidRPr="006F1DCB">
        <w:rPr>
          <w:spacing w:val="-2"/>
          <w:rtl/>
          <w:lang w:eastAsia="zh-TW"/>
        </w:rPr>
        <w:t xml:space="preserve"> بحكومة إريتريا أن تتعاون تعاوناً تاماً مع المقررة الخاصة، بسبل منها إتاحة إمكانية الوصول إلى البلد، وأن تولي الاعتبار الواجب للتوصيات الواردة في تقارير المقررة الخاصة؛</w:t>
      </w:r>
    </w:p>
    <w:p w:rsidR="00326A32" w:rsidRPr="00574EDE" w:rsidRDefault="00326A32" w:rsidP="00326A32">
      <w:pPr>
        <w:pStyle w:val="SingleTxtGA"/>
        <w:rPr>
          <w:rtl/>
          <w:lang w:eastAsia="zh-TW"/>
        </w:rPr>
      </w:pPr>
      <w:r>
        <w:rPr>
          <w:rtl/>
          <w:lang w:eastAsia="zh-TW"/>
        </w:rPr>
        <w:tab/>
        <w:t>١٧-</w:t>
      </w:r>
      <w:r>
        <w:rPr>
          <w:rtl/>
          <w:lang w:eastAsia="zh-TW"/>
        </w:rPr>
        <w:tab/>
      </w:r>
      <w:r w:rsidRPr="00AE7DF3">
        <w:rPr>
          <w:i/>
          <w:iCs/>
          <w:rtl/>
          <w:lang w:eastAsia="zh-TW"/>
        </w:rPr>
        <w:t xml:space="preserve">يطلب </w:t>
      </w:r>
      <w:r w:rsidRPr="00326A32">
        <w:rPr>
          <w:rtl/>
          <w:lang w:eastAsia="zh-TW"/>
        </w:rPr>
        <w:t>إلى</w:t>
      </w:r>
      <w:r w:rsidRPr="00574EDE">
        <w:rPr>
          <w:rtl/>
          <w:lang w:eastAsia="zh-TW"/>
        </w:rPr>
        <w:t xml:space="preserve"> المفوضية أن تقدم إلى مجلس حقوق الإنسان في دورته الأربعين معلومات شفوية محدَّثة عن التقدم المحرز في مجال التعاون بين إريتريا والمفوضية، وعن مدى تأثير هذا التعاون على حالة حقوق الإنسان في إريتريا؛</w:t>
      </w:r>
    </w:p>
    <w:p w:rsidR="00326A32" w:rsidRPr="00574EDE" w:rsidRDefault="00326A32" w:rsidP="00326A32">
      <w:pPr>
        <w:pStyle w:val="SingleTxtGA"/>
        <w:rPr>
          <w:rtl/>
          <w:lang w:eastAsia="zh-TW"/>
        </w:rPr>
      </w:pPr>
      <w:r>
        <w:rPr>
          <w:rtl/>
          <w:lang w:eastAsia="zh-TW"/>
        </w:rPr>
        <w:tab/>
        <w:t>١٨-</w:t>
      </w:r>
      <w:r>
        <w:rPr>
          <w:rtl/>
          <w:lang w:eastAsia="zh-TW"/>
        </w:rPr>
        <w:tab/>
      </w:r>
      <w:r>
        <w:rPr>
          <w:i/>
          <w:iCs/>
          <w:rtl/>
          <w:lang w:eastAsia="zh-TW"/>
        </w:rPr>
        <w:t>يشجع</w:t>
      </w:r>
      <w:r w:rsidRPr="00574EDE">
        <w:rPr>
          <w:rtl/>
          <w:lang w:eastAsia="zh-TW"/>
        </w:rPr>
        <w:t xml:space="preserve"> حكومة إريتريا أن تنظر في إنشاء مكتب للمفوضية في إريتريا يُكلَّف بولاية شاملة من أجل حماية حقوق الإنسان وتعزيزها ورصدها، وأن تكفل وصوله إلى جميع الأماكن دون عائق؛</w:t>
      </w:r>
    </w:p>
    <w:p w:rsidR="00326A32" w:rsidRPr="00574EDE" w:rsidRDefault="00326A32" w:rsidP="00326A32">
      <w:pPr>
        <w:pStyle w:val="SingleTxtGA"/>
        <w:rPr>
          <w:rtl/>
          <w:lang w:eastAsia="zh-TW"/>
        </w:rPr>
      </w:pPr>
      <w:r>
        <w:rPr>
          <w:rtl/>
          <w:lang w:eastAsia="zh-TW"/>
        </w:rPr>
        <w:tab/>
        <w:t>١٩-</w:t>
      </w:r>
      <w:r>
        <w:rPr>
          <w:rtl/>
          <w:lang w:eastAsia="zh-TW"/>
        </w:rPr>
        <w:tab/>
      </w:r>
      <w:r w:rsidRPr="00AE7DF3">
        <w:rPr>
          <w:i/>
          <w:iCs/>
          <w:rtl/>
          <w:lang w:eastAsia="zh-TW"/>
        </w:rPr>
        <w:t>يحث</w:t>
      </w:r>
      <w:r w:rsidRPr="00574EDE">
        <w:rPr>
          <w:rtl/>
          <w:lang w:eastAsia="zh-TW"/>
        </w:rPr>
        <w:t xml:space="preserve"> المجتمع الدولي على تعزيز جهوده وتعاونه من أجل ضمان توفير الحماية للفارين من إريتريا، ولا سيما الأطفال غير المصحوبين بذويهم؛ </w:t>
      </w:r>
      <w:r w:rsidRPr="00574EDE">
        <w:rPr>
          <w:rFonts w:cs="Times New Roman"/>
          <w:rtl/>
          <w:lang w:eastAsia="zh-TW"/>
        </w:rPr>
        <w:t>‬</w:t>
      </w:r>
    </w:p>
    <w:p w:rsidR="00326A32" w:rsidRDefault="00326A32" w:rsidP="00326A32">
      <w:pPr>
        <w:pStyle w:val="SingleTxtGA"/>
        <w:rPr>
          <w:rtl/>
          <w:lang w:eastAsia="zh-TW"/>
        </w:rPr>
      </w:pPr>
      <w:r>
        <w:rPr>
          <w:rtl/>
          <w:lang w:eastAsia="zh-TW"/>
        </w:rPr>
        <w:tab/>
        <w:t>٢٠-</w:t>
      </w:r>
      <w:r>
        <w:rPr>
          <w:rtl/>
          <w:lang w:eastAsia="zh-TW"/>
        </w:rPr>
        <w:tab/>
      </w:r>
      <w:r w:rsidRPr="00AE7DF3">
        <w:rPr>
          <w:i/>
          <w:iCs/>
          <w:rtl/>
          <w:lang w:eastAsia="zh-TW"/>
        </w:rPr>
        <w:t>يشجع</w:t>
      </w:r>
      <w:r w:rsidRPr="00574EDE">
        <w:rPr>
          <w:rtl/>
          <w:lang w:eastAsia="zh-TW"/>
        </w:rPr>
        <w:t xml:space="preserve"> الدول الأعضاء على زيادة الاهتمام بتحسين حالة حقوق الإنسان في إريتريا عن طريق تعزيز العمل مع حكومة إريتريا، وزيادة الموارد المخصصة لهذا الغرض، إن أمكن؛</w:t>
      </w:r>
    </w:p>
    <w:p w:rsidR="00326A32" w:rsidRPr="00574EDE" w:rsidRDefault="00326A32" w:rsidP="00326A32">
      <w:pPr>
        <w:pStyle w:val="SingleTxtGA"/>
        <w:rPr>
          <w:rtl/>
          <w:lang w:eastAsia="zh-TW"/>
        </w:rPr>
      </w:pPr>
      <w:r>
        <w:rPr>
          <w:rtl/>
          <w:lang w:eastAsia="zh-TW"/>
        </w:rPr>
        <w:tab/>
        <w:t>٢١-</w:t>
      </w:r>
      <w:r>
        <w:rPr>
          <w:rtl/>
          <w:lang w:eastAsia="zh-TW"/>
        </w:rPr>
        <w:tab/>
      </w:r>
      <w:r w:rsidRPr="00326A32">
        <w:rPr>
          <w:i/>
          <w:iCs/>
          <w:rtl/>
          <w:lang w:eastAsia="zh-TW"/>
        </w:rPr>
        <w:t>يؤكد من جديد</w:t>
      </w:r>
      <w:r w:rsidRPr="00574EDE">
        <w:rPr>
          <w:rtl/>
          <w:lang w:eastAsia="zh-TW"/>
        </w:rPr>
        <w:t xml:space="preserve"> تشجيعه القوي للاتحاد الأفريقي على متابعة تقرير لجنة </w:t>
      </w:r>
      <w:proofErr w:type="gramStart"/>
      <w:r w:rsidRPr="00574EDE">
        <w:rPr>
          <w:rtl/>
          <w:lang w:eastAsia="zh-TW"/>
        </w:rPr>
        <w:t>التحقيق</w:t>
      </w:r>
      <w:r w:rsidRPr="00326A32">
        <w:rPr>
          <w:rFonts w:hint="cs"/>
          <w:vertAlign w:val="superscript"/>
          <w:rtl/>
        </w:rPr>
        <w:t>(</w:t>
      </w:r>
      <w:proofErr w:type="gramEnd"/>
      <w:r w:rsidRPr="00326A32">
        <w:rPr>
          <w:vertAlign w:val="superscript"/>
          <w:rtl/>
        </w:rPr>
        <w:t>1</w:t>
      </w:r>
      <w:r w:rsidRPr="00326A32">
        <w:rPr>
          <w:rFonts w:hint="cs"/>
          <w:vertAlign w:val="superscript"/>
          <w:rtl/>
        </w:rPr>
        <w:t>)</w:t>
      </w:r>
      <w:r w:rsidRPr="00574EDE">
        <w:rPr>
          <w:rtl/>
          <w:lang w:eastAsia="zh-TW"/>
        </w:rPr>
        <w:t xml:space="preserve"> وتوصياتها والمعلومات المحدَّثة عن حالة حقوق الإنسان في إريتريا بإجراء تحقيق بدعم من المجتمع الدولي من أجل استجواب ومقاضاة الأفراد المسؤولين عن الجرائم</w:t>
      </w:r>
      <w:bookmarkStart w:id="0" w:name="_GoBack"/>
      <w:bookmarkEnd w:id="0"/>
      <w:r w:rsidRPr="00574EDE">
        <w:rPr>
          <w:rtl/>
          <w:lang w:eastAsia="zh-TW"/>
        </w:rPr>
        <w:t xml:space="preserve"> التي تنطوي على انتهاكات وتجاوزات حقوق الإنسان</w:t>
      </w:r>
      <w:r>
        <w:rPr>
          <w:rtl/>
          <w:lang w:eastAsia="zh-TW"/>
        </w:rPr>
        <w:t>،</w:t>
      </w:r>
      <w:r w:rsidRPr="00574EDE">
        <w:rPr>
          <w:rtl/>
          <w:lang w:eastAsia="zh-TW"/>
        </w:rPr>
        <w:t xml:space="preserve"> الذين تحدد لجنة التحقيق هويتهم، بما في ذلك أي جريمة قد تُعد بمثابة جريمة ضد الإنسانية؛ </w:t>
      </w:r>
      <w:r w:rsidRPr="00574EDE">
        <w:rPr>
          <w:rFonts w:cs="Times New Roman"/>
          <w:rtl/>
          <w:lang w:eastAsia="zh-TW"/>
        </w:rPr>
        <w:t>‬</w:t>
      </w:r>
    </w:p>
    <w:p w:rsidR="00326A32" w:rsidRPr="00574EDE" w:rsidRDefault="00326A32" w:rsidP="00326A32">
      <w:pPr>
        <w:pStyle w:val="SingleTxtGA"/>
        <w:rPr>
          <w:rtl/>
          <w:lang w:eastAsia="zh-TW"/>
        </w:rPr>
      </w:pPr>
      <w:r>
        <w:rPr>
          <w:rtl/>
          <w:lang w:eastAsia="zh-TW"/>
        </w:rPr>
        <w:tab/>
        <w:t>٢٢-</w:t>
      </w:r>
      <w:r>
        <w:rPr>
          <w:rtl/>
          <w:lang w:eastAsia="zh-TW"/>
        </w:rPr>
        <w:tab/>
      </w:r>
      <w:r w:rsidRPr="00AE7DF3">
        <w:rPr>
          <w:i/>
          <w:iCs/>
          <w:rtl/>
          <w:lang w:eastAsia="zh-TW"/>
        </w:rPr>
        <w:t xml:space="preserve">يطلب </w:t>
      </w:r>
      <w:r w:rsidRPr="00326A32">
        <w:rPr>
          <w:rtl/>
          <w:lang w:eastAsia="zh-TW"/>
        </w:rPr>
        <w:t>إلى</w:t>
      </w:r>
      <w:r w:rsidRPr="00574EDE">
        <w:rPr>
          <w:rtl/>
          <w:lang w:eastAsia="zh-TW"/>
        </w:rPr>
        <w:t xml:space="preserve"> الأمين العام أن يوفر للمقررة الخاصة جميع المعلومات والموارد اللازمة لإنجاز ولايتها؛ </w:t>
      </w:r>
      <w:r w:rsidRPr="00574EDE">
        <w:rPr>
          <w:rFonts w:cs="Times New Roman"/>
          <w:rtl/>
          <w:lang w:eastAsia="zh-TW"/>
        </w:rPr>
        <w:t>‬</w:t>
      </w:r>
    </w:p>
    <w:p w:rsidR="00326A32" w:rsidRPr="00574EDE" w:rsidRDefault="00326A32" w:rsidP="00326A32">
      <w:pPr>
        <w:pStyle w:val="SingleTxtGA"/>
        <w:rPr>
          <w:rtl/>
          <w:lang w:eastAsia="zh-TW"/>
        </w:rPr>
      </w:pPr>
      <w:r>
        <w:rPr>
          <w:rtl/>
          <w:lang w:eastAsia="zh-TW"/>
        </w:rPr>
        <w:tab/>
        <w:t>٢٣-</w:t>
      </w:r>
      <w:r>
        <w:rPr>
          <w:rtl/>
          <w:lang w:eastAsia="zh-TW"/>
        </w:rPr>
        <w:tab/>
      </w:r>
      <w:r w:rsidRPr="00AE7DF3">
        <w:rPr>
          <w:i/>
          <w:iCs/>
          <w:rtl/>
          <w:lang w:eastAsia="zh-TW"/>
        </w:rPr>
        <w:t>يقرر</w:t>
      </w:r>
      <w:r w:rsidRPr="00574EDE">
        <w:rPr>
          <w:rtl/>
          <w:lang w:eastAsia="zh-TW"/>
        </w:rPr>
        <w:t xml:space="preserve"> أن يبقي المسألة قيد نظره.</w:t>
      </w:r>
    </w:p>
    <w:p w:rsidR="00326A32" w:rsidRPr="00326A32" w:rsidRDefault="00326A32" w:rsidP="00326A32">
      <w:pPr>
        <w:spacing w:before="120"/>
        <w:jc w:val="center"/>
        <w:rPr>
          <w:u w:val="single"/>
          <w:rtl/>
          <w:lang w:bidi="ar-EG"/>
        </w:rPr>
      </w:pPr>
      <w:r>
        <w:rPr>
          <w:u w:val="single"/>
          <w:rtl/>
          <w:lang w:bidi="ar-EG"/>
        </w:rPr>
        <w:tab/>
      </w:r>
      <w:r>
        <w:rPr>
          <w:u w:val="single"/>
          <w:rtl/>
          <w:lang w:bidi="ar-EG"/>
        </w:rPr>
        <w:tab/>
      </w:r>
      <w:r>
        <w:rPr>
          <w:u w:val="single"/>
          <w:rtl/>
          <w:lang w:bidi="ar-EG"/>
        </w:rPr>
        <w:tab/>
      </w:r>
    </w:p>
    <w:sectPr w:rsidR="00326A32" w:rsidRPr="00326A32" w:rsidSect="00216F0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FD6" w:rsidRPr="002901D9" w:rsidRDefault="006B5FD6" w:rsidP="002901D9">
      <w:pPr>
        <w:spacing w:after="60" w:line="240" w:lineRule="auto"/>
        <w:rPr>
          <w:i/>
          <w:iCs/>
        </w:rPr>
      </w:pPr>
      <w:r>
        <w:rPr>
          <w:rFonts w:hint="cs"/>
          <w:i/>
          <w:iCs/>
          <w:rtl/>
        </w:rPr>
        <w:t>الحواشي</w:t>
      </w:r>
    </w:p>
  </w:endnote>
  <w:endnote w:type="continuationSeparator" w:id="0">
    <w:p w:rsidR="006B5FD6" w:rsidRDefault="006B5FD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F02" w:rsidRPr="00326A32" w:rsidRDefault="00326A32" w:rsidP="00326A32">
    <w:pPr>
      <w:pStyle w:val="Footer"/>
      <w:tabs>
        <w:tab w:val="right" w:pos="9598"/>
      </w:tabs>
      <w:rPr>
        <w:sz w:val="17"/>
      </w:rPr>
    </w:pPr>
    <w:r>
      <w:rPr>
        <w:sz w:val="17"/>
      </w:rPr>
      <w:t>GE.18-10721</w:t>
    </w:r>
    <w:r>
      <w:rPr>
        <w:sz w:val="17"/>
      </w:rPr>
      <w:tab/>
    </w:r>
    <w:r w:rsidRPr="00326A32">
      <w:rPr>
        <w:b/>
        <w:sz w:val="18"/>
      </w:rPr>
      <w:fldChar w:fldCharType="begin"/>
    </w:r>
    <w:r w:rsidRPr="00326A32">
      <w:rPr>
        <w:b/>
        <w:sz w:val="18"/>
      </w:rPr>
      <w:instrText xml:space="preserve"> PAGE  \* MERGEFORMAT </w:instrText>
    </w:r>
    <w:r w:rsidRPr="00326A32">
      <w:rPr>
        <w:b/>
        <w:sz w:val="18"/>
      </w:rPr>
      <w:fldChar w:fldCharType="separate"/>
    </w:r>
    <w:r w:rsidR="005D178F">
      <w:rPr>
        <w:b/>
        <w:noProof/>
        <w:sz w:val="18"/>
      </w:rPr>
      <w:t>4</w:t>
    </w:r>
    <w:r w:rsidRPr="00326A3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326A32" w:rsidRDefault="00326A32" w:rsidP="006959B0">
    <w:pPr>
      <w:pStyle w:val="Footer"/>
      <w:tabs>
        <w:tab w:val="right" w:pos="9599"/>
      </w:tabs>
      <w:jc w:val="left"/>
      <w:rPr>
        <w:b/>
        <w:sz w:val="18"/>
        <w:lang w:val="en-US"/>
      </w:rPr>
    </w:pPr>
    <w:r w:rsidRPr="00326A32">
      <w:rPr>
        <w:b/>
        <w:sz w:val="18"/>
        <w:lang w:val="en-US"/>
      </w:rPr>
      <w:fldChar w:fldCharType="begin"/>
    </w:r>
    <w:r w:rsidRPr="00326A32">
      <w:rPr>
        <w:b/>
        <w:sz w:val="18"/>
        <w:lang w:val="en-US"/>
      </w:rPr>
      <w:instrText xml:space="preserve"> PAGE  \* MERGEFORMAT </w:instrText>
    </w:r>
    <w:r w:rsidRPr="00326A32">
      <w:rPr>
        <w:b/>
        <w:sz w:val="18"/>
        <w:lang w:val="en-US"/>
      </w:rPr>
      <w:fldChar w:fldCharType="separate"/>
    </w:r>
    <w:r w:rsidR="005D178F">
      <w:rPr>
        <w:b/>
        <w:noProof/>
        <w:sz w:val="18"/>
        <w:lang w:val="en-US"/>
      </w:rPr>
      <w:t>5</w:t>
    </w:r>
    <w:r w:rsidRPr="00326A32">
      <w:rPr>
        <w:b/>
        <w:sz w:val="18"/>
        <w:lang w:val="en-US"/>
      </w:rPr>
      <w:fldChar w:fldCharType="end"/>
    </w:r>
    <w:r>
      <w:rPr>
        <w:b/>
        <w:sz w:val="18"/>
        <w:lang w:val="en-US"/>
      </w:rPr>
      <w:tab/>
    </w:r>
    <w:r>
      <w:rPr>
        <w:sz w:val="17"/>
        <w:lang w:val="en-US"/>
      </w:rPr>
      <w:t>GE.18-10721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216F02" w:rsidP="00F6741C">
    <w:pPr>
      <w:pStyle w:val="Footer"/>
      <w:spacing w:before="360"/>
      <w:jc w:val="right"/>
      <w:rPr>
        <w:sz w:val="20"/>
        <w:szCs w:val="20"/>
      </w:rPr>
    </w:pPr>
    <w:r>
      <w:rPr>
        <w:sz w:val="20"/>
        <w:szCs w:val="20"/>
      </w:rPr>
      <w:t>GE.18-10721</w:t>
    </w:r>
    <w:r w:rsidR="00FD4BC9">
      <w:rPr>
        <w:noProof/>
        <w:lang w:val="en-US" w:eastAsia="zh-CN"/>
      </w:rPr>
      <w:drawing>
        <wp:anchor distT="0" distB="0" distL="114300" distR="114300" simplePos="0" relativeHeight="251665408" behindDoc="1" locked="1" layoutInCell="0" allowOverlap="1" wp14:anchorId="6F915003" wp14:editId="34B7726F">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216F02" w:rsidRPr="00216F02" w:rsidRDefault="00216F02" w:rsidP="00216F0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FD6" w:rsidRPr="0054762C" w:rsidRDefault="006B5FD6" w:rsidP="000E524A">
      <w:pPr>
        <w:pStyle w:val="Footer"/>
        <w:bidi/>
        <w:spacing w:after="80" w:line="200" w:lineRule="exact"/>
        <w:ind w:left="680"/>
      </w:pPr>
      <w:r>
        <w:rPr>
          <w:rtl/>
        </w:rPr>
        <w:t>__________</w:t>
      </w:r>
    </w:p>
  </w:footnote>
  <w:footnote w:type="continuationSeparator" w:id="0">
    <w:p w:rsidR="006B5FD6" w:rsidRDefault="006B5FD6" w:rsidP="00656392">
      <w:pPr>
        <w:spacing w:line="240" w:lineRule="auto"/>
      </w:pPr>
      <w:r>
        <w:continuationSeparator/>
      </w:r>
    </w:p>
  </w:footnote>
  <w:footnote w:id="1">
    <w:p w:rsidR="00326A32" w:rsidRPr="00326A32" w:rsidRDefault="00326A32" w:rsidP="00326A32">
      <w:pPr>
        <w:pStyle w:val="FootnoteText"/>
        <w:spacing w:after="60" w:line="300" w:lineRule="exact"/>
        <w:ind w:left="1247" w:right="1247" w:hanging="567"/>
        <w:textDirection w:val="tbRlV"/>
        <w:rPr>
          <w:sz w:val="18"/>
          <w:szCs w:val="26"/>
          <w:rtl/>
          <w:lang w:eastAsia="zh-TW"/>
        </w:rPr>
      </w:pPr>
      <w:r>
        <w:rPr>
          <w:rFonts w:hint="cs"/>
          <w:sz w:val="18"/>
          <w:szCs w:val="26"/>
          <w:rtl/>
          <w:lang w:eastAsia="zh-TW"/>
        </w:rPr>
        <w:t>*</w:t>
      </w:r>
      <w:r>
        <w:rPr>
          <w:rFonts w:hint="cs"/>
          <w:sz w:val="18"/>
          <w:szCs w:val="26"/>
          <w:rtl/>
          <w:lang w:eastAsia="zh-TW"/>
        </w:rPr>
        <w:tab/>
      </w:r>
      <w:r w:rsidRPr="00326A32">
        <w:rPr>
          <w:sz w:val="18"/>
          <w:szCs w:val="26"/>
          <w:rtl/>
          <w:lang w:eastAsia="zh-TW"/>
        </w:rPr>
        <w:t>دولة غير عضو في مجلس حقوق الإنسان.</w:t>
      </w:r>
    </w:p>
  </w:footnote>
  <w:footnote w:id="2">
    <w:p w:rsidR="00326A32" w:rsidRPr="00326A32" w:rsidRDefault="00326A32" w:rsidP="00326A32">
      <w:pPr>
        <w:pStyle w:val="FootnoteText"/>
        <w:spacing w:after="60" w:line="300" w:lineRule="exact"/>
        <w:ind w:left="1247" w:right="1247" w:hanging="567"/>
        <w:textDirection w:val="tbRlV"/>
        <w:rPr>
          <w:sz w:val="18"/>
          <w:szCs w:val="26"/>
          <w:rtl/>
          <w:lang w:eastAsia="zh-TW" w:bidi="ar-EG"/>
        </w:rPr>
      </w:pPr>
      <w:r>
        <w:rPr>
          <w:rFonts w:hint="cs"/>
          <w:sz w:val="18"/>
          <w:szCs w:val="26"/>
          <w:rtl/>
          <w:lang w:eastAsia="zh-TW" w:bidi="ar-EG"/>
        </w:rPr>
        <w:t>(</w:t>
      </w:r>
      <w:r w:rsidRPr="00326A32">
        <w:rPr>
          <w:rStyle w:val="FootnoteReference"/>
          <w:szCs w:val="26"/>
          <w:vertAlign w:val="baseline"/>
          <w:lang w:eastAsia="zh-TW"/>
        </w:rPr>
        <w:footnoteRef/>
      </w:r>
      <w:r>
        <w:rPr>
          <w:rFonts w:hint="cs"/>
          <w:sz w:val="18"/>
          <w:szCs w:val="26"/>
          <w:rtl/>
          <w:lang w:eastAsia="zh-TW" w:bidi="ar-EG"/>
        </w:rPr>
        <w:t>)</w:t>
      </w:r>
      <w:r w:rsidRPr="00326A32">
        <w:rPr>
          <w:sz w:val="18"/>
          <w:szCs w:val="26"/>
          <w:lang w:eastAsia="zh-TW"/>
        </w:rPr>
        <w:tab/>
        <w:t>A/HRC/32/47</w:t>
      </w:r>
      <w:r w:rsidRPr="00326A32">
        <w:rPr>
          <w:sz w:val="18"/>
          <w:szCs w:val="26"/>
          <w:rtl/>
          <w:lang w:eastAsia="zh-TW"/>
        </w:rPr>
        <w:t>.</w:t>
      </w:r>
    </w:p>
  </w:footnote>
  <w:footnote w:id="3">
    <w:p w:rsidR="00326A32" w:rsidRPr="00326A32" w:rsidRDefault="00326A32" w:rsidP="00326A32">
      <w:pPr>
        <w:pStyle w:val="FootnoteText"/>
        <w:spacing w:after="60" w:line="300" w:lineRule="exact"/>
        <w:ind w:left="1247" w:right="1247" w:hanging="567"/>
        <w:textDirection w:val="tbRlV"/>
        <w:rPr>
          <w:sz w:val="18"/>
          <w:szCs w:val="26"/>
          <w:rtl/>
          <w:lang w:eastAsia="zh-TW"/>
        </w:rPr>
      </w:pPr>
      <w:r>
        <w:rPr>
          <w:rFonts w:hint="cs"/>
          <w:sz w:val="18"/>
          <w:szCs w:val="26"/>
          <w:rtl/>
          <w:lang w:eastAsia="zh-TW"/>
        </w:rPr>
        <w:t>(</w:t>
      </w:r>
      <w:r w:rsidRPr="00326A32">
        <w:rPr>
          <w:rStyle w:val="FootnoteReference"/>
          <w:szCs w:val="26"/>
          <w:vertAlign w:val="baseline"/>
          <w:lang w:eastAsia="zh-TW"/>
        </w:rPr>
        <w:footnoteRef/>
      </w:r>
      <w:r>
        <w:rPr>
          <w:rFonts w:hint="cs"/>
          <w:sz w:val="18"/>
          <w:szCs w:val="26"/>
          <w:rtl/>
          <w:lang w:eastAsia="zh-TW" w:bidi="ar-EG"/>
        </w:rPr>
        <w:t>)</w:t>
      </w:r>
      <w:r>
        <w:rPr>
          <w:sz w:val="18"/>
          <w:szCs w:val="26"/>
          <w:rtl/>
          <w:lang w:eastAsia="zh-TW"/>
        </w:rPr>
        <w:tab/>
      </w:r>
      <w:r w:rsidRPr="00326A32">
        <w:rPr>
          <w:sz w:val="18"/>
          <w:szCs w:val="26"/>
          <w:rtl/>
          <w:lang w:eastAsia="zh-TW"/>
        </w:rPr>
        <w:t>انظر</w:t>
      </w:r>
      <w:r>
        <w:rPr>
          <w:rFonts w:hint="cs"/>
          <w:sz w:val="18"/>
          <w:szCs w:val="26"/>
          <w:rtl/>
          <w:lang w:eastAsia="zh-TW"/>
        </w:rPr>
        <w:t xml:space="preserve"> </w:t>
      </w:r>
      <w:r w:rsidRPr="00326A32">
        <w:rPr>
          <w:sz w:val="18"/>
          <w:szCs w:val="26"/>
          <w:lang w:eastAsia="zh-TW"/>
        </w:rPr>
        <w:t>A/HRC/38/50</w:t>
      </w:r>
      <w:r w:rsidRPr="00326A32">
        <w:rPr>
          <w:sz w:val="18"/>
          <w:szCs w:val="26"/>
          <w:rtl/>
          <w:lang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F02" w:rsidRPr="00326A32" w:rsidRDefault="00326A32" w:rsidP="00326A32">
    <w:pPr>
      <w:pStyle w:val="Header"/>
      <w:jc w:val="right"/>
    </w:pPr>
    <w:r w:rsidRPr="00326A32">
      <w:t>A/HRC/38/L.15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F02" w:rsidRPr="00326A32" w:rsidRDefault="00326A32" w:rsidP="00326A32">
    <w:pPr>
      <w:pStyle w:val="Header"/>
      <w:jc w:val="left"/>
    </w:pPr>
    <w:r w:rsidRPr="00326A32">
      <w:t>A/HRC/38/L.15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6B5FD6"/>
    <w:rsid w:val="000076D5"/>
    <w:rsid w:val="00043663"/>
    <w:rsid w:val="000505CF"/>
    <w:rsid w:val="000D701C"/>
    <w:rsid w:val="000E2A71"/>
    <w:rsid w:val="000E524A"/>
    <w:rsid w:val="00160263"/>
    <w:rsid w:val="001773DB"/>
    <w:rsid w:val="00181F96"/>
    <w:rsid w:val="001A1371"/>
    <w:rsid w:val="001B346A"/>
    <w:rsid w:val="001E1CAD"/>
    <w:rsid w:val="001E290D"/>
    <w:rsid w:val="002144FA"/>
    <w:rsid w:val="00216F02"/>
    <w:rsid w:val="0023469A"/>
    <w:rsid w:val="00243C8A"/>
    <w:rsid w:val="00267A0E"/>
    <w:rsid w:val="002901D9"/>
    <w:rsid w:val="002976C2"/>
    <w:rsid w:val="00325CC1"/>
    <w:rsid w:val="003260FF"/>
    <w:rsid w:val="00326A32"/>
    <w:rsid w:val="00343D95"/>
    <w:rsid w:val="003660EF"/>
    <w:rsid w:val="00374341"/>
    <w:rsid w:val="003C1A8E"/>
    <w:rsid w:val="003D1062"/>
    <w:rsid w:val="003E159A"/>
    <w:rsid w:val="004205C7"/>
    <w:rsid w:val="00420D7B"/>
    <w:rsid w:val="00450B21"/>
    <w:rsid w:val="00453B63"/>
    <w:rsid w:val="00455780"/>
    <w:rsid w:val="004B0A1C"/>
    <w:rsid w:val="004D298E"/>
    <w:rsid w:val="004E32F4"/>
    <w:rsid w:val="00517BC9"/>
    <w:rsid w:val="005212F8"/>
    <w:rsid w:val="00527E4C"/>
    <w:rsid w:val="0054472E"/>
    <w:rsid w:val="0054762C"/>
    <w:rsid w:val="005662A9"/>
    <w:rsid w:val="0056764D"/>
    <w:rsid w:val="005817D9"/>
    <w:rsid w:val="005827D4"/>
    <w:rsid w:val="0059622A"/>
    <w:rsid w:val="005C5878"/>
    <w:rsid w:val="005C7CEA"/>
    <w:rsid w:val="005D178F"/>
    <w:rsid w:val="005D3C0B"/>
    <w:rsid w:val="005E5217"/>
    <w:rsid w:val="005F0FA4"/>
    <w:rsid w:val="005F30EE"/>
    <w:rsid w:val="0060473A"/>
    <w:rsid w:val="00606EDF"/>
    <w:rsid w:val="00656392"/>
    <w:rsid w:val="0068781D"/>
    <w:rsid w:val="006959B0"/>
    <w:rsid w:val="006B3E27"/>
    <w:rsid w:val="006B5FD6"/>
    <w:rsid w:val="006B6507"/>
    <w:rsid w:val="006C104C"/>
    <w:rsid w:val="006F1DCB"/>
    <w:rsid w:val="00733704"/>
    <w:rsid w:val="00740188"/>
    <w:rsid w:val="0078071A"/>
    <w:rsid w:val="0078625F"/>
    <w:rsid w:val="007A70BB"/>
    <w:rsid w:val="00852A9A"/>
    <w:rsid w:val="00871544"/>
    <w:rsid w:val="008930DB"/>
    <w:rsid w:val="00895D16"/>
    <w:rsid w:val="008F49E1"/>
    <w:rsid w:val="0090370F"/>
    <w:rsid w:val="009269D2"/>
    <w:rsid w:val="00942135"/>
    <w:rsid w:val="009521B0"/>
    <w:rsid w:val="009A7E9F"/>
    <w:rsid w:val="009E5018"/>
    <w:rsid w:val="00A12B37"/>
    <w:rsid w:val="00A407BF"/>
    <w:rsid w:val="00A50EC0"/>
    <w:rsid w:val="00A74331"/>
    <w:rsid w:val="00AB6758"/>
    <w:rsid w:val="00B13763"/>
    <w:rsid w:val="00B477A4"/>
    <w:rsid w:val="00B54045"/>
    <w:rsid w:val="00BA5E8B"/>
    <w:rsid w:val="00C022F5"/>
    <w:rsid w:val="00C438D7"/>
    <w:rsid w:val="00C53FE8"/>
    <w:rsid w:val="00C81B50"/>
    <w:rsid w:val="00CA655B"/>
    <w:rsid w:val="00CB3C3C"/>
    <w:rsid w:val="00CD1801"/>
    <w:rsid w:val="00D10EF1"/>
    <w:rsid w:val="00D42810"/>
    <w:rsid w:val="00D914A7"/>
    <w:rsid w:val="00DD13C3"/>
    <w:rsid w:val="00DD596E"/>
    <w:rsid w:val="00DD621E"/>
    <w:rsid w:val="00DF0575"/>
    <w:rsid w:val="00E70E04"/>
    <w:rsid w:val="00E72CA8"/>
    <w:rsid w:val="00EC05A7"/>
    <w:rsid w:val="00EC4B6B"/>
    <w:rsid w:val="00ED7442"/>
    <w:rsid w:val="00EE0B18"/>
    <w:rsid w:val="00EF1EE5"/>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7A6210B-2CA9-4E5D-B57B-F38AF221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qFormat/>
    <w:rsid w:val="00326A32"/>
    <w:pPr>
      <w:suppressAutoHyphens/>
      <w:bidi w:val="0"/>
      <w:spacing w:after="120"/>
      <w:ind w:left="1134" w:right="1134"/>
      <w:jc w:val="both"/>
    </w:pPr>
    <w:rPr>
      <w:lang w:val="en-GB"/>
    </w:rPr>
  </w:style>
  <w:style w:type="character" w:customStyle="1" w:styleId="SingleTxtGChar">
    <w:name w:val="_ Single Txt_G Char"/>
    <w:link w:val="SingleTxtG"/>
    <w:rsid w:val="00326A32"/>
    <w:rPr>
      <w:rFonts w:ascii="Times New Roman" w:hAnsi="Times New Roman" w:cs="Traditional Arabic"/>
      <w:sz w:val="20"/>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15&amp;Size=2&amp;Lang=A"/><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3BD51-5976-45A6-9F17-47B92ED7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5</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A/HRC/38/L.15</vt:lpstr>
    </vt:vector>
  </TitlesOfParts>
  <Company>DCM</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A/HRC/38/L.15</dc:title>
  <dc:subject>GE.1810721A</dc:subject>
  <dc:creator>bah/ASF</dc:creator>
  <cp:keywords>ODS No.1820172</cp:keywords>
  <dc:description>Distr.: Limited
3 July 2018
Original: English</dc:description>
  <cp:lastModifiedBy>   </cp:lastModifiedBy>
  <cp:revision>2</cp:revision>
  <dcterms:created xsi:type="dcterms:W3CDTF">2018-07-03T15:13:00Z</dcterms:created>
  <dcterms:modified xsi:type="dcterms:W3CDTF">2018-07-03T15:13:00Z</dcterms:modified>
  <cp:category>Final</cp:category>
</cp:coreProperties>
</file>