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181EFA" w:rsidRDefault="00181EFA" w:rsidP="000E62AA">
            <w:pPr>
              <w:spacing w:line="240" w:lineRule="atLeast"/>
              <w:jc w:val="right"/>
              <w:rPr>
                <w:sz w:val="20"/>
                <w:szCs w:val="21"/>
              </w:rPr>
            </w:pPr>
            <w:r w:rsidRPr="00181EFA">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L.36</w:t>
            </w:r>
            <w:proofErr w:type="spellEnd"/>
            <w:r>
              <w:rPr>
                <w:sz w:val="20"/>
                <w:szCs w:val="21"/>
              </w:rPr>
              <w:t>/</w:t>
            </w:r>
            <w:proofErr w:type="spellStart"/>
            <w:r>
              <w:rPr>
                <w:sz w:val="20"/>
                <w:szCs w:val="21"/>
              </w:rPr>
              <w:t>Rev.1</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181EFA" w:rsidRPr="00181EFA" w:rsidRDefault="00A1364C" w:rsidP="00181EFA">
            <w:pPr>
              <w:spacing w:before="240" w:line="240" w:lineRule="atLeast"/>
              <w:rPr>
                <w:sz w:val="20"/>
              </w:rPr>
            </w:pPr>
            <w:r w:rsidRPr="00F124C6">
              <w:rPr>
                <w:sz w:val="20"/>
              </w:rPr>
              <w:t xml:space="preserve">Distr.: </w:t>
            </w:r>
            <w:r w:rsidR="00181EFA" w:rsidRPr="00181EFA">
              <w:rPr>
                <w:sz w:val="20"/>
              </w:rPr>
              <w:t>Limited</w:t>
            </w:r>
          </w:p>
          <w:p w:rsidR="00A1364C" w:rsidRPr="00F124C6" w:rsidRDefault="00181EFA" w:rsidP="00181EFA">
            <w:pPr>
              <w:spacing w:line="240" w:lineRule="atLeast"/>
              <w:rPr>
                <w:sz w:val="20"/>
              </w:rPr>
            </w:pPr>
            <w:r w:rsidRPr="00181EFA">
              <w:rPr>
                <w:sz w:val="20"/>
              </w:rPr>
              <w:t>17 June 2020</w:t>
            </w:r>
          </w:p>
          <w:p w:rsidR="00A1364C" w:rsidRPr="00F124C6" w:rsidRDefault="00A1364C" w:rsidP="000E62AA">
            <w:pPr>
              <w:spacing w:line="240" w:lineRule="atLeast"/>
              <w:rPr>
                <w:sz w:val="20"/>
              </w:rPr>
            </w:pPr>
            <w:r w:rsidRPr="00F124C6">
              <w:rPr>
                <w:sz w:val="20"/>
              </w:rPr>
              <w:t xml:space="preserve">Chinese </w:t>
            </w:r>
          </w:p>
          <w:p w:rsidR="00A1364C" w:rsidRPr="00F124C6" w:rsidRDefault="00A1364C" w:rsidP="000E62AA">
            <w:pPr>
              <w:spacing w:line="240" w:lineRule="atLeast"/>
            </w:pPr>
            <w:r w:rsidRPr="00F124C6">
              <w:rPr>
                <w:sz w:val="20"/>
              </w:rPr>
              <w:t>Original: English</w:t>
            </w:r>
          </w:p>
        </w:tc>
      </w:tr>
    </w:tbl>
    <w:p w:rsidR="004108F9" w:rsidRPr="004108F9" w:rsidRDefault="004108F9" w:rsidP="004108F9">
      <w:pPr>
        <w:pStyle w:val="SingleTxtGC"/>
        <w:spacing w:before="120" w:after="0"/>
        <w:ind w:left="0"/>
        <w:rPr>
          <w:rFonts w:ascii="Time New Roman" w:eastAsia="黑体" w:hAnsi="Time New Roman" w:cstheme="majorBidi"/>
          <w:sz w:val="24"/>
          <w:szCs w:val="24"/>
        </w:rPr>
      </w:pPr>
      <w:r w:rsidRPr="004108F9">
        <w:rPr>
          <w:rFonts w:ascii="Time New Roman" w:eastAsia="黑体" w:hAnsi="Time New Roman" w:cstheme="majorBidi"/>
          <w:sz w:val="24"/>
          <w:szCs w:val="24"/>
        </w:rPr>
        <w:t>人权理事会</w:t>
      </w:r>
    </w:p>
    <w:p w:rsidR="004108F9" w:rsidRPr="004108F9" w:rsidRDefault="004108F9" w:rsidP="004108F9">
      <w:pPr>
        <w:pStyle w:val="SingleTxtGC"/>
        <w:spacing w:after="0"/>
        <w:ind w:left="0"/>
        <w:rPr>
          <w:rFonts w:ascii="Time New Roman" w:eastAsia="黑体" w:hAnsi="Time New Roman" w:cstheme="majorBidi"/>
          <w:szCs w:val="21"/>
        </w:rPr>
      </w:pPr>
      <w:r w:rsidRPr="004108F9">
        <w:rPr>
          <w:rFonts w:ascii="Time New Roman" w:eastAsia="黑体" w:hAnsi="Time New Roman" w:cstheme="majorBidi"/>
          <w:szCs w:val="21"/>
        </w:rPr>
        <w:t>第四十三届会议</w:t>
      </w:r>
    </w:p>
    <w:p w:rsidR="004108F9" w:rsidRPr="000125F0" w:rsidRDefault="004108F9" w:rsidP="004108F9">
      <w:pPr>
        <w:pStyle w:val="SingleTxtGC"/>
        <w:spacing w:after="0"/>
        <w:ind w:left="0"/>
        <w:rPr>
          <w:rFonts w:asciiTheme="majorBidi" w:hAnsiTheme="majorBidi" w:cstheme="majorBidi"/>
          <w:szCs w:val="21"/>
        </w:rPr>
      </w:pP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2</w:t>
      </w:r>
      <w:r w:rsidRPr="000125F0">
        <w:rPr>
          <w:rFonts w:asciiTheme="majorBidi" w:hAnsiTheme="majorBidi" w:cstheme="majorBidi"/>
          <w:szCs w:val="21"/>
        </w:rPr>
        <w:t>0</w:t>
      </w:r>
      <w:r w:rsidRPr="000125F0">
        <w:rPr>
          <w:rFonts w:asciiTheme="majorBidi" w:hAnsiTheme="majorBidi" w:cstheme="majorBidi"/>
          <w:szCs w:val="21"/>
        </w:rPr>
        <w:t>年</w:t>
      </w:r>
      <w:r>
        <w:rPr>
          <w:rFonts w:asciiTheme="majorBidi" w:hAnsiTheme="majorBidi" w:cstheme="majorBidi"/>
          <w:szCs w:val="21"/>
        </w:rPr>
        <w:t>2</w:t>
      </w:r>
      <w:r w:rsidRPr="000125F0">
        <w:rPr>
          <w:rFonts w:asciiTheme="majorBidi" w:hAnsiTheme="majorBidi" w:cstheme="majorBidi"/>
          <w:szCs w:val="21"/>
        </w:rPr>
        <w:t>月</w:t>
      </w:r>
      <w:r>
        <w:rPr>
          <w:rFonts w:asciiTheme="majorBidi" w:hAnsiTheme="majorBidi" w:cstheme="majorBidi"/>
          <w:szCs w:val="21"/>
        </w:rPr>
        <w:t>24</w:t>
      </w:r>
      <w:r w:rsidRPr="000125F0">
        <w:rPr>
          <w:rFonts w:asciiTheme="majorBidi" w:hAnsiTheme="majorBidi" w:cstheme="majorBidi"/>
          <w:szCs w:val="21"/>
        </w:rPr>
        <w:t>日至</w:t>
      </w:r>
      <w:r>
        <w:rPr>
          <w:rFonts w:asciiTheme="majorBidi" w:hAnsiTheme="majorBidi" w:cstheme="majorBidi"/>
          <w:szCs w:val="21"/>
        </w:rPr>
        <w:t>3</w:t>
      </w:r>
      <w:r w:rsidRPr="000125F0">
        <w:rPr>
          <w:rFonts w:asciiTheme="majorBidi" w:hAnsiTheme="majorBidi" w:cstheme="majorBidi"/>
          <w:szCs w:val="21"/>
        </w:rPr>
        <w:t>月</w:t>
      </w:r>
      <w:r>
        <w:rPr>
          <w:rFonts w:asciiTheme="majorBidi" w:hAnsiTheme="majorBidi" w:cstheme="majorBidi"/>
          <w:szCs w:val="21"/>
        </w:rPr>
        <w:t>2</w:t>
      </w:r>
      <w:r w:rsidRPr="000125F0">
        <w:rPr>
          <w:rFonts w:asciiTheme="majorBidi" w:hAnsiTheme="majorBidi" w:cstheme="majorBidi"/>
          <w:szCs w:val="21"/>
        </w:rPr>
        <w:t>0</w:t>
      </w:r>
      <w:r w:rsidRPr="000125F0">
        <w:rPr>
          <w:rFonts w:asciiTheme="majorBidi" w:hAnsiTheme="majorBidi" w:cstheme="majorBidi"/>
          <w:szCs w:val="21"/>
        </w:rPr>
        <w:t>日</w:t>
      </w:r>
    </w:p>
    <w:p w:rsidR="004108F9" w:rsidRPr="000125F0" w:rsidRDefault="004108F9" w:rsidP="004108F9">
      <w:pPr>
        <w:pStyle w:val="SingleTxtGC"/>
        <w:spacing w:after="0"/>
        <w:ind w:left="0"/>
        <w:rPr>
          <w:rFonts w:asciiTheme="majorBidi" w:hAnsiTheme="majorBidi" w:cstheme="majorBidi"/>
          <w:szCs w:val="21"/>
        </w:rPr>
      </w:pPr>
      <w:r w:rsidRPr="000125F0">
        <w:rPr>
          <w:rFonts w:asciiTheme="majorBidi" w:hAnsiTheme="majorBidi" w:cstheme="majorBidi"/>
          <w:szCs w:val="21"/>
        </w:rPr>
        <w:t>议程项目</w:t>
      </w:r>
      <w:r>
        <w:rPr>
          <w:rFonts w:asciiTheme="majorBidi" w:hAnsiTheme="majorBidi" w:cstheme="majorBidi"/>
          <w:szCs w:val="21"/>
        </w:rPr>
        <w:t>2</w:t>
      </w:r>
    </w:p>
    <w:p w:rsidR="004108F9" w:rsidRPr="004108F9" w:rsidRDefault="004108F9" w:rsidP="004108F9">
      <w:pPr>
        <w:pStyle w:val="SingleTxtGC"/>
        <w:spacing w:after="0"/>
        <w:ind w:left="0"/>
        <w:rPr>
          <w:rFonts w:ascii="Time New Roman" w:eastAsia="黑体" w:hAnsi="Time New Roman" w:cstheme="majorBidi"/>
          <w:szCs w:val="21"/>
        </w:rPr>
      </w:pPr>
      <w:r w:rsidRPr="004108F9">
        <w:rPr>
          <w:rFonts w:ascii="Time New Roman" w:eastAsia="黑体" w:hAnsi="Time New Roman" w:cstheme="majorBidi"/>
          <w:szCs w:val="21"/>
        </w:rPr>
        <w:t>联合国人权事务高级专员的年度报告</w:t>
      </w:r>
      <w:r>
        <w:rPr>
          <w:rFonts w:ascii="Time New Roman" w:eastAsia="黑体" w:hAnsi="Time New Roman" w:cstheme="majorBidi"/>
          <w:szCs w:val="21"/>
        </w:rPr>
        <w:br/>
      </w:r>
      <w:r w:rsidRPr="004108F9">
        <w:rPr>
          <w:rFonts w:ascii="Time New Roman" w:eastAsia="黑体" w:hAnsi="Time New Roman" w:cstheme="majorBidi"/>
          <w:szCs w:val="21"/>
        </w:rPr>
        <w:t>以及高级专员办事处的报告和秘书长的报告</w:t>
      </w:r>
    </w:p>
    <w:p w:rsidR="004108F9" w:rsidRPr="004108F9" w:rsidRDefault="004108F9" w:rsidP="00F37796">
      <w:pPr>
        <w:pStyle w:val="H23GC"/>
        <w:jc w:val="both"/>
      </w:pPr>
      <w:r w:rsidRPr="000125F0">
        <w:tab/>
      </w:r>
      <w:r w:rsidRPr="000125F0">
        <w:tab/>
      </w:r>
      <w:r w:rsidRPr="004108F9">
        <w:t>智利、古巴</w:t>
      </w:r>
      <w:r w:rsidRPr="004108F9">
        <w:rPr>
          <w:rStyle w:val="a8"/>
          <w:rFonts w:asciiTheme="majorBidi" w:eastAsia="宋体" w:hAnsiTheme="majorBidi" w:cstheme="majorBidi"/>
          <w:sz w:val="22"/>
          <w:vertAlign w:val="baseline"/>
        </w:rPr>
        <w:footnoteReference w:customMarkFollows="1" w:id="2"/>
        <w:t>*</w:t>
      </w:r>
      <w:r w:rsidRPr="004108F9">
        <w:t>、纳米比亚、巴基斯坦</w:t>
      </w:r>
      <w:r w:rsidRPr="004108F9">
        <w:rPr>
          <w:rStyle w:val="a8"/>
          <w:rFonts w:asciiTheme="majorBidi" w:eastAsia="宋体" w:hAnsiTheme="majorBidi" w:cstheme="majorBidi"/>
          <w:sz w:val="22"/>
          <w:vertAlign w:val="baseline"/>
        </w:rPr>
        <w:footnoteReference w:customMarkFollows="1" w:id="3"/>
        <w:t>**</w:t>
      </w:r>
      <w:r w:rsidRPr="004108F9">
        <w:t>、瑞士</w:t>
      </w:r>
      <w:r w:rsidRPr="004108F9">
        <w:t>*</w:t>
      </w:r>
      <w:r w:rsidR="00C5247D" w:rsidRPr="004108F9">
        <w:t>、</w:t>
      </w:r>
      <w:r w:rsidRPr="004108F9">
        <w:t>委内瑞拉玻利瓦尔共和国、巴勒斯坦国</w:t>
      </w:r>
      <w:r w:rsidRPr="004108F9">
        <w:t>*</w:t>
      </w:r>
      <w:r w:rsidRPr="004108F9">
        <w:t>：决议草案</w:t>
      </w:r>
    </w:p>
    <w:p w:rsidR="004108F9" w:rsidRPr="000125F0" w:rsidRDefault="004108F9" w:rsidP="00F37796">
      <w:pPr>
        <w:pStyle w:val="H1GC"/>
        <w:jc w:val="both"/>
      </w:pPr>
      <w:r>
        <w:tab/>
      </w:r>
      <w:r>
        <w:tab/>
      </w:r>
      <w:r>
        <w:t>43</w:t>
      </w:r>
      <w:r w:rsidRPr="000125F0">
        <w:t>/…</w:t>
      </w:r>
      <w:r>
        <w:br/>
      </w:r>
      <w:r w:rsidRPr="000125F0">
        <w:t>确保对包括东耶路撒冷在内的巴勒斯坦被占领土上的所有违反国际法行为追究责任并伸张正义</w:t>
      </w:r>
    </w:p>
    <w:p w:rsidR="004108F9" w:rsidRPr="00244701" w:rsidRDefault="004108F9" w:rsidP="00E37EC5">
      <w:pPr>
        <w:pStyle w:val="SingleTxtGC"/>
        <w:tabs>
          <w:tab w:val="clear" w:pos="1134"/>
          <w:tab w:val="clear" w:pos="1565"/>
          <w:tab w:val="clear" w:pos="1996"/>
          <w:tab w:val="clear" w:pos="2427"/>
          <w:tab w:val="left" w:pos="567"/>
        </w:tabs>
        <w:ind w:firstLine="431"/>
        <w:rPr>
          <w:rFonts w:ascii="Time New Roman" w:eastAsia="楷体" w:hAnsi="Time New Roman" w:cstheme="majorBidi"/>
          <w:szCs w:val="21"/>
        </w:rPr>
      </w:pPr>
      <w:r w:rsidRPr="00244701">
        <w:rPr>
          <w:rFonts w:ascii="Time New Roman" w:eastAsia="楷体" w:hAnsi="Time New Roman" w:cstheme="majorBidi"/>
          <w:szCs w:val="21"/>
        </w:rPr>
        <w:t>人权理事会，</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遵循</w:t>
      </w:r>
      <w:r w:rsidRPr="000125F0">
        <w:rPr>
          <w:rFonts w:asciiTheme="majorBidi" w:hAnsiTheme="majorBidi" w:cstheme="majorBidi"/>
          <w:szCs w:val="21"/>
        </w:rPr>
        <w:t>《联合国宪章》的宗旨和原则，</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回顾</w:t>
      </w:r>
      <w:r w:rsidRPr="000125F0">
        <w:rPr>
          <w:rFonts w:asciiTheme="majorBidi" w:hAnsiTheme="majorBidi" w:cstheme="majorBidi"/>
          <w:szCs w:val="21"/>
        </w:rPr>
        <w:t>国际法包括国际人道法和人权法的相关规则和原则，特别是适用于包括东耶路撒冷在内的巴勒斯坦被占领土的</w:t>
      </w:r>
      <w:r>
        <w:rPr>
          <w:rFonts w:asciiTheme="majorBidi" w:hAnsiTheme="majorBidi" w:cstheme="majorBidi"/>
          <w:szCs w:val="21"/>
        </w:rPr>
        <w:t>1949</w:t>
      </w:r>
      <w:r w:rsidRPr="000125F0">
        <w:rPr>
          <w:rFonts w:asciiTheme="majorBidi" w:hAnsiTheme="majorBidi" w:cstheme="majorBidi"/>
          <w:szCs w:val="21"/>
        </w:rPr>
        <w:t>年</w:t>
      </w:r>
      <w:r>
        <w:rPr>
          <w:rFonts w:asciiTheme="majorBidi" w:hAnsiTheme="majorBidi" w:cstheme="majorBidi"/>
          <w:szCs w:val="21"/>
        </w:rPr>
        <w:t>8</w:t>
      </w:r>
      <w:r w:rsidRPr="000125F0">
        <w:rPr>
          <w:rFonts w:asciiTheme="majorBidi" w:hAnsiTheme="majorBidi" w:cstheme="majorBidi"/>
          <w:szCs w:val="21"/>
        </w:rPr>
        <w:t>月</w:t>
      </w:r>
      <w:r>
        <w:rPr>
          <w:rFonts w:asciiTheme="majorBidi" w:hAnsiTheme="majorBidi" w:cstheme="majorBidi"/>
          <w:szCs w:val="21"/>
        </w:rPr>
        <w:t>12</w:t>
      </w:r>
      <w:r w:rsidRPr="000125F0">
        <w:rPr>
          <w:rFonts w:asciiTheme="majorBidi" w:hAnsiTheme="majorBidi" w:cstheme="majorBidi"/>
          <w:szCs w:val="21"/>
        </w:rPr>
        <w:t>日《关于战时保护平民之日内瓦公约》，</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又回顾</w:t>
      </w:r>
      <w:r w:rsidRPr="000125F0">
        <w:rPr>
          <w:rFonts w:asciiTheme="majorBidi" w:hAnsiTheme="majorBidi" w:cstheme="majorBidi"/>
          <w:szCs w:val="21"/>
        </w:rPr>
        <w:t>《世界人权宣言》和其他人权公约，包括《公民及政治权利国际公约》、《经济社会文化权利国际公约》和《儿童权利公约》，</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还回顾</w:t>
      </w:r>
      <w:r w:rsidRPr="000125F0">
        <w:rPr>
          <w:rFonts w:asciiTheme="majorBidi" w:hAnsiTheme="majorBidi" w:cstheme="majorBidi"/>
          <w:szCs w:val="21"/>
        </w:rPr>
        <w:t>《日内瓦第四公约》缔约国会议关于在包括东耶路撒冷在内的巴勒斯坦被占领土切实执行《公约》的措施的</w:t>
      </w:r>
      <w:r>
        <w:rPr>
          <w:rFonts w:asciiTheme="majorBidi" w:hAnsiTheme="majorBidi" w:cstheme="majorBidi"/>
          <w:szCs w:val="21"/>
        </w:rPr>
        <w:t>1999</w:t>
      </w:r>
      <w:r w:rsidRPr="000125F0">
        <w:rPr>
          <w:rFonts w:asciiTheme="majorBidi" w:hAnsiTheme="majorBidi" w:cstheme="majorBidi"/>
          <w:szCs w:val="21"/>
        </w:rPr>
        <w:t>年</w:t>
      </w:r>
      <w:r>
        <w:rPr>
          <w:rFonts w:asciiTheme="majorBidi" w:hAnsiTheme="majorBidi" w:cstheme="majorBidi"/>
          <w:szCs w:val="21"/>
        </w:rPr>
        <w:t>7</w:t>
      </w:r>
      <w:r w:rsidRPr="000125F0">
        <w:rPr>
          <w:rFonts w:asciiTheme="majorBidi" w:hAnsiTheme="majorBidi" w:cstheme="majorBidi"/>
          <w:szCs w:val="21"/>
        </w:rPr>
        <w:t>月</w:t>
      </w:r>
      <w:r>
        <w:rPr>
          <w:rFonts w:asciiTheme="majorBidi" w:hAnsiTheme="majorBidi" w:cstheme="majorBidi"/>
          <w:szCs w:val="21"/>
        </w:rPr>
        <w:t>15</w:t>
      </w:r>
      <w:r w:rsidRPr="000125F0">
        <w:rPr>
          <w:rFonts w:asciiTheme="majorBidi" w:hAnsiTheme="majorBidi" w:cstheme="majorBidi"/>
          <w:szCs w:val="21"/>
        </w:rPr>
        <w:t>日声明及</w:t>
      </w:r>
      <w:r>
        <w:rPr>
          <w:rFonts w:asciiTheme="majorBidi" w:hAnsiTheme="majorBidi" w:cstheme="majorBidi"/>
          <w:szCs w:val="21"/>
        </w:rPr>
        <w:t>2</w:t>
      </w:r>
      <w:r w:rsidRPr="000125F0">
        <w:rPr>
          <w:rFonts w:asciiTheme="majorBidi" w:hAnsiTheme="majorBidi" w:cstheme="majorBidi"/>
          <w:szCs w:val="21"/>
        </w:rPr>
        <w:t>00</w:t>
      </w:r>
      <w:r>
        <w:rPr>
          <w:rFonts w:asciiTheme="majorBidi" w:hAnsiTheme="majorBidi" w:cstheme="majorBidi"/>
          <w:szCs w:val="21"/>
        </w:rPr>
        <w:t>1</w:t>
      </w:r>
      <w:r w:rsidRPr="000125F0">
        <w:rPr>
          <w:rFonts w:asciiTheme="majorBidi" w:hAnsiTheme="majorBidi" w:cstheme="majorBidi"/>
          <w:szCs w:val="21"/>
        </w:rPr>
        <w:t>年</w:t>
      </w:r>
      <w:r>
        <w:rPr>
          <w:rFonts w:asciiTheme="majorBidi" w:hAnsiTheme="majorBidi" w:cstheme="majorBidi"/>
          <w:szCs w:val="21"/>
        </w:rPr>
        <w:t>12</w:t>
      </w:r>
      <w:r w:rsidRPr="000125F0">
        <w:rPr>
          <w:rFonts w:asciiTheme="majorBidi" w:hAnsiTheme="majorBidi" w:cstheme="majorBidi"/>
          <w:szCs w:val="21"/>
        </w:rPr>
        <w:t>月</w:t>
      </w:r>
      <w:r>
        <w:rPr>
          <w:rFonts w:asciiTheme="majorBidi" w:hAnsiTheme="majorBidi" w:cstheme="majorBidi"/>
          <w:szCs w:val="21"/>
        </w:rPr>
        <w:t>5</w:t>
      </w:r>
      <w:r w:rsidRPr="000125F0">
        <w:rPr>
          <w:rFonts w:asciiTheme="majorBidi" w:hAnsiTheme="majorBidi" w:cstheme="majorBidi"/>
          <w:szCs w:val="21"/>
        </w:rPr>
        <w:t>日和</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14</w:t>
      </w:r>
      <w:r w:rsidRPr="000125F0">
        <w:rPr>
          <w:rFonts w:asciiTheme="majorBidi" w:hAnsiTheme="majorBidi" w:cstheme="majorBidi"/>
          <w:szCs w:val="21"/>
        </w:rPr>
        <w:t>年</w:t>
      </w:r>
      <w:r>
        <w:rPr>
          <w:rFonts w:asciiTheme="majorBidi" w:hAnsiTheme="majorBidi" w:cstheme="majorBidi"/>
          <w:szCs w:val="21"/>
        </w:rPr>
        <w:t>12</w:t>
      </w:r>
      <w:r w:rsidRPr="000125F0">
        <w:rPr>
          <w:rFonts w:asciiTheme="majorBidi" w:hAnsiTheme="majorBidi" w:cstheme="majorBidi"/>
          <w:szCs w:val="21"/>
        </w:rPr>
        <w:t>月</w:t>
      </w:r>
      <w:r>
        <w:rPr>
          <w:rFonts w:asciiTheme="majorBidi" w:hAnsiTheme="majorBidi" w:cstheme="majorBidi"/>
          <w:szCs w:val="21"/>
        </w:rPr>
        <w:t>17</w:t>
      </w:r>
      <w:r w:rsidRPr="000125F0">
        <w:rPr>
          <w:rFonts w:asciiTheme="majorBidi" w:hAnsiTheme="majorBidi" w:cstheme="majorBidi"/>
          <w:szCs w:val="21"/>
        </w:rPr>
        <w:t>日通过的宣言，缔约国在会上特别重申，致力于履行确保在包括东耶路撒冷在内的巴勒斯坦被占领土遵守《公约》的义务，</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回顾</w:t>
      </w:r>
      <w:r w:rsidRPr="000125F0">
        <w:rPr>
          <w:rFonts w:asciiTheme="majorBidi" w:hAnsiTheme="majorBidi" w:cstheme="majorBidi"/>
          <w:szCs w:val="21"/>
        </w:rPr>
        <w:t>理事会有关决议，包括</w:t>
      </w:r>
      <w:r>
        <w:rPr>
          <w:rFonts w:asciiTheme="majorBidi" w:hAnsiTheme="majorBidi" w:cstheme="majorBidi"/>
          <w:szCs w:val="21"/>
        </w:rPr>
        <w:t>2</w:t>
      </w:r>
      <w:r w:rsidRPr="000125F0">
        <w:rPr>
          <w:rFonts w:asciiTheme="majorBidi" w:hAnsiTheme="majorBidi" w:cstheme="majorBidi"/>
          <w:szCs w:val="21"/>
        </w:rPr>
        <w:t>00</w:t>
      </w:r>
      <w:r>
        <w:rPr>
          <w:rFonts w:asciiTheme="majorBidi" w:hAnsiTheme="majorBidi" w:cstheme="majorBidi"/>
          <w:szCs w:val="21"/>
        </w:rPr>
        <w:t>9</w:t>
      </w:r>
      <w:r w:rsidRPr="000125F0">
        <w:rPr>
          <w:rFonts w:asciiTheme="majorBidi" w:hAnsiTheme="majorBidi" w:cstheme="majorBidi"/>
          <w:szCs w:val="21"/>
        </w:rPr>
        <w:t>年</w:t>
      </w:r>
      <w:r>
        <w:rPr>
          <w:rFonts w:asciiTheme="majorBidi" w:hAnsiTheme="majorBidi" w:cstheme="majorBidi"/>
          <w:szCs w:val="21"/>
        </w:rPr>
        <w:t>1</w:t>
      </w:r>
      <w:r w:rsidRPr="000125F0">
        <w:rPr>
          <w:rFonts w:asciiTheme="majorBidi" w:hAnsiTheme="majorBidi" w:cstheme="majorBidi"/>
          <w:szCs w:val="21"/>
        </w:rPr>
        <w:t>月</w:t>
      </w:r>
      <w:r>
        <w:rPr>
          <w:rFonts w:asciiTheme="majorBidi" w:hAnsiTheme="majorBidi" w:cstheme="majorBidi"/>
          <w:szCs w:val="21"/>
        </w:rPr>
        <w:t>12</w:t>
      </w:r>
      <w:r w:rsidRPr="000125F0">
        <w:rPr>
          <w:rFonts w:asciiTheme="majorBidi" w:hAnsiTheme="majorBidi" w:cstheme="majorBidi"/>
          <w:szCs w:val="21"/>
        </w:rPr>
        <w:t>日</w:t>
      </w:r>
      <w:r>
        <w:rPr>
          <w:rFonts w:asciiTheme="majorBidi" w:hAnsiTheme="majorBidi" w:cstheme="majorBidi"/>
          <w:szCs w:val="21"/>
        </w:rPr>
        <w:t>S</w:t>
      </w:r>
      <w:r w:rsidRPr="000125F0">
        <w:rPr>
          <w:rFonts w:asciiTheme="majorBidi" w:hAnsiTheme="majorBidi" w:cstheme="majorBidi"/>
          <w:szCs w:val="21"/>
        </w:rPr>
        <w:t>-</w:t>
      </w:r>
      <w:r>
        <w:rPr>
          <w:rFonts w:asciiTheme="majorBidi" w:hAnsiTheme="majorBidi" w:cstheme="majorBidi"/>
          <w:szCs w:val="21"/>
        </w:rPr>
        <w:t>9</w:t>
      </w:r>
      <w:r w:rsidRPr="000125F0">
        <w:rPr>
          <w:rFonts w:asciiTheme="majorBidi" w:hAnsiTheme="majorBidi" w:cstheme="majorBidi"/>
          <w:szCs w:val="21"/>
        </w:rPr>
        <w:t>/</w:t>
      </w:r>
      <w:r>
        <w:rPr>
          <w:rFonts w:asciiTheme="majorBidi" w:hAnsiTheme="majorBidi" w:cstheme="majorBidi"/>
          <w:szCs w:val="21"/>
        </w:rPr>
        <w:t>1</w:t>
      </w:r>
      <w:r w:rsidRPr="000125F0">
        <w:rPr>
          <w:rFonts w:asciiTheme="majorBidi" w:hAnsiTheme="majorBidi" w:cstheme="majorBidi"/>
          <w:szCs w:val="21"/>
        </w:rPr>
        <w:t>号决议、</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12</w:t>
      </w:r>
      <w:r w:rsidRPr="000125F0">
        <w:rPr>
          <w:rFonts w:asciiTheme="majorBidi" w:hAnsiTheme="majorBidi" w:cstheme="majorBidi"/>
          <w:szCs w:val="21"/>
        </w:rPr>
        <w:t>年</w:t>
      </w:r>
      <w:r>
        <w:rPr>
          <w:rFonts w:asciiTheme="majorBidi" w:hAnsiTheme="majorBidi" w:cstheme="majorBidi"/>
          <w:szCs w:val="21"/>
        </w:rPr>
        <w:t>3</w:t>
      </w:r>
      <w:r w:rsidRPr="000125F0">
        <w:rPr>
          <w:rFonts w:asciiTheme="majorBidi" w:hAnsiTheme="majorBidi" w:cstheme="majorBidi"/>
          <w:szCs w:val="21"/>
        </w:rPr>
        <w:t>月</w:t>
      </w:r>
      <w:r>
        <w:rPr>
          <w:rFonts w:asciiTheme="majorBidi" w:hAnsiTheme="majorBidi" w:cstheme="majorBidi"/>
          <w:szCs w:val="21"/>
        </w:rPr>
        <w:t>22</w:t>
      </w:r>
      <w:r w:rsidRPr="000125F0">
        <w:rPr>
          <w:rFonts w:asciiTheme="majorBidi" w:hAnsiTheme="majorBidi" w:cstheme="majorBidi"/>
          <w:szCs w:val="21"/>
        </w:rPr>
        <w:t>日第</w:t>
      </w:r>
      <w:r>
        <w:rPr>
          <w:rFonts w:asciiTheme="majorBidi" w:hAnsiTheme="majorBidi" w:cstheme="majorBidi"/>
          <w:szCs w:val="21"/>
        </w:rPr>
        <w:t>19</w:t>
      </w:r>
      <w:r w:rsidRPr="000125F0">
        <w:rPr>
          <w:rFonts w:asciiTheme="majorBidi" w:hAnsiTheme="majorBidi" w:cstheme="majorBidi"/>
          <w:szCs w:val="21"/>
        </w:rPr>
        <w:t>/</w:t>
      </w:r>
      <w:r>
        <w:rPr>
          <w:rFonts w:asciiTheme="majorBidi" w:hAnsiTheme="majorBidi" w:cstheme="majorBidi"/>
          <w:szCs w:val="21"/>
        </w:rPr>
        <w:t>17</w:t>
      </w:r>
      <w:r w:rsidRPr="000125F0">
        <w:rPr>
          <w:rFonts w:asciiTheme="majorBidi" w:hAnsiTheme="majorBidi" w:cstheme="majorBidi"/>
          <w:szCs w:val="21"/>
        </w:rPr>
        <w:t>号决议和、</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14</w:t>
      </w:r>
      <w:r w:rsidRPr="000125F0">
        <w:rPr>
          <w:rFonts w:asciiTheme="majorBidi" w:hAnsiTheme="majorBidi" w:cstheme="majorBidi"/>
          <w:szCs w:val="21"/>
        </w:rPr>
        <w:t>年</w:t>
      </w:r>
      <w:r>
        <w:rPr>
          <w:rFonts w:asciiTheme="majorBidi" w:hAnsiTheme="majorBidi" w:cstheme="majorBidi"/>
          <w:szCs w:val="21"/>
        </w:rPr>
        <w:t>7</w:t>
      </w:r>
      <w:r w:rsidRPr="000125F0">
        <w:rPr>
          <w:rFonts w:asciiTheme="majorBidi" w:hAnsiTheme="majorBidi" w:cstheme="majorBidi"/>
          <w:szCs w:val="21"/>
        </w:rPr>
        <w:t>月</w:t>
      </w:r>
      <w:r>
        <w:rPr>
          <w:rFonts w:asciiTheme="majorBidi" w:hAnsiTheme="majorBidi" w:cstheme="majorBidi"/>
          <w:szCs w:val="21"/>
        </w:rPr>
        <w:t>23</w:t>
      </w:r>
      <w:r w:rsidRPr="000125F0">
        <w:rPr>
          <w:rFonts w:asciiTheme="majorBidi" w:hAnsiTheme="majorBidi" w:cstheme="majorBidi"/>
          <w:szCs w:val="21"/>
        </w:rPr>
        <w:t>日</w:t>
      </w:r>
      <w:r>
        <w:rPr>
          <w:rFonts w:asciiTheme="majorBidi" w:hAnsiTheme="majorBidi" w:cstheme="majorBidi"/>
          <w:szCs w:val="21"/>
        </w:rPr>
        <w:t>S</w:t>
      </w:r>
      <w:r w:rsidRPr="000125F0">
        <w:rPr>
          <w:rFonts w:asciiTheme="majorBidi" w:hAnsiTheme="majorBidi" w:cstheme="majorBidi"/>
          <w:szCs w:val="21"/>
        </w:rPr>
        <w:t>-</w:t>
      </w:r>
      <w:r>
        <w:rPr>
          <w:rFonts w:asciiTheme="majorBidi" w:hAnsiTheme="majorBidi" w:cstheme="majorBidi"/>
          <w:szCs w:val="21"/>
        </w:rPr>
        <w:t>21</w:t>
      </w:r>
      <w:r w:rsidRPr="000125F0">
        <w:rPr>
          <w:rFonts w:asciiTheme="majorBidi" w:hAnsiTheme="majorBidi" w:cstheme="majorBidi"/>
          <w:szCs w:val="21"/>
        </w:rPr>
        <w:t>/</w:t>
      </w:r>
      <w:r>
        <w:rPr>
          <w:rFonts w:asciiTheme="majorBidi" w:hAnsiTheme="majorBidi" w:cstheme="majorBidi"/>
          <w:szCs w:val="21"/>
        </w:rPr>
        <w:t>1</w:t>
      </w:r>
      <w:r w:rsidRPr="000125F0">
        <w:rPr>
          <w:rFonts w:asciiTheme="majorBidi" w:hAnsiTheme="majorBidi" w:cstheme="majorBidi"/>
          <w:szCs w:val="21"/>
        </w:rPr>
        <w:t>号决议和</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18</w:t>
      </w:r>
      <w:r w:rsidRPr="000125F0">
        <w:rPr>
          <w:rFonts w:asciiTheme="majorBidi" w:hAnsiTheme="majorBidi" w:cstheme="majorBidi"/>
          <w:szCs w:val="21"/>
        </w:rPr>
        <w:t>年</w:t>
      </w:r>
      <w:r>
        <w:rPr>
          <w:rFonts w:asciiTheme="majorBidi" w:hAnsiTheme="majorBidi" w:cstheme="majorBidi"/>
          <w:szCs w:val="21"/>
        </w:rPr>
        <w:t>5</w:t>
      </w:r>
      <w:r w:rsidRPr="000125F0">
        <w:rPr>
          <w:rFonts w:asciiTheme="majorBidi" w:hAnsiTheme="majorBidi" w:cstheme="majorBidi"/>
          <w:szCs w:val="21"/>
        </w:rPr>
        <w:t>月</w:t>
      </w:r>
      <w:r>
        <w:rPr>
          <w:rFonts w:asciiTheme="majorBidi" w:hAnsiTheme="majorBidi" w:cstheme="majorBidi"/>
          <w:szCs w:val="21"/>
        </w:rPr>
        <w:t>18</w:t>
      </w:r>
      <w:r w:rsidRPr="000125F0">
        <w:rPr>
          <w:rFonts w:asciiTheme="majorBidi" w:hAnsiTheme="majorBidi" w:cstheme="majorBidi"/>
          <w:szCs w:val="21"/>
        </w:rPr>
        <w:t>日</w:t>
      </w:r>
      <w:r>
        <w:rPr>
          <w:rFonts w:asciiTheme="majorBidi" w:hAnsiTheme="majorBidi" w:cstheme="majorBidi"/>
          <w:szCs w:val="21"/>
        </w:rPr>
        <w:t>S</w:t>
      </w:r>
      <w:r w:rsidRPr="000125F0">
        <w:rPr>
          <w:rFonts w:asciiTheme="majorBidi" w:hAnsiTheme="majorBidi" w:cstheme="majorBidi"/>
          <w:szCs w:val="21"/>
        </w:rPr>
        <w:t>-</w:t>
      </w:r>
      <w:r>
        <w:rPr>
          <w:rFonts w:asciiTheme="majorBidi" w:hAnsiTheme="majorBidi" w:cstheme="majorBidi"/>
          <w:szCs w:val="21"/>
        </w:rPr>
        <w:t>28</w:t>
      </w:r>
      <w:r w:rsidRPr="000125F0">
        <w:rPr>
          <w:rFonts w:asciiTheme="majorBidi" w:hAnsiTheme="majorBidi" w:cstheme="majorBidi"/>
          <w:szCs w:val="21"/>
        </w:rPr>
        <w:t>/</w:t>
      </w:r>
      <w:r>
        <w:rPr>
          <w:rFonts w:asciiTheme="majorBidi" w:hAnsiTheme="majorBidi" w:cstheme="majorBidi"/>
          <w:szCs w:val="21"/>
        </w:rPr>
        <w:t>1</w:t>
      </w:r>
      <w:r w:rsidRPr="000125F0">
        <w:rPr>
          <w:rFonts w:asciiTheme="majorBidi" w:hAnsiTheme="majorBidi" w:cstheme="majorBidi"/>
          <w:szCs w:val="21"/>
        </w:rPr>
        <w:t>号决议，</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lastRenderedPageBreak/>
        <w:t>还回顾</w:t>
      </w:r>
      <w:r w:rsidRPr="000125F0">
        <w:rPr>
          <w:rFonts w:asciiTheme="majorBidi" w:hAnsiTheme="majorBidi" w:cstheme="majorBidi"/>
          <w:szCs w:val="21"/>
        </w:rPr>
        <w:t>巴勒斯坦被占领土抗议事件独立国际调查委员会的报告，</w:t>
      </w:r>
      <w:r w:rsidRPr="000125F0">
        <w:rPr>
          <w:rStyle w:val="a8"/>
          <w:rFonts w:asciiTheme="majorBidi" w:hAnsiTheme="majorBidi" w:cstheme="majorBidi"/>
          <w:szCs w:val="21"/>
        </w:rPr>
        <w:footnoteReference w:id="4"/>
      </w:r>
      <w:r w:rsidR="00955344">
        <w:rPr>
          <w:rFonts w:asciiTheme="majorBidi" w:hAnsiTheme="majorBidi" w:cstheme="majorBidi" w:hint="eastAsia"/>
          <w:szCs w:val="21"/>
        </w:rPr>
        <w:t xml:space="preserve"> </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14</w:t>
      </w:r>
      <w:r w:rsidRPr="000125F0">
        <w:rPr>
          <w:rFonts w:asciiTheme="majorBidi" w:hAnsiTheme="majorBidi" w:cstheme="majorBidi"/>
          <w:szCs w:val="21"/>
        </w:rPr>
        <w:t>年加沙冲突问题独立调查委员会的报告，</w:t>
      </w:r>
      <w:r w:rsidRPr="000125F0">
        <w:rPr>
          <w:rStyle w:val="a8"/>
          <w:rFonts w:asciiTheme="majorBidi" w:hAnsiTheme="majorBidi" w:cstheme="majorBidi"/>
          <w:szCs w:val="21"/>
        </w:rPr>
        <w:footnoteReference w:id="5"/>
      </w:r>
      <w:r w:rsidR="00955344">
        <w:rPr>
          <w:rFonts w:asciiTheme="majorBidi" w:hAnsiTheme="majorBidi" w:cstheme="majorBidi" w:hint="eastAsia"/>
          <w:szCs w:val="21"/>
        </w:rPr>
        <w:t xml:space="preserve"> </w:t>
      </w:r>
      <w:r w:rsidRPr="000125F0">
        <w:rPr>
          <w:rFonts w:asciiTheme="majorBidi" w:hAnsiTheme="majorBidi" w:cstheme="majorBidi"/>
          <w:szCs w:val="21"/>
        </w:rPr>
        <w:t>调查以色列定居点对包括东耶路撒冷在内的巴勒斯坦被占领土上的巴勒斯坦人的公民、政治、经济、社会和文化权利的影响的独立国际实况调查团的报告，</w:t>
      </w:r>
      <w:r w:rsidRPr="000125F0">
        <w:rPr>
          <w:rStyle w:val="a8"/>
          <w:rFonts w:asciiTheme="majorBidi" w:hAnsiTheme="majorBidi" w:cstheme="majorBidi"/>
          <w:szCs w:val="21"/>
        </w:rPr>
        <w:footnoteReference w:id="6"/>
      </w:r>
      <w:r w:rsidR="00955344">
        <w:rPr>
          <w:rFonts w:asciiTheme="majorBidi" w:hAnsiTheme="majorBidi" w:cstheme="majorBidi" w:hint="eastAsia"/>
          <w:szCs w:val="21"/>
        </w:rPr>
        <w:t xml:space="preserve"> </w:t>
      </w:r>
      <w:r w:rsidRPr="000125F0">
        <w:rPr>
          <w:rFonts w:asciiTheme="majorBidi" w:hAnsiTheme="majorBidi" w:cstheme="majorBidi"/>
          <w:szCs w:val="21"/>
        </w:rPr>
        <w:t>以及联合国加沙冲突问题实况调查团的报告，</w:t>
      </w:r>
      <w:r w:rsidRPr="000125F0">
        <w:rPr>
          <w:rStyle w:val="a8"/>
          <w:rFonts w:asciiTheme="majorBidi" w:hAnsiTheme="majorBidi" w:cstheme="majorBidi"/>
          <w:szCs w:val="21"/>
        </w:rPr>
        <w:footnoteReference w:id="7"/>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又回顾</w:t>
      </w:r>
      <w:r w:rsidRPr="000125F0">
        <w:rPr>
          <w:rFonts w:asciiTheme="majorBidi" w:hAnsiTheme="majorBidi" w:cstheme="majorBidi"/>
          <w:szCs w:val="21"/>
        </w:rPr>
        <w:t>国际法院</w:t>
      </w:r>
      <w:r>
        <w:rPr>
          <w:rFonts w:asciiTheme="majorBidi" w:hAnsiTheme="majorBidi" w:cstheme="majorBidi"/>
          <w:szCs w:val="21"/>
        </w:rPr>
        <w:t>2</w:t>
      </w:r>
      <w:r w:rsidRPr="000125F0">
        <w:rPr>
          <w:rFonts w:asciiTheme="majorBidi" w:hAnsiTheme="majorBidi" w:cstheme="majorBidi"/>
          <w:szCs w:val="21"/>
        </w:rPr>
        <w:t>00</w:t>
      </w:r>
      <w:r>
        <w:rPr>
          <w:rFonts w:asciiTheme="majorBidi" w:hAnsiTheme="majorBidi" w:cstheme="majorBidi"/>
          <w:szCs w:val="21"/>
        </w:rPr>
        <w:t>4</w:t>
      </w:r>
      <w:r w:rsidRPr="000125F0">
        <w:rPr>
          <w:rFonts w:asciiTheme="majorBidi" w:hAnsiTheme="majorBidi" w:cstheme="majorBidi"/>
          <w:szCs w:val="21"/>
        </w:rPr>
        <w:t>年</w:t>
      </w:r>
      <w:r>
        <w:rPr>
          <w:rFonts w:asciiTheme="majorBidi" w:hAnsiTheme="majorBidi" w:cstheme="majorBidi"/>
          <w:szCs w:val="21"/>
        </w:rPr>
        <w:t>7</w:t>
      </w:r>
      <w:r w:rsidRPr="000125F0">
        <w:rPr>
          <w:rFonts w:asciiTheme="majorBidi" w:hAnsiTheme="majorBidi" w:cstheme="majorBidi"/>
          <w:szCs w:val="21"/>
        </w:rPr>
        <w:t>月</w:t>
      </w:r>
      <w:r>
        <w:rPr>
          <w:rFonts w:asciiTheme="majorBidi" w:hAnsiTheme="majorBidi" w:cstheme="majorBidi"/>
          <w:szCs w:val="21"/>
        </w:rPr>
        <w:t>9</w:t>
      </w:r>
      <w:r w:rsidRPr="000125F0">
        <w:rPr>
          <w:rFonts w:asciiTheme="majorBidi" w:hAnsiTheme="majorBidi" w:cstheme="majorBidi"/>
          <w:szCs w:val="21"/>
        </w:rPr>
        <w:t>日发表的关于在巴勒斯坦被占领土修建隔离墙的法律后果的咨询意见，</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确认</w:t>
      </w:r>
      <w:r w:rsidRPr="000125F0">
        <w:rPr>
          <w:rFonts w:asciiTheme="majorBidi" w:hAnsiTheme="majorBidi" w:cstheme="majorBidi"/>
          <w:szCs w:val="21"/>
        </w:rPr>
        <w:t>巴勒斯坦、以色列及国际民间社会行为体和人权维护者在记录和反击在包括东耶路撒冷在内的巴勒斯坦被占领土违反国际法行为方面所做的工作，</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申明</w:t>
      </w:r>
      <w:r w:rsidRPr="000125F0">
        <w:rPr>
          <w:rFonts w:asciiTheme="majorBidi" w:hAnsiTheme="majorBidi" w:cstheme="majorBidi"/>
          <w:szCs w:val="21"/>
        </w:rPr>
        <w:t>各方均有义务遵守国际人道法和国际人权法，</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强调</w:t>
      </w:r>
      <w:r w:rsidRPr="000125F0">
        <w:rPr>
          <w:rFonts w:asciiTheme="majorBidi" w:hAnsiTheme="majorBidi" w:cstheme="majorBidi"/>
          <w:szCs w:val="21"/>
        </w:rPr>
        <w:t>有必要保障所有平民的安全和福祉，重申有义务确保在武装冲突中保护平民，</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严重关切</w:t>
      </w:r>
      <w:r w:rsidRPr="000125F0">
        <w:rPr>
          <w:rFonts w:asciiTheme="majorBidi" w:hAnsiTheme="majorBidi" w:cstheme="majorBidi"/>
          <w:szCs w:val="21"/>
        </w:rPr>
        <w:t>关于严重侵犯人权和严重违反国际人道法行为、包括可能犯下战争罪和危害人类罪的报告，包括独立国际调查委员会、实况调查团和秘书长召集的调查小组的调查结果，</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谴责</w:t>
      </w:r>
      <w:r w:rsidRPr="000125F0">
        <w:rPr>
          <w:rFonts w:asciiTheme="majorBidi" w:hAnsiTheme="majorBidi" w:cstheme="majorBidi"/>
          <w:szCs w:val="21"/>
        </w:rPr>
        <w:t>一切侵犯人权和违反国际人道法的行为，对在包括东耶路撒冷在内的巴勒斯坦被占领土造成的广泛和前所未有的破坏、死亡和人类痛苦感到震惊，</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强调</w:t>
      </w:r>
      <w:r w:rsidRPr="000125F0">
        <w:rPr>
          <w:rFonts w:asciiTheme="majorBidi" w:hAnsiTheme="majorBidi" w:cstheme="majorBidi"/>
          <w:szCs w:val="21"/>
        </w:rPr>
        <w:t>迫切需要毫不拖延地终止以色列从</w:t>
      </w:r>
      <w:r>
        <w:rPr>
          <w:rFonts w:asciiTheme="majorBidi" w:hAnsiTheme="majorBidi" w:cstheme="majorBidi"/>
          <w:szCs w:val="21"/>
        </w:rPr>
        <w:t>1967</w:t>
      </w:r>
      <w:r w:rsidRPr="000125F0">
        <w:rPr>
          <w:rFonts w:asciiTheme="majorBidi" w:hAnsiTheme="majorBidi" w:cstheme="majorBidi"/>
          <w:szCs w:val="21"/>
        </w:rPr>
        <w:t>年开始的占领，申明为维护人权和国际法有必要这样做，</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痛惜</w:t>
      </w:r>
      <w:r w:rsidRPr="000125F0">
        <w:rPr>
          <w:rFonts w:asciiTheme="majorBidi" w:hAnsiTheme="majorBidi" w:cstheme="majorBidi"/>
          <w:szCs w:val="21"/>
        </w:rPr>
        <w:t>以色列不与人权理事会所有实况调查团和独立调查委员会合作，拒绝允许寻求对包括东耶路撒冷在内的巴勒斯坦被占领土上的所有违反国际法行为的指控进行调查的国际人权机构和一些联合国特别程序进入，并拒绝给予合作，</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感到遗憾的是，</w:t>
      </w:r>
      <w:r w:rsidRPr="000125F0">
        <w:rPr>
          <w:rFonts w:asciiTheme="majorBidi" w:hAnsiTheme="majorBidi" w:cstheme="majorBidi"/>
          <w:szCs w:val="21"/>
        </w:rPr>
        <w:t>独立调查委员会和实况调查团的报告所载建议未得到执行，这种情况沿循了一贯不执行联合国机制和机构提出的建议的做法，</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感到震惊的是，</w:t>
      </w:r>
      <w:r w:rsidRPr="000125F0">
        <w:rPr>
          <w:rFonts w:asciiTheme="majorBidi" w:hAnsiTheme="majorBidi" w:cstheme="majorBidi"/>
          <w:szCs w:val="21"/>
        </w:rPr>
        <w:t>违反国际法行为长期一概不受惩罚，</w:t>
      </w:r>
      <w:proofErr w:type="gramStart"/>
      <w:r w:rsidRPr="000125F0">
        <w:rPr>
          <w:rFonts w:asciiTheme="majorBidi" w:hAnsiTheme="majorBidi" w:cstheme="majorBidi"/>
          <w:szCs w:val="21"/>
        </w:rPr>
        <w:t>令严重</w:t>
      </w:r>
      <w:proofErr w:type="gramEnd"/>
      <w:r w:rsidRPr="000125F0">
        <w:rPr>
          <w:rFonts w:asciiTheme="majorBidi" w:hAnsiTheme="majorBidi" w:cstheme="majorBidi"/>
          <w:szCs w:val="21"/>
        </w:rPr>
        <w:t>违法行为一再发生，而且无须承担后果；强调需要确保追究所有违反国际人道法和国际人权法行为的责任，以期制止有罪不罚现象，确保伸张正义，阻止进一步的违法行为，保护平民并促进和平，</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感到遗憾的是，</w:t>
      </w:r>
      <w:r w:rsidRPr="000125F0">
        <w:rPr>
          <w:rFonts w:asciiTheme="majorBidi" w:hAnsiTheme="majorBidi" w:cstheme="majorBidi"/>
          <w:szCs w:val="21"/>
        </w:rPr>
        <w:t>在按照国际法标准进行国内调查方面缺乏进展；意识到以色列民法和刑法系统存在大量法律、程序和实践上的障碍，造成巴勒斯坦受害者无法诉诸司法，也无法行使获得有效司法补救的权利，</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强调</w:t>
      </w:r>
      <w:r w:rsidRPr="000125F0">
        <w:rPr>
          <w:rFonts w:asciiTheme="majorBidi" w:hAnsiTheme="majorBidi" w:cstheme="majorBidi"/>
          <w:szCs w:val="21"/>
        </w:rPr>
        <w:t>各国有必要调查和起诉严重违反</w:t>
      </w:r>
      <w:r>
        <w:rPr>
          <w:rFonts w:asciiTheme="majorBidi" w:hAnsiTheme="majorBidi" w:cstheme="majorBidi"/>
          <w:szCs w:val="21"/>
        </w:rPr>
        <w:t>1949</w:t>
      </w:r>
      <w:r w:rsidRPr="000125F0">
        <w:rPr>
          <w:rFonts w:asciiTheme="majorBidi" w:hAnsiTheme="majorBidi" w:cstheme="majorBidi"/>
          <w:szCs w:val="21"/>
        </w:rPr>
        <w:t>年日内瓦四公约及其他国际人道法的行为，制止有罪不罚现象，履行确保遵守条约的义务，并促进国际问责，</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lastRenderedPageBreak/>
        <w:t>注意到</w:t>
      </w:r>
      <w:r w:rsidRPr="000125F0">
        <w:rPr>
          <w:rFonts w:asciiTheme="majorBidi" w:hAnsiTheme="majorBidi" w:cstheme="majorBidi"/>
          <w:szCs w:val="21"/>
        </w:rPr>
        <w:t>巴勒斯坦国于</w:t>
      </w:r>
      <w:r>
        <w:rPr>
          <w:rFonts w:asciiTheme="majorBidi" w:hAnsiTheme="majorBidi" w:cstheme="majorBidi"/>
          <w:szCs w:val="21"/>
        </w:rPr>
        <w:t>2</w:t>
      </w:r>
      <w:r w:rsidRPr="000125F0">
        <w:rPr>
          <w:rFonts w:asciiTheme="majorBidi" w:hAnsiTheme="majorBidi" w:cstheme="majorBidi"/>
          <w:szCs w:val="21"/>
        </w:rPr>
        <w:t>0</w:t>
      </w:r>
      <w:r>
        <w:rPr>
          <w:rFonts w:asciiTheme="majorBidi" w:hAnsiTheme="majorBidi" w:cstheme="majorBidi"/>
          <w:szCs w:val="21"/>
        </w:rPr>
        <w:t>15</w:t>
      </w:r>
      <w:r w:rsidRPr="000125F0">
        <w:rPr>
          <w:rFonts w:asciiTheme="majorBidi" w:hAnsiTheme="majorBidi" w:cstheme="majorBidi"/>
          <w:szCs w:val="21"/>
        </w:rPr>
        <w:t>年</w:t>
      </w:r>
      <w:r>
        <w:rPr>
          <w:rFonts w:asciiTheme="majorBidi" w:hAnsiTheme="majorBidi" w:cstheme="majorBidi"/>
          <w:szCs w:val="21"/>
        </w:rPr>
        <w:t>1</w:t>
      </w:r>
      <w:r w:rsidRPr="000125F0">
        <w:rPr>
          <w:rFonts w:asciiTheme="majorBidi" w:hAnsiTheme="majorBidi" w:cstheme="majorBidi"/>
          <w:szCs w:val="21"/>
        </w:rPr>
        <w:t>月</w:t>
      </w:r>
      <w:r>
        <w:rPr>
          <w:rFonts w:asciiTheme="majorBidi" w:hAnsiTheme="majorBidi" w:cstheme="majorBidi"/>
          <w:szCs w:val="21"/>
        </w:rPr>
        <w:t>2</w:t>
      </w:r>
      <w:r w:rsidRPr="000125F0">
        <w:rPr>
          <w:rFonts w:asciiTheme="majorBidi" w:hAnsiTheme="majorBidi" w:cstheme="majorBidi"/>
          <w:szCs w:val="21"/>
        </w:rPr>
        <w:t>日加入《国际刑事法院罗马规约》，</w:t>
      </w:r>
    </w:p>
    <w:p w:rsidR="004108F9" w:rsidRPr="000125F0" w:rsidRDefault="004108F9" w:rsidP="00E37EC5">
      <w:pPr>
        <w:pStyle w:val="SingleTxtGC"/>
        <w:tabs>
          <w:tab w:val="clear" w:pos="1134"/>
          <w:tab w:val="clear" w:pos="1565"/>
          <w:tab w:val="clear" w:pos="1996"/>
          <w:tab w:val="clear" w:pos="2427"/>
          <w:tab w:val="left" w:pos="567"/>
        </w:tabs>
        <w:ind w:firstLine="431"/>
        <w:rPr>
          <w:rFonts w:asciiTheme="majorBidi" w:hAnsiTheme="majorBidi" w:cstheme="majorBidi"/>
          <w:szCs w:val="21"/>
        </w:rPr>
      </w:pPr>
      <w:r w:rsidRPr="00244701">
        <w:rPr>
          <w:rFonts w:ascii="Time New Roman" w:eastAsia="楷体" w:hAnsi="Time New Roman" w:cstheme="majorBidi"/>
          <w:szCs w:val="21"/>
        </w:rPr>
        <w:t>认识到</w:t>
      </w:r>
      <w:r w:rsidRPr="000125F0">
        <w:rPr>
          <w:rFonts w:asciiTheme="majorBidi" w:hAnsiTheme="majorBidi" w:cstheme="majorBidi"/>
          <w:szCs w:val="21"/>
        </w:rPr>
        <w:t>生命权及和平集会和结社自由权对于充分享有各项人权的重要性，</w:t>
      </w:r>
    </w:p>
    <w:p w:rsidR="004108F9" w:rsidRPr="000125F0" w:rsidRDefault="004108F9" w:rsidP="00B8298C">
      <w:pPr>
        <w:pStyle w:val="SingleTxtGC"/>
        <w:ind w:firstLine="431"/>
      </w:pPr>
      <w:r>
        <w:t>1</w:t>
      </w:r>
      <w:r w:rsidRPr="000125F0">
        <w:t>.</w:t>
      </w:r>
      <w:r w:rsidR="00992AD7">
        <w:tab/>
      </w:r>
      <w:r w:rsidRPr="00244701">
        <w:rPr>
          <w:rFonts w:ascii="Time New Roman" w:eastAsia="楷体" w:hAnsi="Time New Roman" w:cstheme="majorBidi"/>
          <w:szCs w:val="21"/>
        </w:rPr>
        <w:t>吁请</w:t>
      </w:r>
      <w:r w:rsidRPr="000125F0">
        <w:t>所有承担义务者和联合国机构根据各自职责谋求执行巴勒斯坦被占领土抗议事件独立国际调查委员会，</w:t>
      </w:r>
      <w:r>
        <w:t>2</w:t>
      </w:r>
      <w:r w:rsidRPr="000125F0">
        <w:t>0</w:t>
      </w:r>
      <w:r>
        <w:t>14</w:t>
      </w:r>
      <w:r w:rsidRPr="000125F0">
        <w:t>年加沙冲突问题独立调查委员会，调查以色列定居点对包括东耶路撒冷在内的巴勒斯坦被占领土上的巴勒斯坦人的公民、政治、经济、社会和文化权利的影响的独立国际实况调查团及联合国加沙冲突问题实况调查团的报告所载建议；</w:t>
      </w:r>
    </w:p>
    <w:p w:rsidR="004108F9" w:rsidRPr="000125F0" w:rsidRDefault="004108F9" w:rsidP="00B8298C">
      <w:pPr>
        <w:pStyle w:val="SingleTxtGC"/>
        <w:ind w:firstLine="431"/>
      </w:pPr>
      <w:r>
        <w:t>2</w:t>
      </w:r>
      <w:r w:rsidRPr="000125F0">
        <w:t>.</w:t>
      </w:r>
      <w:r w:rsidRPr="000125F0">
        <w:tab/>
      </w:r>
      <w:r w:rsidRPr="00244701">
        <w:rPr>
          <w:rFonts w:ascii="Time New Roman" w:eastAsia="楷体" w:hAnsi="Time New Roman" w:cstheme="majorBidi"/>
          <w:szCs w:val="21"/>
        </w:rPr>
        <w:t>注意到</w:t>
      </w:r>
      <w:r w:rsidRPr="000125F0">
        <w:t>巴勒斯坦被占领土抗议事件独立国际调查委员会、</w:t>
      </w:r>
      <w:r>
        <w:t>2</w:t>
      </w:r>
      <w:r w:rsidRPr="000125F0">
        <w:t>0</w:t>
      </w:r>
      <w:r>
        <w:t>14</w:t>
      </w:r>
      <w:r w:rsidRPr="000125F0">
        <w:t>年加沙冲突问题独立调查委员会、调查以色列定居点对包括东耶路撒冷在内的巴勒斯坦被占领土上的巴勒斯坦人的公民、政治、经济、社会和文化权利的影响的独立国际实况调查团和联合国加沙冲突问题实况调查团的工作的重要性，并注意到为今后追究责任的工作所收集的有关严重违法行为的信息，尤其是关于据称违反国际法的行为人的信息的重要性；</w:t>
      </w:r>
    </w:p>
    <w:p w:rsidR="004108F9" w:rsidRPr="000125F0" w:rsidRDefault="004108F9" w:rsidP="00B8298C">
      <w:pPr>
        <w:pStyle w:val="SingleTxtGC"/>
        <w:ind w:firstLine="431"/>
      </w:pPr>
      <w:r>
        <w:t>3</w:t>
      </w:r>
      <w:r w:rsidRPr="000125F0">
        <w:t>.</w:t>
      </w:r>
      <w:r w:rsidRPr="000125F0">
        <w:tab/>
      </w:r>
      <w:r w:rsidRPr="00244701">
        <w:rPr>
          <w:rFonts w:ascii="Time New Roman" w:eastAsia="楷体" w:hAnsi="Time New Roman" w:cstheme="majorBidi"/>
          <w:szCs w:val="21"/>
        </w:rPr>
        <w:t>强调</w:t>
      </w:r>
      <w:r w:rsidRPr="000125F0">
        <w:t>有必要确保通过适当、公正和独立的国家或国际刑事司法机制，追究所有违反国际人道主义法和国际人权法的行为人的责任，确保为所有受害者提供有效补救，包括充分赔偿，并强调有必要采取实际措施实现这些目标，以确保为所有受害者伸张正义，并为防止以后的侵犯人权行为</w:t>
      </w:r>
      <w:proofErr w:type="gramStart"/>
      <w:r w:rsidRPr="000125F0">
        <w:t>作出</w:t>
      </w:r>
      <w:proofErr w:type="gramEnd"/>
      <w:r w:rsidRPr="000125F0">
        <w:t>贡献；</w:t>
      </w:r>
    </w:p>
    <w:p w:rsidR="004108F9" w:rsidRPr="000125F0" w:rsidRDefault="004108F9" w:rsidP="00B8298C">
      <w:pPr>
        <w:pStyle w:val="SingleTxtGC"/>
        <w:ind w:firstLine="431"/>
      </w:pPr>
      <w:r>
        <w:t>4</w:t>
      </w:r>
      <w:r w:rsidRPr="000125F0">
        <w:t>.</w:t>
      </w:r>
      <w:r w:rsidRPr="000125F0">
        <w:tab/>
      </w:r>
      <w:r w:rsidRPr="00244701">
        <w:rPr>
          <w:rFonts w:ascii="Time New Roman" w:eastAsia="楷体" w:hAnsi="Time New Roman" w:cstheme="majorBidi"/>
          <w:szCs w:val="21"/>
        </w:rPr>
        <w:t>强调</w:t>
      </w:r>
      <w:r w:rsidRPr="000125F0">
        <w:t>指出，为结束以巴冲突而</w:t>
      </w:r>
      <w:proofErr w:type="gramStart"/>
      <w:r w:rsidRPr="000125F0">
        <w:t>作出</w:t>
      </w:r>
      <w:proofErr w:type="gramEnd"/>
      <w:r w:rsidRPr="000125F0">
        <w:t>的一切努力应以遵守国际人道法和国际人权法为立足点，并应确保可信和全面地追究所有违反国际法行为的责任，以便实现可持续的和平；</w:t>
      </w:r>
    </w:p>
    <w:p w:rsidR="004108F9" w:rsidRPr="000125F0" w:rsidRDefault="004108F9" w:rsidP="00B8298C">
      <w:pPr>
        <w:pStyle w:val="SingleTxtGC"/>
        <w:ind w:firstLine="431"/>
      </w:pPr>
      <w:r>
        <w:t>5</w:t>
      </w:r>
      <w:r w:rsidRPr="000125F0">
        <w:t>.</w:t>
      </w:r>
      <w:r w:rsidRPr="000125F0">
        <w:tab/>
      </w:r>
      <w:r w:rsidRPr="00244701">
        <w:rPr>
          <w:rFonts w:ascii="Time New Roman" w:eastAsia="楷体" w:hAnsi="Time New Roman" w:cstheme="majorBidi"/>
          <w:szCs w:val="21"/>
        </w:rPr>
        <w:t>注意到</w:t>
      </w:r>
      <w:r w:rsidRPr="000125F0">
        <w:t>国际刑事法院于</w:t>
      </w:r>
      <w:r>
        <w:t>2</w:t>
      </w:r>
      <w:r w:rsidRPr="000125F0">
        <w:t>0</w:t>
      </w:r>
      <w:r>
        <w:t>19</w:t>
      </w:r>
      <w:r w:rsidRPr="000125F0">
        <w:t>年</w:t>
      </w:r>
      <w:r>
        <w:t>12</w:t>
      </w:r>
      <w:r w:rsidRPr="000125F0">
        <w:t>月</w:t>
      </w:r>
      <w:r>
        <w:t>2</w:t>
      </w:r>
      <w:r w:rsidRPr="000125F0">
        <w:t>0</w:t>
      </w:r>
      <w:r w:rsidRPr="000125F0">
        <w:t>日完成对巴勒斯坦局势的初步审查，国际刑事法院认定《罗马规约》规定的展开调查的所有法定标准均已符合；强调有必要尊重法院的任务和检察官独立性，并呼吁有关各方配合可能展开的任何调查；</w:t>
      </w:r>
    </w:p>
    <w:p w:rsidR="004108F9" w:rsidRPr="000125F0" w:rsidRDefault="004108F9" w:rsidP="00B8298C">
      <w:pPr>
        <w:pStyle w:val="SingleTxtGC"/>
        <w:ind w:firstLine="431"/>
      </w:pPr>
      <w:r>
        <w:t>6</w:t>
      </w:r>
      <w:r w:rsidRPr="000125F0">
        <w:t>.</w:t>
      </w:r>
      <w:r w:rsidRPr="000125F0">
        <w:tab/>
      </w:r>
      <w:r w:rsidRPr="00244701">
        <w:rPr>
          <w:rFonts w:ascii="Time New Roman" w:eastAsia="楷体" w:hAnsi="Time New Roman" w:cstheme="majorBidi"/>
          <w:szCs w:val="21"/>
        </w:rPr>
        <w:t>谴责</w:t>
      </w:r>
      <w:r w:rsidRPr="000125F0">
        <w:t>一切针对记录和反击在包括东耶路撒冷在内的巴勒斯坦被占领土违反国际法行为与有罪不罚现象的民间社会行为体和人权维护者的恐吓、威胁和剥夺其合法性的行为，吁请各国确保他们受到保护；</w:t>
      </w:r>
    </w:p>
    <w:p w:rsidR="004108F9" w:rsidRPr="000125F0" w:rsidRDefault="004108F9" w:rsidP="00B8298C">
      <w:pPr>
        <w:pStyle w:val="SingleTxtGC"/>
        <w:ind w:firstLine="431"/>
      </w:pPr>
      <w:r>
        <w:t>7</w:t>
      </w:r>
      <w:r w:rsidRPr="000125F0">
        <w:t>.</w:t>
      </w:r>
      <w:r w:rsidRPr="000125F0">
        <w:tab/>
      </w:r>
      <w:r w:rsidRPr="00244701">
        <w:rPr>
          <w:rFonts w:ascii="Time New Roman" w:eastAsia="楷体" w:hAnsi="Time New Roman" w:cstheme="majorBidi"/>
          <w:szCs w:val="21"/>
        </w:rPr>
        <w:t>谴责</w:t>
      </w:r>
      <w:r w:rsidRPr="000125F0">
        <w:t>对平民使用非法致命武力和其他过度武力，包括对手国际法特别保护的平民使用武力，他们并不对生命构成迫在眉睫的威胁；</w:t>
      </w:r>
    </w:p>
    <w:p w:rsidR="004108F9" w:rsidRPr="000125F0" w:rsidRDefault="004108F9" w:rsidP="00B8298C">
      <w:pPr>
        <w:pStyle w:val="SingleTxtGC"/>
        <w:ind w:firstLine="431"/>
      </w:pPr>
      <w:r>
        <w:t>8</w:t>
      </w:r>
      <w:r w:rsidRPr="000125F0">
        <w:t>.</w:t>
      </w:r>
      <w:r w:rsidRPr="000125F0">
        <w:tab/>
      </w:r>
      <w:r w:rsidRPr="00244701">
        <w:rPr>
          <w:rFonts w:ascii="Time New Roman" w:eastAsia="楷体" w:hAnsi="Time New Roman" w:cstheme="majorBidi"/>
          <w:szCs w:val="21"/>
        </w:rPr>
        <w:t>吁请</w:t>
      </w:r>
      <w:r w:rsidRPr="000125F0">
        <w:t>各方确保今后的示威游行具有和平性质，并且不要采取可能危及平民生命的行动；</w:t>
      </w:r>
    </w:p>
    <w:p w:rsidR="004108F9" w:rsidRPr="000125F0" w:rsidRDefault="004108F9" w:rsidP="00B8298C">
      <w:pPr>
        <w:pStyle w:val="SingleTxtGC"/>
        <w:ind w:firstLine="431"/>
      </w:pPr>
      <w:r>
        <w:t>9</w:t>
      </w:r>
      <w:r w:rsidRPr="000125F0">
        <w:t>.</w:t>
      </w:r>
      <w:r w:rsidRPr="000125F0">
        <w:tab/>
      </w:r>
      <w:r w:rsidRPr="00244701">
        <w:rPr>
          <w:rFonts w:ascii="Time New Roman" w:eastAsia="楷体" w:hAnsi="Time New Roman" w:cstheme="majorBidi"/>
          <w:szCs w:val="21"/>
        </w:rPr>
        <w:t>吁请</w:t>
      </w:r>
      <w:r w:rsidRPr="000125F0">
        <w:t>各国促进遵守国际法，并吁请《日内瓦第四公约》所有缔约方根据日内瓦四公约共同第一条，在包括东耶路撒冷在内的巴勒斯坦被占领土遵守国际人道法，并确保国际人道法得到遵守，履行它们根据该《公约》第一四六、一四七和一四八条在刑事制裁、严重违反公约行为和缔约国责任方面所承担的义务，包括确保它们不参与国际不法行为；并评估武器会用来犯下或助长严重违反国际人道法或人权法的行为的可能性；</w:t>
      </w:r>
    </w:p>
    <w:p w:rsidR="004108F9" w:rsidRPr="000125F0" w:rsidRDefault="004108F9" w:rsidP="00B8298C">
      <w:pPr>
        <w:pStyle w:val="SingleTxtGC"/>
        <w:ind w:firstLine="431"/>
      </w:pPr>
      <w:r>
        <w:lastRenderedPageBreak/>
        <w:t>1</w:t>
      </w:r>
      <w:r w:rsidRPr="000125F0">
        <w:t>0.</w:t>
      </w:r>
      <w:r w:rsidRPr="000125F0">
        <w:tab/>
      </w:r>
      <w:r w:rsidRPr="00244701">
        <w:rPr>
          <w:rFonts w:ascii="Time New Roman" w:eastAsia="楷体" w:hAnsi="Time New Roman" w:cstheme="majorBidi"/>
          <w:szCs w:val="21"/>
        </w:rPr>
        <w:t>请</w:t>
      </w:r>
      <w:r w:rsidRPr="000125F0">
        <w:t>联合国人权事务高级专员就各</w:t>
      </w:r>
      <w:bookmarkStart w:id="0" w:name="_GoBack"/>
      <w:bookmarkEnd w:id="0"/>
      <w:r w:rsidRPr="000125F0">
        <w:t>方如何能够履行义务，执行高级专员</w:t>
      </w:r>
      <w:r>
        <w:t>2</w:t>
      </w:r>
      <w:r w:rsidRPr="000125F0">
        <w:t>0</w:t>
      </w:r>
      <w:r>
        <w:t>17</w:t>
      </w:r>
      <w:r w:rsidRPr="000125F0">
        <w:t>年审查的建议，</w:t>
      </w:r>
      <w:r w:rsidRPr="000125F0">
        <w:rPr>
          <w:rStyle w:val="a8"/>
          <w:rFonts w:asciiTheme="majorBidi" w:hAnsiTheme="majorBidi" w:cstheme="majorBidi"/>
          <w:szCs w:val="21"/>
        </w:rPr>
        <w:footnoteReference w:id="8"/>
      </w:r>
      <w:r w:rsidR="00F37796">
        <w:rPr>
          <w:rFonts w:hint="eastAsia"/>
        </w:rPr>
        <w:t xml:space="preserve"> </w:t>
      </w:r>
      <w:r w:rsidRPr="000125F0">
        <w:t>包括各国为确保以色列和所有其他相关方在包括东耶路撒冷在内的巴勒斯坦被占领土遵守国际法之下的义务而采取的问</w:t>
      </w:r>
      <w:proofErr w:type="gramStart"/>
      <w:r w:rsidRPr="000125F0">
        <w:t>责措施</w:t>
      </w:r>
      <w:proofErr w:type="gramEnd"/>
      <w:r w:rsidRPr="000125F0">
        <w:t>和法律措施，提出报告，并向理事会第四十六届会议提交一份报告，之后进行互动对话；</w:t>
      </w:r>
    </w:p>
    <w:p w:rsidR="004108F9" w:rsidRPr="000125F0" w:rsidRDefault="004108F9" w:rsidP="00B8298C">
      <w:pPr>
        <w:pStyle w:val="SingleTxtGC"/>
        <w:ind w:firstLine="431"/>
      </w:pPr>
      <w:r>
        <w:t>11</w:t>
      </w:r>
      <w:r w:rsidRPr="000125F0">
        <w:t>.</w:t>
      </w:r>
      <w:r w:rsidRPr="000125F0">
        <w:tab/>
      </w:r>
      <w:r w:rsidRPr="00244701">
        <w:rPr>
          <w:rFonts w:ascii="Time New Roman" w:eastAsia="楷体" w:hAnsi="Time New Roman" w:cstheme="majorBidi"/>
          <w:szCs w:val="21"/>
        </w:rPr>
        <w:t>决定</w:t>
      </w:r>
      <w:r w:rsidRPr="000125F0">
        <w:t>继续处理此事。</w:t>
      </w:r>
    </w:p>
    <w:p w:rsidR="004108F9" w:rsidRPr="002D6A9C" w:rsidRDefault="004108F9">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4108F9" w:rsidRPr="002D6A9C"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2B" w:rsidRPr="000D319F" w:rsidRDefault="000A382B" w:rsidP="000D319F">
      <w:pPr>
        <w:pStyle w:val="af0"/>
        <w:spacing w:after="240"/>
        <w:ind w:left="907"/>
        <w:rPr>
          <w:rFonts w:asciiTheme="majorBidi" w:eastAsia="宋体" w:hAnsiTheme="majorBidi" w:cstheme="majorBidi"/>
          <w:sz w:val="21"/>
          <w:szCs w:val="21"/>
          <w:lang w:val="en-US"/>
        </w:rPr>
      </w:pPr>
    </w:p>
    <w:p w:rsidR="000A382B" w:rsidRPr="000D319F" w:rsidRDefault="000A382B"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0A382B" w:rsidRPr="000D319F" w:rsidRDefault="000A382B" w:rsidP="000D319F">
      <w:pPr>
        <w:pStyle w:val="af0"/>
      </w:pPr>
    </w:p>
  </w:endnote>
  <w:endnote w:type="continuationNotice" w:id="1">
    <w:p w:rsidR="000A382B" w:rsidRDefault="000A38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FA" w:rsidRPr="00181EFA" w:rsidRDefault="00181EFA" w:rsidP="00181EFA">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181EFA">
      <w:rPr>
        <w:rStyle w:val="af2"/>
        <w:b w:val="0"/>
        <w:snapToGrid w:val="0"/>
        <w:sz w:val="16"/>
      </w:rPr>
      <w:t>GE.20</w:t>
    </w:r>
    <w:proofErr w:type="spellEnd"/>
    <w:r w:rsidRPr="00181EFA">
      <w:rPr>
        <w:rStyle w:val="af2"/>
        <w:b w:val="0"/>
        <w:snapToGrid w:val="0"/>
        <w:sz w:val="16"/>
      </w:rPr>
      <w:t>-07993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EFA" w:rsidRPr="00181EFA" w:rsidRDefault="00181EFA" w:rsidP="00181EFA">
    <w:pPr>
      <w:pStyle w:val="af0"/>
      <w:tabs>
        <w:tab w:val="right" w:pos="9638"/>
      </w:tabs>
      <w:rPr>
        <w:rStyle w:val="af2"/>
      </w:rPr>
    </w:pPr>
    <w:proofErr w:type="spellStart"/>
    <w:r>
      <w:t>GE.20</w:t>
    </w:r>
    <w:proofErr w:type="spellEnd"/>
    <w:r>
      <w:t>-07993</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181EFA"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-07993</w:t>
    </w:r>
    <w:r w:rsidR="00731A42" w:rsidRPr="00EE277A">
      <w:rPr>
        <w:sz w:val="20"/>
        <w:lang w:eastAsia="zh-CN"/>
      </w:rPr>
      <w:t xml:space="preserve"> (C)</w:t>
    </w:r>
    <w:r w:rsidR="008B4347">
      <w:rPr>
        <w:sz w:val="20"/>
        <w:lang w:eastAsia="zh-CN"/>
      </w:rPr>
      <w:tab/>
    </w:r>
    <w:r w:rsidR="00C5247D">
      <w:rPr>
        <w:sz w:val="20"/>
        <w:lang w:eastAsia="zh-CN"/>
      </w:rPr>
      <w:t>1706</w:t>
    </w:r>
    <w:r w:rsidR="007803C3">
      <w:rPr>
        <w:sz w:val="20"/>
        <w:lang w:eastAsia="zh-CN"/>
      </w:rPr>
      <w:t>20</w:t>
    </w:r>
    <w:r w:rsidR="00731A42">
      <w:rPr>
        <w:sz w:val="20"/>
        <w:lang w:eastAsia="zh-CN"/>
      </w:rPr>
      <w:tab/>
    </w:r>
    <w:r w:rsidR="00C5247D">
      <w:rPr>
        <w:sz w:val="20"/>
        <w:lang w:eastAsia="zh-CN"/>
      </w:rPr>
      <w:t>1706</w:t>
    </w:r>
    <w:r w:rsidR="007803C3">
      <w:rPr>
        <w:sz w:val="20"/>
        <w:lang w:eastAsia="zh-CN"/>
      </w:rPr>
      <w:t>20</w:t>
    </w:r>
  </w:p>
  <w:p w:rsidR="00056632" w:rsidRPr="00487939" w:rsidRDefault="00181EFA"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2B" w:rsidRPr="000157B1" w:rsidRDefault="000A382B"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0A382B" w:rsidRPr="000157B1" w:rsidRDefault="000A382B"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0A382B" w:rsidRDefault="000A382B"/>
  </w:footnote>
  <w:footnote w:id="2">
    <w:p w:rsidR="004108F9" w:rsidRPr="00237BBC" w:rsidRDefault="004108F9" w:rsidP="00C5247D">
      <w:pPr>
        <w:pStyle w:val="a6"/>
      </w:pPr>
      <w:r w:rsidRPr="00C5247D">
        <w:rPr>
          <w:rStyle w:val="a8"/>
          <w:sz w:val="22"/>
          <w:szCs w:val="21"/>
          <w:vertAlign w:val="baseline"/>
        </w:rPr>
        <w:tab/>
      </w:r>
      <w:r w:rsidRPr="00C5247D">
        <w:rPr>
          <w:rStyle w:val="a8"/>
          <w:szCs w:val="21"/>
          <w:vertAlign w:val="baseline"/>
        </w:rPr>
        <w:t>*</w:t>
      </w:r>
      <w:r w:rsidRPr="00C5247D">
        <w:rPr>
          <w:rStyle w:val="a8"/>
          <w:szCs w:val="21"/>
          <w:vertAlign w:val="baseline"/>
        </w:rPr>
        <w:tab/>
      </w:r>
      <w:r>
        <w:t>非人权理事会成员国</w:t>
      </w:r>
      <w:r>
        <w:rPr>
          <w:rFonts w:ascii="宋体" w:hAnsi="宋体" w:cs="宋体" w:hint="eastAsia"/>
        </w:rPr>
        <w:t>。</w:t>
      </w:r>
    </w:p>
  </w:footnote>
  <w:footnote w:id="3">
    <w:p w:rsidR="004108F9" w:rsidRPr="00237BBC" w:rsidRDefault="004108F9" w:rsidP="00C5247D">
      <w:pPr>
        <w:pStyle w:val="a6"/>
        <w:rPr>
          <w:szCs w:val="18"/>
        </w:rPr>
      </w:pPr>
      <w:r w:rsidRPr="00C5247D">
        <w:rPr>
          <w:rStyle w:val="a8"/>
          <w:sz w:val="22"/>
          <w:szCs w:val="21"/>
          <w:vertAlign w:val="baseline"/>
        </w:rPr>
        <w:tab/>
      </w:r>
      <w:r w:rsidRPr="00C5247D">
        <w:rPr>
          <w:rStyle w:val="a8"/>
          <w:szCs w:val="21"/>
          <w:vertAlign w:val="baseline"/>
        </w:rPr>
        <w:t>**</w:t>
      </w:r>
      <w:r w:rsidRPr="00C5247D">
        <w:rPr>
          <w:rStyle w:val="a8"/>
          <w:sz w:val="22"/>
          <w:vertAlign w:val="baseline"/>
        </w:rPr>
        <w:tab/>
      </w:r>
      <w:r>
        <w:t>代表属于伊斯兰合作组织成员的联合国会员国</w:t>
      </w:r>
      <w:r>
        <w:rPr>
          <w:rFonts w:ascii="宋体" w:hAnsi="宋体" w:cs="宋体" w:hint="eastAsia"/>
        </w:rPr>
        <w:t>。</w:t>
      </w:r>
    </w:p>
  </w:footnote>
  <w:footnote w:id="4">
    <w:p w:rsidR="004108F9" w:rsidRDefault="00C5247D" w:rsidP="00C5247D">
      <w:pPr>
        <w:pStyle w:val="a6"/>
        <w:rPr>
          <w:rFonts w:hint="eastAsia"/>
        </w:rPr>
      </w:pPr>
      <w:r>
        <w:tab/>
      </w:r>
      <w:r w:rsidR="004108F9">
        <w:rPr>
          <w:rStyle w:val="a8"/>
        </w:rPr>
        <w:footnoteRef/>
      </w:r>
      <w:r>
        <w:tab/>
      </w:r>
      <w:r w:rsidR="004108F9">
        <w:t>A/</w:t>
      </w:r>
      <w:proofErr w:type="spellStart"/>
      <w:r w:rsidR="004108F9">
        <w:t>HRC</w:t>
      </w:r>
      <w:proofErr w:type="spellEnd"/>
      <w:r w:rsidR="004108F9">
        <w:t>/40/74</w:t>
      </w:r>
      <w:r w:rsidR="004108F9">
        <w:rPr>
          <w:rFonts w:hint="eastAsia"/>
        </w:rPr>
        <w:t>。</w:t>
      </w:r>
    </w:p>
  </w:footnote>
  <w:footnote w:id="5">
    <w:p w:rsidR="004108F9" w:rsidRDefault="00C5247D" w:rsidP="004108F9">
      <w:pPr>
        <w:pStyle w:val="a6"/>
      </w:pPr>
      <w:r>
        <w:tab/>
      </w:r>
      <w:r w:rsidR="004108F9">
        <w:rPr>
          <w:rStyle w:val="a8"/>
        </w:rPr>
        <w:footnoteRef/>
      </w:r>
      <w:r>
        <w:tab/>
      </w:r>
      <w:r w:rsidR="004108F9">
        <w:t>A/</w:t>
      </w:r>
      <w:proofErr w:type="spellStart"/>
      <w:r w:rsidR="004108F9">
        <w:t>HRC</w:t>
      </w:r>
      <w:proofErr w:type="spellEnd"/>
      <w:r w:rsidR="004108F9">
        <w:t>/29/52</w:t>
      </w:r>
      <w:r w:rsidR="004108F9">
        <w:rPr>
          <w:rFonts w:hint="eastAsia"/>
        </w:rPr>
        <w:t>。</w:t>
      </w:r>
    </w:p>
  </w:footnote>
  <w:footnote w:id="6">
    <w:p w:rsidR="004108F9" w:rsidRDefault="00C5247D" w:rsidP="00C5247D">
      <w:pPr>
        <w:pStyle w:val="a6"/>
      </w:pPr>
      <w:r>
        <w:tab/>
      </w:r>
      <w:r w:rsidR="004108F9">
        <w:rPr>
          <w:rStyle w:val="a8"/>
        </w:rPr>
        <w:footnoteRef/>
      </w:r>
      <w:r>
        <w:tab/>
      </w:r>
      <w:r w:rsidR="004108F9">
        <w:t>A/</w:t>
      </w:r>
      <w:proofErr w:type="spellStart"/>
      <w:r w:rsidR="004108F9">
        <w:t>HRC</w:t>
      </w:r>
      <w:proofErr w:type="spellEnd"/>
      <w:r w:rsidR="004108F9">
        <w:t>/22/63</w:t>
      </w:r>
      <w:r w:rsidR="004108F9">
        <w:rPr>
          <w:rFonts w:hint="eastAsia"/>
        </w:rPr>
        <w:t>。</w:t>
      </w:r>
    </w:p>
  </w:footnote>
  <w:footnote w:id="7">
    <w:p w:rsidR="004108F9" w:rsidRDefault="00C5247D" w:rsidP="004108F9">
      <w:pPr>
        <w:pStyle w:val="a6"/>
      </w:pPr>
      <w:r>
        <w:tab/>
      </w:r>
      <w:r w:rsidR="004108F9">
        <w:rPr>
          <w:rStyle w:val="a8"/>
        </w:rPr>
        <w:footnoteRef/>
      </w:r>
      <w:r>
        <w:tab/>
      </w:r>
      <w:r w:rsidR="004108F9">
        <w:t>A/</w:t>
      </w:r>
      <w:proofErr w:type="spellStart"/>
      <w:r w:rsidR="004108F9">
        <w:t>HRC</w:t>
      </w:r>
      <w:proofErr w:type="spellEnd"/>
      <w:r w:rsidR="004108F9">
        <w:t>/12/48</w:t>
      </w:r>
      <w:r w:rsidR="004108F9">
        <w:rPr>
          <w:rFonts w:hint="eastAsia"/>
        </w:rPr>
        <w:t>。</w:t>
      </w:r>
    </w:p>
  </w:footnote>
  <w:footnote w:id="8">
    <w:p w:rsidR="004108F9" w:rsidRDefault="00E37EC5" w:rsidP="00E37EC5">
      <w:pPr>
        <w:pStyle w:val="a6"/>
      </w:pPr>
      <w:r>
        <w:tab/>
      </w:r>
      <w:r w:rsidR="004108F9">
        <w:rPr>
          <w:rStyle w:val="a8"/>
        </w:rPr>
        <w:footnoteRef/>
      </w:r>
      <w:r>
        <w:tab/>
      </w:r>
      <w:r w:rsidR="004108F9">
        <w:rPr>
          <w:rFonts w:hint="eastAsia"/>
        </w:rPr>
        <w:t>见</w:t>
      </w:r>
      <w:r w:rsidR="004108F9">
        <w:t>A/</w:t>
      </w:r>
      <w:proofErr w:type="spellStart"/>
      <w:r w:rsidR="004108F9">
        <w:t>HRC</w:t>
      </w:r>
      <w:proofErr w:type="spellEnd"/>
      <w:r w:rsidR="004108F9">
        <w:t>/35/19</w:t>
      </w:r>
      <w:r w:rsidR="004108F9">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181EFA" w:rsidP="00181EFA">
    <w:pPr>
      <w:pStyle w:val="af3"/>
    </w:pPr>
    <w:r>
      <w:t>A/</w:t>
    </w:r>
    <w:proofErr w:type="spellStart"/>
    <w:r>
      <w:t>HRC</w:t>
    </w:r>
    <w:proofErr w:type="spellEnd"/>
    <w:r>
      <w:t>/43/</w:t>
    </w:r>
    <w:proofErr w:type="spellStart"/>
    <w:r>
      <w:t>L.36</w:t>
    </w:r>
    <w:proofErr w:type="spellEnd"/>
    <w:r>
      <w:t>/</w:t>
    </w:r>
    <w:proofErr w:type="spellStart"/>
    <w: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181EFA" w:rsidP="00181EFA">
    <w:pPr>
      <w:pStyle w:val="af3"/>
      <w:jc w:val="right"/>
    </w:pPr>
    <w:r>
      <w:t>A/</w:t>
    </w:r>
    <w:proofErr w:type="spellStart"/>
    <w:r>
      <w:t>HRC</w:t>
    </w:r>
    <w:proofErr w:type="spellEnd"/>
    <w:r>
      <w:t>/43/</w:t>
    </w:r>
    <w:proofErr w:type="spellStart"/>
    <w:r>
      <w:t>L.36</w:t>
    </w:r>
    <w:proofErr w:type="spellEnd"/>
    <w:r>
      <w:t>/</w:t>
    </w:r>
    <w:proofErr w:type="spellStart"/>
    <w:r>
      <w:t>Rev.1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2"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382B"/>
    <w:rsid w:val="00011483"/>
    <w:rsid w:val="00054E5E"/>
    <w:rsid w:val="000A382B"/>
    <w:rsid w:val="000D319F"/>
    <w:rsid w:val="000D6BBD"/>
    <w:rsid w:val="000E4D0E"/>
    <w:rsid w:val="000E62AA"/>
    <w:rsid w:val="00144B69"/>
    <w:rsid w:val="00152D5C"/>
    <w:rsid w:val="00153E86"/>
    <w:rsid w:val="00181EFA"/>
    <w:rsid w:val="00186C47"/>
    <w:rsid w:val="001B16DD"/>
    <w:rsid w:val="001B1BD1"/>
    <w:rsid w:val="001C3EF2"/>
    <w:rsid w:val="001D17F6"/>
    <w:rsid w:val="00204B42"/>
    <w:rsid w:val="0022146A"/>
    <w:rsid w:val="002231C3"/>
    <w:rsid w:val="0024417F"/>
    <w:rsid w:val="00244701"/>
    <w:rsid w:val="00250F8D"/>
    <w:rsid w:val="00256232"/>
    <w:rsid w:val="002939D6"/>
    <w:rsid w:val="002B3AC7"/>
    <w:rsid w:val="002E1C97"/>
    <w:rsid w:val="002F5834"/>
    <w:rsid w:val="00326EBF"/>
    <w:rsid w:val="00327FE4"/>
    <w:rsid w:val="00346D15"/>
    <w:rsid w:val="0037569F"/>
    <w:rsid w:val="003C0C9C"/>
    <w:rsid w:val="004108F9"/>
    <w:rsid w:val="00427F63"/>
    <w:rsid w:val="00474C6B"/>
    <w:rsid w:val="004972E2"/>
    <w:rsid w:val="004C4A0A"/>
    <w:rsid w:val="00557D9A"/>
    <w:rsid w:val="005C00B0"/>
    <w:rsid w:val="005E01D9"/>
    <w:rsid w:val="005E3084"/>
    <w:rsid w:val="005E3A08"/>
    <w:rsid w:val="005E403A"/>
    <w:rsid w:val="00623FC4"/>
    <w:rsid w:val="006749CD"/>
    <w:rsid w:val="00680656"/>
    <w:rsid w:val="006B1119"/>
    <w:rsid w:val="006B7A8F"/>
    <w:rsid w:val="006C65D8"/>
    <w:rsid w:val="006E3E46"/>
    <w:rsid w:val="006E41E9"/>
    <w:rsid w:val="006E71B1"/>
    <w:rsid w:val="00705D89"/>
    <w:rsid w:val="00731A42"/>
    <w:rsid w:val="00767E69"/>
    <w:rsid w:val="0077079A"/>
    <w:rsid w:val="007803C3"/>
    <w:rsid w:val="007A5599"/>
    <w:rsid w:val="007C0CAE"/>
    <w:rsid w:val="007E5DAD"/>
    <w:rsid w:val="00811540"/>
    <w:rsid w:val="00856233"/>
    <w:rsid w:val="00860F27"/>
    <w:rsid w:val="008B0560"/>
    <w:rsid w:val="008B2BFA"/>
    <w:rsid w:val="008B4347"/>
    <w:rsid w:val="008D32CC"/>
    <w:rsid w:val="00923C5A"/>
    <w:rsid w:val="0093206A"/>
    <w:rsid w:val="00936F03"/>
    <w:rsid w:val="00943B69"/>
    <w:rsid w:val="00944CB3"/>
    <w:rsid w:val="00952103"/>
    <w:rsid w:val="00955344"/>
    <w:rsid w:val="00992AD7"/>
    <w:rsid w:val="009B09D7"/>
    <w:rsid w:val="009D35ED"/>
    <w:rsid w:val="00A03CB6"/>
    <w:rsid w:val="00A1364C"/>
    <w:rsid w:val="00A21076"/>
    <w:rsid w:val="00A3739A"/>
    <w:rsid w:val="00A52DAF"/>
    <w:rsid w:val="00A84072"/>
    <w:rsid w:val="00A84DF2"/>
    <w:rsid w:val="00A87B40"/>
    <w:rsid w:val="00B16570"/>
    <w:rsid w:val="00B423E7"/>
    <w:rsid w:val="00B53320"/>
    <w:rsid w:val="00B74FA8"/>
    <w:rsid w:val="00B8298C"/>
    <w:rsid w:val="00BC6522"/>
    <w:rsid w:val="00BF6D17"/>
    <w:rsid w:val="00C121D5"/>
    <w:rsid w:val="00C17349"/>
    <w:rsid w:val="00C351AA"/>
    <w:rsid w:val="00C52236"/>
    <w:rsid w:val="00C5247D"/>
    <w:rsid w:val="00C7253F"/>
    <w:rsid w:val="00C7577A"/>
    <w:rsid w:val="00C760F9"/>
    <w:rsid w:val="00D26A05"/>
    <w:rsid w:val="00D45C65"/>
    <w:rsid w:val="00D67E3B"/>
    <w:rsid w:val="00D85827"/>
    <w:rsid w:val="00D93FA6"/>
    <w:rsid w:val="00D97B98"/>
    <w:rsid w:val="00DC671F"/>
    <w:rsid w:val="00DE4DA7"/>
    <w:rsid w:val="00E33B38"/>
    <w:rsid w:val="00E37EC5"/>
    <w:rsid w:val="00E47FE5"/>
    <w:rsid w:val="00E574AF"/>
    <w:rsid w:val="00E71878"/>
    <w:rsid w:val="00E845B2"/>
    <w:rsid w:val="00EE58BB"/>
    <w:rsid w:val="00F00D09"/>
    <w:rsid w:val="00F37796"/>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6EA202"/>
  <w15:docId w15:val="{4FD15E1C-5183-4076-AEC2-52DB8AC6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aliases w:val="5_G"/>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aliases w:val="5_G 字符"/>
    <w:basedOn w:val="a0"/>
    <w:link w:val="a6"/>
    <w:rsid w:val="00C52236"/>
    <w:rPr>
      <w:snapToGrid w:val="0"/>
      <w:sz w:val="18"/>
    </w:rPr>
  </w:style>
  <w:style w:type="character" w:styleId="a8">
    <w:name w:val="footnote reference"/>
    <w:aliases w:val="4_G"/>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uiPriority w:val="99"/>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4F82-C137-4FA7-BE45-C620ECDE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2645</Words>
  <Characters>2809</Characters>
  <Application>Microsoft Office Word</Application>
  <DocSecurity>0</DocSecurity>
  <Lines>111</Lines>
  <Paragraphs>46</Paragraphs>
  <ScaleCrop>false</ScaleCrop>
  <Company>DCM</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A/HRC/43/L.36/Rev.1</dc:title>
  <dc:subject>2007993</dc:subject>
  <dc:creator>AN</dc:creator>
  <cp:keywords/>
  <dc:description/>
  <cp:lastModifiedBy>Changfeng AN</cp:lastModifiedBy>
  <cp:revision>2</cp:revision>
  <cp:lastPrinted>2014-05-09T11:28:00Z</cp:lastPrinted>
  <dcterms:created xsi:type="dcterms:W3CDTF">2020-06-17T15:12:00Z</dcterms:created>
  <dcterms:modified xsi:type="dcterms:W3CDTF">2020-06-17T15:12:00Z</dcterms:modified>
</cp:coreProperties>
</file>