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84FD8" w:rsidRDefault="00B84FD8" w:rsidP="000E62AA">
            <w:pPr>
              <w:spacing w:line="240" w:lineRule="atLeast"/>
              <w:jc w:val="right"/>
              <w:rPr>
                <w:sz w:val="20"/>
                <w:szCs w:val="21"/>
              </w:rPr>
            </w:pPr>
            <w:r w:rsidRPr="00B84FD8">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L.38</w:t>
            </w:r>
            <w:proofErr w:type="spellEnd"/>
            <w:r>
              <w:rPr>
                <w:sz w:val="20"/>
                <w:szCs w:val="21"/>
              </w:rPr>
              <w:t>/</w:t>
            </w:r>
            <w:proofErr w:type="spellStart"/>
            <w:r>
              <w:rPr>
                <w:sz w:val="20"/>
                <w:szCs w:val="21"/>
              </w:rPr>
              <w:t>Rev.1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C54035" w:rsidRPr="00C54035">
              <w:rPr>
                <w:sz w:val="20"/>
              </w:rPr>
              <w:t>Limited</w:t>
            </w:r>
          </w:p>
          <w:p w:rsidR="00A1364C" w:rsidRPr="00F124C6" w:rsidRDefault="00C54035" w:rsidP="000E62AA">
            <w:pPr>
              <w:spacing w:line="240" w:lineRule="atLeast"/>
              <w:rPr>
                <w:sz w:val="20"/>
              </w:rPr>
            </w:pPr>
            <w:r>
              <w:rPr>
                <w:sz w:val="20"/>
              </w:rPr>
              <w:t xml:space="preserve">17 </w:t>
            </w:r>
            <w:r w:rsidRPr="00C54035">
              <w:rPr>
                <w:sz w:val="20"/>
              </w:rPr>
              <w:t>June</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C54035" w:rsidRDefault="00C54035" w:rsidP="00C7253F">
      <w:pPr>
        <w:spacing w:before="120"/>
        <w:rPr>
          <w:rFonts w:eastAsia="黑体"/>
          <w:sz w:val="24"/>
          <w:szCs w:val="24"/>
          <w:lang w:val="fr-CH"/>
        </w:rPr>
      </w:pPr>
      <w:r>
        <w:rPr>
          <w:rFonts w:eastAsia="黑体" w:hint="eastAsia"/>
          <w:sz w:val="24"/>
          <w:szCs w:val="24"/>
          <w:lang w:val="fr-CH"/>
        </w:rPr>
        <w:t>人权理事会</w:t>
      </w:r>
    </w:p>
    <w:p w:rsidR="007C10A1" w:rsidRDefault="007C10A1" w:rsidP="007C10A1">
      <w:pPr>
        <w:rPr>
          <w:rFonts w:eastAsia="黑体"/>
          <w:snapToGrid/>
          <w:szCs w:val="21"/>
          <w:lang w:val="fr-CH"/>
        </w:rPr>
      </w:pPr>
      <w:r>
        <w:rPr>
          <w:rFonts w:eastAsia="黑体" w:hint="eastAsia"/>
          <w:szCs w:val="21"/>
          <w:lang w:val="fr-CH"/>
        </w:rPr>
        <w:t>第四十三届会议</w:t>
      </w:r>
    </w:p>
    <w:p w:rsidR="007C10A1" w:rsidRDefault="007C10A1" w:rsidP="007C10A1">
      <w:pPr>
        <w:rPr>
          <w:rFonts w:ascii="Time New Roman" w:hAnsi="Time New Roman" w:hint="eastAsia"/>
          <w:szCs w:val="21"/>
          <w:lang w:val="fr-CH"/>
        </w:rPr>
      </w:pPr>
      <w:r>
        <w:rPr>
          <w:rFonts w:ascii="Time New Roman" w:hAnsi="Time New Roman"/>
          <w:szCs w:val="21"/>
          <w:lang w:val="fr-CH"/>
        </w:rPr>
        <w:t>2020</w:t>
      </w:r>
      <w:r>
        <w:rPr>
          <w:rFonts w:ascii="Time New Roman" w:hAnsi="Time New Roman" w:hint="eastAsia"/>
          <w:szCs w:val="21"/>
          <w:lang w:val="fr-CH"/>
        </w:rPr>
        <w:t>年</w:t>
      </w:r>
      <w:r>
        <w:rPr>
          <w:rFonts w:ascii="Time New Roman" w:hAnsi="Time New Roman"/>
          <w:szCs w:val="21"/>
          <w:lang w:val="fr-CH"/>
        </w:rPr>
        <w:t>2</w:t>
      </w:r>
      <w:r>
        <w:rPr>
          <w:rFonts w:ascii="Time New Roman" w:hAnsi="Time New Roman" w:hint="eastAsia"/>
          <w:szCs w:val="21"/>
          <w:lang w:val="fr-CH"/>
        </w:rPr>
        <w:t>月</w:t>
      </w:r>
      <w:r>
        <w:rPr>
          <w:rFonts w:ascii="Time New Roman" w:hAnsi="Time New Roman"/>
          <w:szCs w:val="21"/>
          <w:lang w:val="fr-CH"/>
        </w:rPr>
        <w:t>24</w:t>
      </w:r>
      <w:r>
        <w:rPr>
          <w:rFonts w:ascii="Time New Roman" w:hAnsi="Time New Roman" w:hint="eastAsia"/>
          <w:szCs w:val="21"/>
          <w:lang w:val="fr-CH"/>
        </w:rPr>
        <w:t>日至</w:t>
      </w:r>
      <w:r>
        <w:rPr>
          <w:rFonts w:ascii="Time New Roman" w:hAnsi="Time New Roman"/>
          <w:szCs w:val="21"/>
          <w:lang w:val="fr-CH"/>
        </w:rPr>
        <w:t>3</w:t>
      </w:r>
      <w:r>
        <w:rPr>
          <w:rFonts w:ascii="Time New Roman" w:hAnsi="Time New Roman" w:hint="eastAsia"/>
          <w:szCs w:val="21"/>
          <w:lang w:val="fr-CH"/>
        </w:rPr>
        <w:t>月</w:t>
      </w:r>
      <w:r>
        <w:rPr>
          <w:rFonts w:ascii="Time New Roman" w:hAnsi="Time New Roman"/>
          <w:szCs w:val="21"/>
          <w:lang w:val="fr-CH"/>
        </w:rPr>
        <w:t>20</w:t>
      </w:r>
      <w:r>
        <w:rPr>
          <w:rFonts w:ascii="Time New Roman" w:hAnsi="Time New Roman" w:hint="eastAsia"/>
          <w:szCs w:val="21"/>
          <w:lang w:val="fr-CH"/>
        </w:rPr>
        <w:t>日</w:t>
      </w:r>
    </w:p>
    <w:p w:rsidR="007C10A1" w:rsidRDefault="007C10A1" w:rsidP="007C10A1">
      <w:pPr>
        <w:rPr>
          <w:rFonts w:ascii="Time New Roman" w:hAnsi="Time New Roman" w:hint="eastAsia"/>
          <w:szCs w:val="21"/>
          <w:lang w:val="fr-CH"/>
        </w:rPr>
      </w:pPr>
      <w:r>
        <w:rPr>
          <w:rFonts w:ascii="Time New Roman" w:hAnsi="Time New Roman" w:hint="eastAsia"/>
          <w:szCs w:val="21"/>
          <w:lang w:val="fr-CH"/>
        </w:rPr>
        <w:t>议程项目</w:t>
      </w:r>
      <w:r>
        <w:rPr>
          <w:rFonts w:ascii="Time New Roman" w:hAnsi="Time New Roman"/>
          <w:szCs w:val="21"/>
          <w:lang w:val="fr-CH"/>
        </w:rPr>
        <w:t>7</w:t>
      </w:r>
    </w:p>
    <w:p w:rsidR="00C54035" w:rsidRDefault="007C10A1" w:rsidP="004A574E">
      <w:pPr>
        <w:spacing w:after="240"/>
        <w:rPr>
          <w:rFonts w:eastAsia="黑体"/>
          <w:lang w:val="fr-CH"/>
        </w:rPr>
      </w:pPr>
      <w:r>
        <w:rPr>
          <w:rFonts w:eastAsia="黑体" w:hint="eastAsia"/>
          <w:szCs w:val="21"/>
          <w:lang w:val="fr-CH"/>
        </w:rPr>
        <w:t>巴勒斯坦和其他阿拉伯被占领土的人权状况</w:t>
      </w:r>
    </w:p>
    <w:p w:rsidR="007C10A1" w:rsidRPr="00BB3257" w:rsidRDefault="007C10A1" w:rsidP="004A574E">
      <w:pPr>
        <w:pStyle w:val="H23GC"/>
        <w:spacing w:before="360"/>
        <w:jc w:val="both"/>
      </w:pPr>
      <w:r>
        <w:rPr>
          <w:rFonts w:hint="eastAsia"/>
          <w:lang w:val="zh-CN"/>
        </w:rPr>
        <w:tab/>
      </w:r>
      <w:r>
        <w:rPr>
          <w:rFonts w:hint="eastAsia"/>
          <w:lang w:val="zh-CN"/>
        </w:rPr>
        <w:tab/>
      </w:r>
      <w:r w:rsidRPr="00BB3257">
        <w:rPr>
          <w:rFonts w:hint="eastAsia"/>
          <w:lang w:val="zh-CN"/>
        </w:rPr>
        <w:t>智利、古巴</w:t>
      </w:r>
      <w:r w:rsidRPr="00BB3257">
        <w:footnoteReference w:customMarkFollows="1" w:id="2"/>
        <w:t>*</w:t>
      </w:r>
      <w:r w:rsidRPr="00BB3257">
        <w:rPr>
          <w:rFonts w:hint="eastAsia"/>
          <w:lang w:val="zh-CN"/>
        </w:rPr>
        <w:t>、朝鲜民主主义人民共和国</w:t>
      </w:r>
      <w:r w:rsidRPr="00BB3257">
        <w:rPr>
          <w:rFonts w:hint="eastAsia"/>
          <w:lang w:val="zh-CN"/>
        </w:rPr>
        <w:t>*</w:t>
      </w:r>
      <w:r w:rsidRPr="00BB3257">
        <w:rPr>
          <w:rFonts w:hint="eastAsia"/>
          <w:lang w:val="zh-CN"/>
        </w:rPr>
        <w:t>、纳米比亚、巴基斯坦</w:t>
      </w:r>
      <w:r w:rsidRPr="00BB3257">
        <w:footnoteReference w:customMarkFollows="1" w:id="3"/>
        <w:t>**</w:t>
      </w:r>
      <w:r w:rsidRPr="00BB3257">
        <w:rPr>
          <w:rFonts w:hint="eastAsia"/>
          <w:lang w:val="zh-CN"/>
        </w:rPr>
        <w:t>、</w:t>
      </w:r>
      <w:r w:rsidR="004A574E" w:rsidRPr="00BB3257">
        <w:rPr>
          <w:lang w:val="zh-CN"/>
        </w:rPr>
        <w:br/>
      </w:r>
      <w:r w:rsidRPr="00BB3257">
        <w:rPr>
          <w:rFonts w:hint="eastAsia"/>
          <w:lang w:val="zh-CN"/>
        </w:rPr>
        <w:t>委内瑞拉玻利瓦尔共和国和巴勒斯</w:t>
      </w:r>
      <w:bookmarkStart w:id="0" w:name="_GoBack"/>
      <w:bookmarkEnd w:id="0"/>
      <w:r w:rsidRPr="00BB3257">
        <w:rPr>
          <w:rFonts w:hint="eastAsia"/>
          <w:lang w:val="zh-CN"/>
        </w:rPr>
        <w:t>坦国</w:t>
      </w:r>
      <w:r w:rsidRPr="00BB3257">
        <w:rPr>
          <w:rFonts w:hint="eastAsia"/>
          <w:lang w:val="zh-CN"/>
        </w:rPr>
        <w:t>*</w:t>
      </w:r>
      <w:r w:rsidRPr="00BB3257">
        <w:rPr>
          <w:rFonts w:hint="eastAsia"/>
          <w:lang w:val="zh-CN"/>
        </w:rPr>
        <w:t>：决议草案</w:t>
      </w:r>
    </w:p>
    <w:p w:rsidR="007C10A1" w:rsidRDefault="007C10A1" w:rsidP="007C10A1">
      <w:pPr>
        <w:pStyle w:val="H1GC"/>
        <w:tabs>
          <w:tab w:val="left" w:pos="1985"/>
        </w:tabs>
      </w:pPr>
      <w:r>
        <w:rPr>
          <w:rFonts w:hint="eastAsia"/>
          <w:lang w:val="zh-CN"/>
        </w:rPr>
        <w:tab/>
      </w:r>
      <w:r>
        <w:rPr>
          <w:rFonts w:hint="eastAsia"/>
          <w:lang w:val="zh-CN"/>
        </w:rPr>
        <w:tab/>
        <w:t>43/</w:t>
      </w:r>
      <w:r>
        <w:rPr>
          <w:lang w:val="en-GB"/>
        </w:rPr>
        <w:t>…</w:t>
      </w:r>
      <w:r>
        <w:rPr>
          <w:rFonts w:hint="eastAsia"/>
          <w:lang w:val="zh-CN"/>
        </w:rPr>
        <w:tab/>
      </w:r>
      <w:r>
        <w:rPr>
          <w:rFonts w:hint="eastAsia"/>
          <w:lang w:val="zh-CN"/>
        </w:rPr>
        <w:t>包括东耶路撒冷在内的巴勒斯坦被占领土的人权状况</w:t>
      </w:r>
    </w:p>
    <w:p w:rsidR="007C10A1" w:rsidRDefault="007C10A1" w:rsidP="007C10A1">
      <w:pPr>
        <w:pStyle w:val="SingleTxtGC"/>
        <w:rPr>
          <w:lang w:val="zh-CN"/>
        </w:rPr>
      </w:pPr>
      <w:r>
        <w:rPr>
          <w:rFonts w:hint="eastAsia"/>
          <w:lang w:val="zh-CN"/>
        </w:rPr>
        <w:tab/>
      </w:r>
      <w:r>
        <w:rPr>
          <w:rFonts w:ascii="Time New Roman" w:eastAsia="楷体" w:hAnsi="Time New Roman" w:hint="eastAsia"/>
          <w:lang w:val="zh-CN"/>
        </w:rPr>
        <w:t>人权理事会</w:t>
      </w:r>
      <w:r>
        <w:rPr>
          <w:rFonts w:hint="eastAsia"/>
          <w:lang w:val="zh-CN"/>
        </w:rPr>
        <w:t>，</w:t>
      </w:r>
    </w:p>
    <w:p w:rsidR="007C10A1" w:rsidRDefault="007C10A1" w:rsidP="007C10A1">
      <w:pPr>
        <w:pStyle w:val="SingleTxtGC"/>
      </w:pPr>
      <w:r>
        <w:rPr>
          <w:rFonts w:hint="eastAsia"/>
          <w:lang w:val="zh-CN"/>
        </w:rPr>
        <w:tab/>
      </w:r>
      <w:r w:rsidRPr="00BD614D">
        <w:rPr>
          <w:rFonts w:ascii="Time New Roman" w:eastAsia="楷体" w:hAnsi="Time New Roman" w:hint="eastAsia"/>
          <w:spacing w:val="-4"/>
          <w:lang w:val="zh-CN"/>
        </w:rPr>
        <w:t>回顾</w:t>
      </w:r>
      <w:r w:rsidRPr="00BD614D">
        <w:rPr>
          <w:rFonts w:hint="eastAsia"/>
          <w:spacing w:val="-4"/>
          <w:lang w:val="zh-CN"/>
        </w:rPr>
        <w:t>《世界人权宣言》、《公民及政治权利国际公约》、《经济社会文化权利</w:t>
      </w:r>
      <w:r>
        <w:rPr>
          <w:rFonts w:hint="eastAsia"/>
          <w:lang w:val="zh-CN"/>
        </w:rPr>
        <w:t>国际公约》和所有相关公约，申明这些人权文书适用于包括东耶路撒冷在内的巴勒斯坦被占领土，必须得到尊重，</w:t>
      </w:r>
    </w:p>
    <w:p w:rsidR="007C10A1" w:rsidRDefault="007C10A1" w:rsidP="007C10A1">
      <w:pPr>
        <w:pStyle w:val="SingleTxtGC"/>
      </w:pPr>
      <w:r>
        <w:rPr>
          <w:rFonts w:hint="eastAsia"/>
          <w:lang w:val="zh-CN"/>
        </w:rPr>
        <w:tab/>
      </w:r>
      <w:r>
        <w:rPr>
          <w:rFonts w:ascii="Time New Roman" w:eastAsia="楷体" w:hAnsi="Time New Roman" w:hint="eastAsia"/>
          <w:lang w:val="zh-CN"/>
        </w:rPr>
        <w:t>又回顾</w:t>
      </w:r>
      <w:r>
        <w:rPr>
          <w:rFonts w:hint="eastAsia"/>
          <w:lang w:val="zh-CN"/>
        </w:rPr>
        <w:t>人权理事会有关各项决议，</w:t>
      </w:r>
    </w:p>
    <w:p w:rsidR="007C10A1" w:rsidRDefault="007C10A1" w:rsidP="007C10A1">
      <w:pPr>
        <w:pStyle w:val="SingleTxtGC"/>
      </w:pPr>
      <w:r>
        <w:rPr>
          <w:rFonts w:hint="eastAsia"/>
          <w:lang w:val="zh-CN"/>
        </w:rPr>
        <w:tab/>
      </w:r>
      <w:r>
        <w:rPr>
          <w:rFonts w:ascii="Time New Roman" w:eastAsia="楷体" w:hAnsi="Time New Roman" w:hint="eastAsia"/>
          <w:lang w:val="zh-CN"/>
        </w:rPr>
        <w:t>注意到</w:t>
      </w:r>
      <w:r>
        <w:rPr>
          <w:rFonts w:hint="eastAsia"/>
          <w:lang w:val="zh-CN"/>
        </w:rPr>
        <w:t>1967</w:t>
      </w:r>
      <w:r>
        <w:rPr>
          <w:rFonts w:hint="eastAsia"/>
          <w:lang w:val="zh-CN"/>
        </w:rPr>
        <w:t>年以来被占领的巴勒斯坦领土人权状况特别报告员最近的报告</w:t>
      </w:r>
      <w:r>
        <w:rPr>
          <w:vertAlign w:val="superscript"/>
          <w:lang w:val="zh-CN"/>
        </w:rPr>
        <w:footnoteReference w:id="4"/>
      </w:r>
      <w:r>
        <w:rPr>
          <w:rFonts w:hint="eastAsia"/>
          <w:lang w:val="zh-CN"/>
        </w:rPr>
        <w:t>以及人权理事会最近的其他有关报告，</w:t>
      </w:r>
    </w:p>
    <w:p w:rsidR="007C10A1" w:rsidRDefault="007C10A1" w:rsidP="007C10A1">
      <w:pPr>
        <w:pStyle w:val="SingleTxtGC"/>
      </w:pPr>
      <w:r>
        <w:rPr>
          <w:rFonts w:hint="eastAsia"/>
          <w:lang w:val="zh-CN"/>
        </w:rPr>
        <w:tab/>
      </w:r>
      <w:r>
        <w:rPr>
          <w:rFonts w:ascii="Time New Roman" w:eastAsia="楷体" w:hAnsi="Time New Roman" w:hint="eastAsia"/>
          <w:lang w:val="zh-CN"/>
        </w:rPr>
        <w:t>强调</w:t>
      </w:r>
      <w:r>
        <w:rPr>
          <w:rFonts w:hint="eastAsia"/>
          <w:lang w:val="zh-CN"/>
        </w:rPr>
        <w:t>亟需努力扭转实地的消极趋势，再度展示政治上的远见卓识，推动和加速旨在达成一项和平协议的有意义的谈判，以彻底结束以色列自</w:t>
      </w:r>
      <w:r>
        <w:rPr>
          <w:rFonts w:hint="eastAsia"/>
          <w:lang w:val="zh-CN"/>
        </w:rPr>
        <w:t>1967</w:t>
      </w:r>
      <w:r>
        <w:rPr>
          <w:rFonts w:hint="eastAsia"/>
          <w:lang w:val="zh-CN"/>
        </w:rPr>
        <w:t>年开始的占领，无一例外地解决有关最终地位的所有核心问题，从而使巴勒斯坦问题根据国际法得到和平、公正、持久和全面的解决，</w:t>
      </w:r>
    </w:p>
    <w:p w:rsidR="007C10A1" w:rsidRDefault="007C10A1" w:rsidP="007C10A1">
      <w:pPr>
        <w:pStyle w:val="SingleTxtGC"/>
      </w:pPr>
      <w:r>
        <w:rPr>
          <w:rFonts w:hint="eastAsia"/>
          <w:lang w:val="zh-CN"/>
        </w:rPr>
        <w:tab/>
      </w:r>
      <w:r>
        <w:rPr>
          <w:rFonts w:ascii="Time New Roman" w:eastAsia="楷体" w:hAnsi="Time New Roman" w:hint="eastAsia"/>
          <w:spacing w:val="-2"/>
          <w:lang w:val="zh-CN"/>
        </w:rPr>
        <w:t>注意到</w:t>
      </w:r>
      <w:r>
        <w:rPr>
          <w:rFonts w:hint="eastAsia"/>
          <w:spacing w:val="-2"/>
          <w:lang w:val="zh-CN"/>
        </w:rPr>
        <w:t>巴勒斯坦国加入了若干人权条约和核心人道法公约，并于</w:t>
      </w:r>
      <w:r>
        <w:rPr>
          <w:rFonts w:hint="eastAsia"/>
          <w:spacing w:val="-2"/>
          <w:lang w:val="zh-CN"/>
        </w:rPr>
        <w:t>2015</w:t>
      </w:r>
      <w:r>
        <w:rPr>
          <w:rFonts w:hint="eastAsia"/>
          <w:spacing w:val="-2"/>
          <w:lang w:val="zh-CN"/>
        </w:rPr>
        <w:t>年</w:t>
      </w:r>
      <w:r>
        <w:rPr>
          <w:rFonts w:hint="eastAsia"/>
          <w:spacing w:val="-2"/>
          <w:lang w:val="zh-CN"/>
        </w:rPr>
        <w:t>1</w:t>
      </w:r>
      <w:r>
        <w:rPr>
          <w:rFonts w:hint="eastAsia"/>
          <w:spacing w:val="-2"/>
          <w:lang w:val="zh-CN"/>
        </w:rPr>
        <w:t>月</w:t>
      </w:r>
      <w:r>
        <w:rPr>
          <w:rFonts w:hint="eastAsia"/>
          <w:lang w:val="zh-CN"/>
        </w:rPr>
        <w:t>2</w:t>
      </w:r>
      <w:r>
        <w:rPr>
          <w:rFonts w:hint="eastAsia"/>
          <w:lang w:val="zh-CN"/>
        </w:rPr>
        <w:t>日加入《国际刑事法院罗马规约》，</w:t>
      </w:r>
    </w:p>
    <w:p w:rsidR="007C10A1" w:rsidRDefault="007C10A1" w:rsidP="007C10A1">
      <w:pPr>
        <w:pStyle w:val="SingleTxtGC"/>
      </w:pPr>
      <w:r>
        <w:rPr>
          <w:rFonts w:hint="eastAsia"/>
          <w:lang w:val="zh-CN"/>
        </w:rPr>
        <w:tab/>
      </w:r>
      <w:r>
        <w:rPr>
          <w:rFonts w:ascii="Time New Roman" w:eastAsia="楷体" w:hAnsi="Time New Roman" w:hint="eastAsia"/>
          <w:lang w:val="zh-CN"/>
        </w:rPr>
        <w:t>回顾</w:t>
      </w:r>
      <w:r>
        <w:rPr>
          <w:rFonts w:hint="eastAsia"/>
          <w:lang w:val="zh-CN"/>
        </w:rPr>
        <w:t>国际法院</w:t>
      </w:r>
      <w:r>
        <w:rPr>
          <w:rFonts w:hint="eastAsia"/>
          <w:lang w:val="zh-CN"/>
        </w:rPr>
        <w:t>2004</w:t>
      </w:r>
      <w:r>
        <w:rPr>
          <w:rFonts w:hint="eastAsia"/>
          <w:lang w:val="zh-CN"/>
        </w:rPr>
        <w:t>年</w:t>
      </w:r>
      <w:r>
        <w:rPr>
          <w:rFonts w:hint="eastAsia"/>
          <w:lang w:val="zh-CN"/>
        </w:rPr>
        <w:t>7</w:t>
      </w:r>
      <w:r>
        <w:rPr>
          <w:rFonts w:hint="eastAsia"/>
          <w:lang w:val="zh-CN"/>
        </w:rPr>
        <w:t>月</w:t>
      </w:r>
      <w:r>
        <w:rPr>
          <w:rFonts w:hint="eastAsia"/>
          <w:lang w:val="zh-CN"/>
        </w:rPr>
        <w:t>9</w:t>
      </w:r>
      <w:r>
        <w:rPr>
          <w:rFonts w:hint="eastAsia"/>
          <w:lang w:val="zh-CN"/>
        </w:rPr>
        <w:t>日发布的咨询意见，并回顾大会</w:t>
      </w:r>
      <w:r>
        <w:rPr>
          <w:rFonts w:hint="eastAsia"/>
          <w:lang w:val="zh-CN"/>
        </w:rPr>
        <w:t>2004</w:t>
      </w:r>
      <w:r>
        <w:rPr>
          <w:rFonts w:hint="eastAsia"/>
          <w:lang w:val="zh-CN"/>
        </w:rPr>
        <w:t>年</w:t>
      </w:r>
      <w:r>
        <w:rPr>
          <w:rFonts w:hint="eastAsia"/>
          <w:lang w:val="zh-CN"/>
        </w:rPr>
        <w:t>7</w:t>
      </w:r>
      <w:r>
        <w:rPr>
          <w:rFonts w:hint="eastAsia"/>
          <w:lang w:val="zh-CN"/>
        </w:rPr>
        <w:t>月</w:t>
      </w:r>
      <w:r>
        <w:rPr>
          <w:rFonts w:hint="eastAsia"/>
          <w:lang w:val="zh-CN"/>
        </w:rPr>
        <w:t>20</w:t>
      </w:r>
      <w:r>
        <w:rPr>
          <w:rFonts w:hint="eastAsia"/>
          <w:lang w:val="zh-CN"/>
        </w:rPr>
        <w:t>日</w:t>
      </w:r>
      <w:r>
        <w:rPr>
          <w:rFonts w:hint="eastAsia"/>
          <w:lang w:val="zh-CN"/>
        </w:rPr>
        <w:t>ES-10/15</w:t>
      </w:r>
      <w:r>
        <w:rPr>
          <w:rFonts w:hint="eastAsia"/>
          <w:lang w:val="zh-CN"/>
        </w:rPr>
        <w:t>号决议和</w:t>
      </w:r>
      <w:r>
        <w:rPr>
          <w:rFonts w:hint="eastAsia"/>
          <w:lang w:val="zh-CN"/>
        </w:rPr>
        <w:t>2006</w:t>
      </w:r>
      <w:r>
        <w:rPr>
          <w:rFonts w:hint="eastAsia"/>
          <w:lang w:val="zh-CN"/>
        </w:rPr>
        <w:t>年</w:t>
      </w:r>
      <w:r>
        <w:rPr>
          <w:rFonts w:hint="eastAsia"/>
          <w:lang w:val="zh-CN"/>
        </w:rPr>
        <w:t>12</w:t>
      </w:r>
      <w:r>
        <w:rPr>
          <w:rFonts w:hint="eastAsia"/>
          <w:lang w:val="zh-CN"/>
        </w:rPr>
        <w:t>月</w:t>
      </w:r>
      <w:r>
        <w:rPr>
          <w:rFonts w:hint="eastAsia"/>
          <w:lang w:val="zh-CN"/>
        </w:rPr>
        <w:t>15</w:t>
      </w:r>
      <w:r>
        <w:rPr>
          <w:rFonts w:hint="eastAsia"/>
          <w:lang w:val="zh-CN"/>
        </w:rPr>
        <w:t>日</w:t>
      </w:r>
      <w:r>
        <w:rPr>
          <w:rFonts w:hint="eastAsia"/>
          <w:lang w:val="zh-CN"/>
        </w:rPr>
        <w:t>ES-10/17</w:t>
      </w:r>
      <w:r>
        <w:rPr>
          <w:rFonts w:hint="eastAsia"/>
          <w:lang w:val="zh-CN"/>
        </w:rPr>
        <w:t>号决议，</w:t>
      </w:r>
    </w:p>
    <w:p w:rsidR="007C10A1" w:rsidRDefault="007C10A1" w:rsidP="007C10A1">
      <w:pPr>
        <w:pStyle w:val="SingleTxtGC"/>
      </w:pPr>
      <w:r>
        <w:rPr>
          <w:rFonts w:hint="eastAsia"/>
          <w:lang w:val="zh-CN"/>
        </w:rPr>
        <w:lastRenderedPageBreak/>
        <w:tab/>
      </w:r>
      <w:r>
        <w:rPr>
          <w:rFonts w:ascii="Time New Roman" w:eastAsia="楷体" w:hAnsi="Time New Roman" w:hint="eastAsia"/>
          <w:lang w:val="zh-CN"/>
        </w:rPr>
        <w:t>特别注意</w:t>
      </w:r>
      <w:r>
        <w:rPr>
          <w:rFonts w:hint="eastAsia"/>
          <w:lang w:val="zh-CN"/>
        </w:rPr>
        <w:t>到国际法院的答复，其中表示占领国以色列在包括东耶路撒冷及其周围地带在内的巴勒斯坦被占领土修建隔离墙的行为及其有关制度违反国际法，</w:t>
      </w:r>
    </w:p>
    <w:p w:rsidR="007C10A1" w:rsidRDefault="007C10A1" w:rsidP="007C10A1">
      <w:pPr>
        <w:pStyle w:val="SingleTxtGC"/>
      </w:pPr>
      <w:r>
        <w:rPr>
          <w:rFonts w:hint="eastAsia"/>
          <w:lang w:val="zh-CN"/>
        </w:rPr>
        <w:tab/>
      </w:r>
      <w:r>
        <w:rPr>
          <w:rFonts w:ascii="Time New Roman" w:eastAsia="楷体" w:hAnsi="Time New Roman" w:hint="eastAsia"/>
          <w:lang w:val="zh-CN"/>
        </w:rPr>
        <w:t>重申</w:t>
      </w:r>
      <w:r>
        <w:rPr>
          <w:rFonts w:hint="eastAsia"/>
          <w:lang w:val="zh-CN"/>
        </w:rPr>
        <w:t>不得以武力取得领土的原则；深感关切的是，由于建造定居点、定居者使用的公路、隔离墙以及相当于实际上吞并巴勒斯坦土地的其他措施，包括东耶路撒冷在内的巴勒斯坦被占领土呈现支离破碎状况，</w:t>
      </w:r>
    </w:p>
    <w:p w:rsidR="007C10A1" w:rsidRDefault="007C10A1" w:rsidP="007C10A1">
      <w:pPr>
        <w:pStyle w:val="SingleTxtGC"/>
      </w:pPr>
      <w:r>
        <w:rPr>
          <w:rFonts w:hint="eastAsia"/>
          <w:lang w:val="zh-CN"/>
        </w:rPr>
        <w:tab/>
      </w:r>
      <w:r>
        <w:rPr>
          <w:rFonts w:ascii="Time New Roman" w:eastAsia="楷体" w:hAnsi="Time New Roman" w:hint="eastAsia"/>
          <w:lang w:val="zh-CN"/>
        </w:rPr>
        <w:t>强调</w:t>
      </w:r>
      <w:r>
        <w:rPr>
          <w:rFonts w:hint="eastAsia"/>
          <w:lang w:val="zh-CN"/>
        </w:rPr>
        <w:t>1949</w:t>
      </w:r>
      <w:r>
        <w:rPr>
          <w:rFonts w:hint="eastAsia"/>
          <w:lang w:val="zh-CN"/>
        </w:rPr>
        <w:t>年</w:t>
      </w:r>
      <w:r>
        <w:rPr>
          <w:rFonts w:hint="eastAsia"/>
          <w:lang w:val="zh-CN"/>
        </w:rPr>
        <w:t>8</w:t>
      </w:r>
      <w:r>
        <w:rPr>
          <w:rFonts w:hint="eastAsia"/>
          <w:lang w:val="zh-CN"/>
        </w:rPr>
        <w:t>月</w:t>
      </w:r>
      <w:r>
        <w:rPr>
          <w:rFonts w:hint="eastAsia"/>
          <w:lang w:val="zh-CN"/>
        </w:rPr>
        <w:t>12</w:t>
      </w:r>
      <w:r>
        <w:rPr>
          <w:rFonts w:hint="eastAsia"/>
          <w:lang w:val="zh-CN"/>
        </w:rPr>
        <w:t>日《关于战时保护平民之日内瓦公约》适用于包括东</w:t>
      </w:r>
      <w:r>
        <w:rPr>
          <w:rFonts w:hint="eastAsia"/>
          <w:spacing w:val="6"/>
          <w:lang w:val="zh-CN"/>
        </w:rPr>
        <w:t>耶路撒冷在内的巴勒斯坦被占领土；重申《日内瓦第四公约》缔约国须遵守第一百四十六</w:t>
      </w:r>
      <w:r>
        <w:rPr>
          <w:rFonts w:hint="eastAsia"/>
          <w:lang w:val="zh-CN"/>
        </w:rPr>
        <w:t>条、第一百四十七条和第一百四十八条规定的缔约国在刑事制裁、严重破坏公约行为以及责任等问题上的义务及确保尊重国际人道法的义务，</w:t>
      </w:r>
    </w:p>
    <w:p w:rsidR="007C10A1" w:rsidRDefault="007C10A1" w:rsidP="007C10A1">
      <w:pPr>
        <w:pStyle w:val="SingleTxtGC"/>
      </w:pPr>
      <w:r>
        <w:rPr>
          <w:rFonts w:hint="eastAsia"/>
          <w:lang w:val="zh-CN"/>
        </w:rPr>
        <w:tab/>
      </w:r>
      <w:r>
        <w:rPr>
          <w:rFonts w:ascii="Time New Roman" w:eastAsia="楷体" w:hAnsi="Time New Roman" w:hint="eastAsia"/>
          <w:lang w:val="zh-CN"/>
        </w:rPr>
        <w:t>强调</w:t>
      </w:r>
      <w:r>
        <w:rPr>
          <w:rFonts w:hint="eastAsia"/>
          <w:lang w:val="zh-CN"/>
        </w:rPr>
        <w:t>指出，追究责任对防止未来冲突和确保侵犯和践踏人权行为有罪必罚极其重要，从而为和平努力做出贡献，避免一再发生违反国际法，包括违反国际人道法和国际人权法的情况，</w:t>
      </w:r>
    </w:p>
    <w:p w:rsidR="007C10A1" w:rsidRDefault="007C10A1" w:rsidP="007C10A1">
      <w:pPr>
        <w:pStyle w:val="SingleTxtGC"/>
      </w:pPr>
      <w:r>
        <w:rPr>
          <w:rFonts w:hint="eastAsia"/>
          <w:lang w:val="zh-CN"/>
        </w:rPr>
        <w:tab/>
      </w:r>
      <w:r>
        <w:rPr>
          <w:rFonts w:ascii="Time New Roman" w:eastAsia="楷体" w:hAnsi="Time New Roman" w:hint="eastAsia"/>
          <w:lang w:val="zh-CN"/>
        </w:rPr>
        <w:t>表示严重关切</w:t>
      </w:r>
      <w:r>
        <w:rPr>
          <w:rFonts w:hint="eastAsia"/>
          <w:lang w:val="zh-CN"/>
        </w:rPr>
        <w:t>占领国以色列继续违反国际人道法，蓄意侵犯巴勒斯坦人民的人权，包括：过分使用武力和开展军事行动，造成包括儿童和妇女在内的巴勒斯坦平民以及非暴力和平示威者和记者伤亡，包括动用实弹；任意拘留巴勒斯坦人，其中一些人已被拘留数十年；使用集体惩罚；封闭一些地区；没收土地；建立和扩大定居点；在巴勒斯坦被占领土内偏离</w:t>
      </w:r>
      <w:r>
        <w:rPr>
          <w:rFonts w:hint="eastAsia"/>
          <w:lang w:val="zh-CN"/>
        </w:rPr>
        <w:t>1949</w:t>
      </w:r>
      <w:r>
        <w:rPr>
          <w:rFonts w:hint="eastAsia"/>
          <w:lang w:val="zh-CN"/>
        </w:rPr>
        <w:t>年停战线修建隔离墙；强迫平民包括贝都因人社区流离失所；对包括东耶路撒冷在内的巴勒斯坦被占领土上的巴勒斯坦居民实行歧视性政策和做法，严重影响这些居民的生活；在巴勒斯坦被占领土上非法居住的以色列定居者与这些领土上的巴勒斯坦居民之间在分配水资源方面实行歧视；侵犯作为适当生活水准权一部分的享有适当住房的基本权利；撤销东耶路撒冷的巴勒斯坦人的居留证，并将他们赶出自己的城市；破坏财产和基础设施，特别是巴勒斯坦人的住房；阻碍人道主义援助和摧毁作为人道主义援助建设的设施，从而制造一种胁迫性环境，强迫巴勒斯坦被占领土的巴勒斯坦平民迁移，包括违反国际人道法以此作为一种集体惩罚手段；以色列定居者骚扰和攻击学童并袭击教育设施，以及以色列军事行动引起的此类行为；以及其他一切旨在改变包括东耶路撒冷在内的巴勒斯坦被占领土的法律地位、地理性质和人口构成的行动，</w:t>
      </w:r>
    </w:p>
    <w:p w:rsidR="007C10A1" w:rsidRDefault="007C10A1" w:rsidP="007C10A1">
      <w:pPr>
        <w:pStyle w:val="SingleTxtGC"/>
      </w:pPr>
      <w:r>
        <w:rPr>
          <w:rFonts w:hint="eastAsia"/>
          <w:lang w:val="zh-CN"/>
        </w:rPr>
        <w:tab/>
      </w:r>
      <w:r>
        <w:rPr>
          <w:rFonts w:ascii="Time New Roman" w:eastAsia="楷体" w:hAnsi="Time New Roman" w:hint="eastAsia"/>
          <w:lang w:val="zh-CN"/>
        </w:rPr>
        <w:t>痛惜</w:t>
      </w:r>
      <w:r>
        <w:rPr>
          <w:rFonts w:hint="eastAsia"/>
          <w:lang w:val="zh-CN"/>
        </w:rPr>
        <w:t>加沙地带及其周围发生的所有冲突以及造成的平民伤亡，包括儿童、妇女和老人在内的数千名巴勒斯坦平民惨遭杀害或受伤；数以千计的房屋以及学校、医院、净水和电力网络等民用基础设施，经济、工业和农业财产，公共机构，宗教场所以及联合国学校和设施普遍遭到毁坏；数十万平民在境内流离失所；国际法，包括人道法和人权法受到侵犯，</w:t>
      </w:r>
    </w:p>
    <w:p w:rsidR="007C10A1" w:rsidRDefault="007C10A1" w:rsidP="007C10A1">
      <w:pPr>
        <w:pStyle w:val="SingleTxtGC"/>
      </w:pPr>
      <w:r>
        <w:rPr>
          <w:rFonts w:hint="eastAsia"/>
          <w:lang w:val="zh-CN"/>
        </w:rPr>
        <w:tab/>
      </w:r>
      <w:r>
        <w:rPr>
          <w:rFonts w:ascii="Time New Roman" w:eastAsia="楷体" w:hAnsi="Time New Roman" w:hint="eastAsia"/>
          <w:lang w:val="zh-CN"/>
        </w:rPr>
        <w:t>尤其严重</w:t>
      </w:r>
      <w:proofErr w:type="gramStart"/>
      <w:r>
        <w:rPr>
          <w:rFonts w:ascii="Time New Roman" w:eastAsia="楷体" w:hAnsi="Time New Roman" w:hint="eastAsia"/>
          <w:lang w:val="zh-CN"/>
        </w:rPr>
        <w:t>关切</w:t>
      </w:r>
      <w:r>
        <w:rPr>
          <w:rFonts w:hint="eastAsia"/>
          <w:lang w:val="zh-CN"/>
        </w:rPr>
        <w:t>加</w:t>
      </w:r>
      <w:proofErr w:type="gramEnd"/>
      <w:r>
        <w:rPr>
          <w:rFonts w:hint="eastAsia"/>
          <w:lang w:val="zh-CN"/>
        </w:rPr>
        <w:t>沙地带灾难性的人道主义状况以及危急的社会经济状况和安全局势，原因包括形同于封锁的长期持续关闭口岸和严厉限制经济及人员流动的做法，以色列以往军事行动的持续和广泛的不良影响等，并严重关切向以色列境内发射火箭弹的事件，</w:t>
      </w:r>
    </w:p>
    <w:p w:rsidR="007C10A1" w:rsidRDefault="007C10A1" w:rsidP="007C10A1">
      <w:pPr>
        <w:pStyle w:val="SingleTxtGC"/>
      </w:pPr>
      <w:r>
        <w:rPr>
          <w:rFonts w:hint="eastAsia"/>
          <w:lang w:val="zh-CN"/>
        </w:rPr>
        <w:tab/>
      </w:r>
      <w:r>
        <w:rPr>
          <w:rFonts w:ascii="Time New Roman" w:eastAsia="楷体" w:hAnsi="Time New Roman" w:hint="eastAsia"/>
          <w:lang w:val="zh-CN"/>
        </w:rPr>
        <w:t>表示深为关切</w:t>
      </w:r>
      <w:r>
        <w:rPr>
          <w:rFonts w:hint="eastAsia"/>
          <w:lang w:val="zh-CN"/>
        </w:rPr>
        <w:t>继续阻碍重建进程对巴勒斯坦平民的人权状况以及社会经济和</w:t>
      </w:r>
      <w:r>
        <w:rPr>
          <w:rFonts w:hint="eastAsia"/>
          <w:spacing w:val="4"/>
          <w:lang w:val="zh-CN"/>
        </w:rPr>
        <w:t>人道主义状况造成的损害；吁请国际社会加紧努力，向加沙地带提供所需要的援助，</w:t>
      </w:r>
    </w:p>
    <w:p w:rsidR="007C10A1" w:rsidRDefault="007C10A1" w:rsidP="007C10A1">
      <w:pPr>
        <w:pStyle w:val="SingleTxtGC"/>
      </w:pPr>
      <w:r>
        <w:rPr>
          <w:rFonts w:hint="eastAsia"/>
          <w:lang w:val="zh-CN"/>
        </w:rPr>
        <w:lastRenderedPageBreak/>
        <w:tab/>
      </w:r>
      <w:r>
        <w:rPr>
          <w:rFonts w:ascii="Time New Roman" w:eastAsia="楷体" w:hAnsi="Time New Roman" w:hint="eastAsia"/>
          <w:lang w:val="zh-CN"/>
        </w:rPr>
        <w:t>强调</w:t>
      </w:r>
      <w:r>
        <w:rPr>
          <w:rFonts w:hint="eastAsia"/>
          <w:lang w:val="zh-CN"/>
        </w:rPr>
        <w:t>所有各方需按国际人道法的有关规定，与联合国及其他人道主义机构和组织充分合作，确保人道主义人员迅速无阻的通行以及物资和设备的运送，以便</w:t>
      </w:r>
      <w:r>
        <w:rPr>
          <w:rFonts w:hint="eastAsia"/>
          <w:spacing w:val="-6"/>
          <w:lang w:val="zh-CN"/>
        </w:rPr>
        <w:t>这些人员高效率开展工作，向受影响的平民，包括难民和境内流离失所者提供援助，</w:t>
      </w:r>
    </w:p>
    <w:p w:rsidR="007C10A1" w:rsidRDefault="007C10A1" w:rsidP="007C10A1">
      <w:pPr>
        <w:pStyle w:val="SingleTxtGC"/>
      </w:pPr>
      <w:r>
        <w:rPr>
          <w:rFonts w:hint="eastAsia"/>
          <w:lang w:val="zh-CN"/>
        </w:rPr>
        <w:tab/>
      </w:r>
      <w:r>
        <w:rPr>
          <w:rFonts w:ascii="Time New Roman" w:eastAsia="楷体" w:hAnsi="Time New Roman" w:hint="eastAsia"/>
          <w:lang w:val="zh-CN"/>
        </w:rPr>
        <w:t>又强调</w:t>
      </w:r>
      <w:r>
        <w:rPr>
          <w:rFonts w:hint="eastAsia"/>
          <w:lang w:val="zh-CN"/>
        </w:rPr>
        <w:t>需立即结束对加沙地带的封锁，充分落实</w:t>
      </w:r>
      <w:r>
        <w:rPr>
          <w:rFonts w:hint="eastAsia"/>
          <w:lang w:val="zh-CN"/>
        </w:rPr>
        <w:t>2005</w:t>
      </w:r>
      <w:r>
        <w:rPr>
          <w:rFonts w:hint="eastAsia"/>
          <w:lang w:val="zh-CN"/>
        </w:rPr>
        <w:t>年</w:t>
      </w:r>
      <w:r>
        <w:rPr>
          <w:rFonts w:hint="eastAsia"/>
          <w:lang w:val="zh-CN"/>
        </w:rPr>
        <w:t>11</w:t>
      </w:r>
      <w:r>
        <w:rPr>
          <w:rFonts w:hint="eastAsia"/>
          <w:lang w:val="zh-CN"/>
        </w:rPr>
        <w:t>月</w:t>
      </w:r>
      <w:r>
        <w:rPr>
          <w:rFonts w:hint="eastAsia"/>
          <w:lang w:val="zh-CN"/>
        </w:rPr>
        <w:t>15</w:t>
      </w:r>
      <w:r>
        <w:rPr>
          <w:rFonts w:hint="eastAsia"/>
          <w:lang w:val="zh-CN"/>
        </w:rPr>
        <w:t>日《通行进出协定》和《拉法口岸商定原则》，使巴勒斯坦平民能够在加沙地</w:t>
      </w:r>
      <w:proofErr w:type="gramStart"/>
      <w:r>
        <w:rPr>
          <w:rFonts w:hint="eastAsia"/>
          <w:lang w:val="zh-CN"/>
        </w:rPr>
        <w:t>带自由</w:t>
      </w:r>
      <w:proofErr w:type="gramEnd"/>
      <w:r>
        <w:rPr>
          <w:rFonts w:hint="eastAsia"/>
          <w:lang w:val="zh-CN"/>
        </w:rPr>
        <w:t>通行并自由进出，同时考虑到以色列方面的关切，</w:t>
      </w:r>
    </w:p>
    <w:p w:rsidR="007C10A1" w:rsidRDefault="007C10A1" w:rsidP="007C10A1">
      <w:pPr>
        <w:pStyle w:val="SingleTxtGC"/>
      </w:pPr>
      <w:r>
        <w:rPr>
          <w:rFonts w:hint="eastAsia"/>
          <w:lang w:val="zh-CN"/>
        </w:rPr>
        <w:tab/>
      </w:r>
      <w:r>
        <w:rPr>
          <w:rFonts w:ascii="Time New Roman" w:eastAsia="楷体" w:hAnsi="Time New Roman" w:hint="eastAsia"/>
          <w:lang w:val="zh-CN"/>
        </w:rPr>
        <w:t>表示深为关切</w:t>
      </w:r>
      <w:r>
        <w:rPr>
          <w:rFonts w:hint="eastAsia"/>
          <w:lang w:val="zh-CN"/>
        </w:rPr>
        <w:t>以色列实施封锁政策，采取严厉限制措施，建立检查站</w:t>
      </w:r>
      <w:r>
        <w:rPr>
          <w:rFonts w:hint="eastAsia"/>
          <w:lang w:val="zh-CN"/>
        </w:rPr>
        <w:t>(</w:t>
      </w:r>
      <w:r>
        <w:rPr>
          <w:rFonts w:hint="eastAsia"/>
          <w:lang w:val="zh-CN"/>
        </w:rPr>
        <w:t>好几个检查站已经变成类似于永久过境点的设施</w:t>
      </w:r>
      <w:r>
        <w:rPr>
          <w:rFonts w:hint="eastAsia"/>
          <w:lang w:val="zh-CN"/>
        </w:rPr>
        <w:t>)</w:t>
      </w:r>
      <w:r>
        <w:rPr>
          <w:rFonts w:hint="eastAsia"/>
          <w:lang w:val="zh-CN"/>
        </w:rPr>
        <w:t>、设置其他障碍并实行许可证制度，这些措施以歧视性方式实施，只影响巴勒斯坦居民，且都妨碍人员和货物，包括医疗和人道主义物资在包括东耶路撒冷在内的整个巴勒斯坦被占领土自由流动，损害被占领土的毗连性，侵犯巴勒斯坦人民的人权，</w:t>
      </w:r>
    </w:p>
    <w:p w:rsidR="007C10A1" w:rsidRDefault="007C10A1" w:rsidP="007C10A1">
      <w:pPr>
        <w:pStyle w:val="SingleTxtGC"/>
      </w:pPr>
      <w:r>
        <w:rPr>
          <w:rFonts w:hint="eastAsia"/>
          <w:lang w:val="zh-CN"/>
        </w:rPr>
        <w:tab/>
      </w:r>
      <w:r>
        <w:rPr>
          <w:rFonts w:ascii="Time New Roman" w:eastAsia="楷体" w:hAnsi="Time New Roman" w:hint="eastAsia"/>
          <w:lang w:val="zh-CN"/>
        </w:rPr>
        <w:t>深信</w:t>
      </w:r>
      <w:r>
        <w:rPr>
          <w:rFonts w:hint="eastAsia"/>
          <w:lang w:val="zh-CN"/>
        </w:rPr>
        <w:t>以色列的占领严重阻碍了在包括东耶路撒冷在内的巴勒斯坦被占领土实现可持续发展和创造良好经济环境的努力；表示严重关切由此造成的经济和生活条件的恶化，</w:t>
      </w:r>
    </w:p>
    <w:p w:rsidR="007C10A1" w:rsidRDefault="007C10A1" w:rsidP="007C10A1">
      <w:pPr>
        <w:pStyle w:val="SingleTxtGC"/>
      </w:pPr>
      <w:r>
        <w:rPr>
          <w:rFonts w:hint="eastAsia"/>
          <w:lang w:val="zh-CN"/>
        </w:rPr>
        <w:tab/>
      </w:r>
      <w:r>
        <w:rPr>
          <w:rFonts w:ascii="Time New Roman" w:eastAsia="楷体" w:hAnsi="Time New Roman" w:hint="eastAsia"/>
          <w:lang w:val="zh-CN"/>
        </w:rPr>
        <w:t>痛惜</w:t>
      </w:r>
      <w:r>
        <w:rPr>
          <w:rFonts w:hint="eastAsia"/>
          <w:lang w:val="zh-CN"/>
        </w:rPr>
        <w:t>让非法定居在包括东耶路撒冷在内的巴勒斯坦被占领土上的以色列定居者享受各种优惠的政策和做法，他们在使用公路、基础设施、土地、财产、住房、自然资源和司法机制方面比巴勒斯坦居民享有更优惠的待遇，造成对巴勒斯坦人民人权的普遍侵犯，</w:t>
      </w:r>
    </w:p>
    <w:p w:rsidR="007C10A1" w:rsidRDefault="007C10A1" w:rsidP="007C10A1">
      <w:pPr>
        <w:pStyle w:val="SingleTxtGC"/>
      </w:pPr>
      <w:r>
        <w:rPr>
          <w:rFonts w:hint="eastAsia"/>
          <w:lang w:val="zh-CN"/>
        </w:rPr>
        <w:tab/>
      </w:r>
      <w:r>
        <w:rPr>
          <w:rFonts w:ascii="Time New Roman" w:eastAsia="楷体" w:hAnsi="Time New Roman" w:hint="eastAsia"/>
          <w:lang w:val="zh-CN"/>
        </w:rPr>
        <w:t>表示深为关切</w:t>
      </w:r>
      <w:r>
        <w:rPr>
          <w:rFonts w:hint="eastAsia"/>
          <w:lang w:val="zh-CN"/>
        </w:rPr>
        <w:t>成千上万的巴勒斯坦人，包括许多儿童和妇女以及当选的巴勒斯坦立法委员会委员，继续遭受拘留，被关押在以色列监狱或拘留所，那里的条件恶劣，比如卫生条件差，被单独监禁，缺乏适当医疗服务，不允许家人探访，剥夺正当法律程序，损害囚犯福祉；并表示深为关切巴勒斯坦囚犯遭受的虐待和骚扰，以及所有的酷刑报告，</w:t>
      </w:r>
    </w:p>
    <w:p w:rsidR="007C10A1" w:rsidRDefault="007C10A1" w:rsidP="007C10A1">
      <w:pPr>
        <w:pStyle w:val="SingleTxtGC"/>
      </w:pPr>
      <w:r>
        <w:rPr>
          <w:rFonts w:hint="eastAsia"/>
          <w:lang w:val="zh-CN"/>
        </w:rPr>
        <w:tab/>
      </w:r>
      <w:r>
        <w:rPr>
          <w:rFonts w:ascii="Time New Roman" w:eastAsia="楷体" w:hAnsi="Time New Roman" w:hint="eastAsia"/>
          <w:lang w:val="zh-CN"/>
        </w:rPr>
        <w:t>回顾</w:t>
      </w:r>
      <w:r>
        <w:rPr>
          <w:rFonts w:hint="eastAsia"/>
          <w:lang w:val="zh-CN"/>
        </w:rPr>
        <w:t>《联合国囚犯待遇最低限度标准规则》</w:t>
      </w:r>
      <w:r>
        <w:rPr>
          <w:rFonts w:hint="eastAsia"/>
          <w:lang w:val="zh-CN"/>
        </w:rPr>
        <w:t>(</w:t>
      </w:r>
      <w:r>
        <w:rPr>
          <w:rFonts w:hint="eastAsia"/>
          <w:lang w:val="zh-CN"/>
        </w:rPr>
        <w:t>《纳尔逊·曼德拉规则》</w:t>
      </w:r>
      <w:r>
        <w:rPr>
          <w:rFonts w:hint="eastAsia"/>
          <w:lang w:val="zh-CN"/>
        </w:rPr>
        <w:t>)</w:t>
      </w:r>
      <w:r>
        <w:rPr>
          <w:rFonts w:hint="eastAsia"/>
          <w:lang w:val="zh-CN"/>
        </w:rPr>
        <w:t>和《联合国女性囚犯待遇和女性罪犯非拘禁措施规则》</w:t>
      </w:r>
      <w:r>
        <w:rPr>
          <w:rFonts w:hint="eastAsia"/>
          <w:lang w:val="zh-CN"/>
        </w:rPr>
        <w:t>(</w:t>
      </w:r>
      <w:r>
        <w:rPr>
          <w:rFonts w:hint="eastAsia"/>
          <w:lang w:val="zh-CN"/>
        </w:rPr>
        <w:t>《曼谷规则》</w:t>
      </w:r>
      <w:r>
        <w:rPr>
          <w:rFonts w:hint="eastAsia"/>
          <w:lang w:val="zh-CN"/>
        </w:rPr>
        <w:t>)</w:t>
      </w:r>
      <w:r>
        <w:rPr>
          <w:rFonts w:hint="eastAsia"/>
          <w:lang w:val="zh-CN"/>
        </w:rPr>
        <w:t>，呼吁遵守这些规则，</w:t>
      </w:r>
    </w:p>
    <w:p w:rsidR="007C10A1" w:rsidRDefault="007C10A1" w:rsidP="007C10A1">
      <w:pPr>
        <w:pStyle w:val="SingleTxtGC"/>
      </w:pPr>
      <w:r>
        <w:rPr>
          <w:rFonts w:hint="eastAsia"/>
          <w:lang w:val="zh-CN"/>
        </w:rPr>
        <w:tab/>
      </w:r>
      <w:r>
        <w:rPr>
          <w:rFonts w:ascii="Time New Roman" w:eastAsia="楷体" w:hAnsi="Time New Roman" w:hint="eastAsia"/>
          <w:lang w:val="zh-CN"/>
        </w:rPr>
        <w:t>又回顾</w:t>
      </w:r>
      <w:r>
        <w:rPr>
          <w:rFonts w:hint="eastAsia"/>
          <w:lang w:val="zh-CN"/>
        </w:rPr>
        <w:t>国际人道法禁止将平民迁出</w:t>
      </w:r>
      <w:r>
        <w:rPr>
          <w:rFonts w:hint="eastAsia"/>
          <w:lang w:val="zh-CN"/>
        </w:rPr>
        <w:t>(</w:t>
      </w:r>
      <w:r>
        <w:rPr>
          <w:rFonts w:hint="eastAsia"/>
          <w:lang w:val="zh-CN"/>
        </w:rPr>
        <w:t>入</w:t>
      </w:r>
      <w:r>
        <w:rPr>
          <w:rFonts w:hint="eastAsia"/>
          <w:lang w:val="zh-CN"/>
        </w:rPr>
        <w:t>)</w:t>
      </w:r>
      <w:r>
        <w:rPr>
          <w:rFonts w:hint="eastAsia"/>
          <w:lang w:val="zh-CN"/>
        </w:rPr>
        <w:t>和逐出</w:t>
      </w:r>
      <w:r>
        <w:rPr>
          <w:rFonts w:hint="eastAsia"/>
          <w:lang w:val="zh-CN"/>
        </w:rPr>
        <w:t>(</w:t>
      </w:r>
      <w:r>
        <w:rPr>
          <w:rFonts w:hint="eastAsia"/>
          <w:lang w:val="zh-CN"/>
        </w:rPr>
        <w:t>入</w:t>
      </w:r>
      <w:r>
        <w:rPr>
          <w:rFonts w:hint="eastAsia"/>
          <w:lang w:val="zh-CN"/>
        </w:rPr>
        <w:t>)</w:t>
      </w:r>
      <w:r>
        <w:rPr>
          <w:rFonts w:hint="eastAsia"/>
          <w:lang w:val="zh-CN"/>
        </w:rPr>
        <w:t>被占领土，</w:t>
      </w:r>
    </w:p>
    <w:p w:rsidR="007C10A1" w:rsidRDefault="007C10A1" w:rsidP="007C10A1">
      <w:pPr>
        <w:pStyle w:val="SingleTxtGC"/>
      </w:pPr>
      <w:r>
        <w:rPr>
          <w:rFonts w:hint="eastAsia"/>
          <w:lang w:val="zh-CN"/>
        </w:rPr>
        <w:tab/>
      </w:r>
      <w:r>
        <w:rPr>
          <w:rFonts w:ascii="Time New Roman" w:eastAsia="楷体" w:hAnsi="Time New Roman" w:hint="eastAsia"/>
          <w:lang w:val="zh-CN"/>
        </w:rPr>
        <w:t>痛惜</w:t>
      </w:r>
      <w:r>
        <w:rPr>
          <w:rFonts w:hint="eastAsia"/>
          <w:lang w:val="zh-CN"/>
        </w:rPr>
        <w:t>扣留遇害者尸体的做法，呼吁按照国际人道法和人权法不再扣留尚未归还亲属的遗体，</w:t>
      </w:r>
    </w:p>
    <w:p w:rsidR="007C10A1" w:rsidRDefault="007C10A1" w:rsidP="007C10A1">
      <w:pPr>
        <w:pStyle w:val="SingleTxtGC"/>
      </w:pPr>
      <w:r>
        <w:rPr>
          <w:rFonts w:hint="eastAsia"/>
          <w:lang w:val="zh-CN"/>
        </w:rPr>
        <w:tab/>
      </w:r>
      <w:r>
        <w:rPr>
          <w:rFonts w:ascii="Time New Roman" w:eastAsia="楷体" w:hAnsi="Time New Roman" w:hint="eastAsia"/>
          <w:lang w:val="zh-CN"/>
        </w:rPr>
        <w:t>强调</w:t>
      </w:r>
      <w:r>
        <w:rPr>
          <w:rFonts w:hint="eastAsia"/>
          <w:lang w:val="zh-CN"/>
        </w:rPr>
        <w:t>需保护在包括东耶路撒冷在内的巴勒斯坦被占领土积极倡导人权问题的人权维护者，使他们能够自由地开展工作，无需担心受到袭击、骚扰、任意拘留或刑事起诉，</w:t>
      </w:r>
    </w:p>
    <w:p w:rsidR="007C10A1" w:rsidRDefault="007C10A1" w:rsidP="007C10A1">
      <w:pPr>
        <w:pStyle w:val="SingleTxtGC"/>
      </w:pPr>
      <w:r>
        <w:rPr>
          <w:rFonts w:hint="eastAsia"/>
          <w:lang w:val="zh-CN"/>
        </w:rPr>
        <w:tab/>
      </w:r>
      <w:r>
        <w:rPr>
          <w:rFonts w:ascii="Time New Roman" w:eastAsia="楷体" w:hAnsi="Time New Roman" w:hint="eastAsia"/>
          <w:lang w:val="zh-CN"/>
        </w:rPr>
        <w:t>深信</w:t>
      </w:r>
      <w:r>
        <w:rPr>
          <w:rFonts w:hint="eastAsia"/>
          <w:lang w:val="zh-CN"/>
        </w:rPr>
        <w:t>需派驻国际人员监测局势，推动结束暴力和保护巴勒斯坦平民，并协助各方执行所达成的协议；在这方面回顾希伯</w:t>
      </w:r>
      <w:proofErr w:type="gramStart"/>
      <w:r>
        <w:rPr>
          <w:rFonts w:hint="eastAsia"/>
          <w:lang w:val="zh-CN"/>
        </w:rPr>
        <w:t>伦临时</w:t>
      </w:r>
      <w:proofErr w:type="gramEnd"/>
      <w:r>
        <w:rPr>
          <w:rFonts w:hint="eastAsia"/>
          <w:lang w:val="zh-CN"/>
        </w:rPr>
        <w:t>国际驻留人员所做的积极贡献；感到遗憾的是，以色列单方面决定不延长其任务期限，从而放弃为数不多的</w:t>
      </w:r>
      <w:r>
        <w:rPr>
          <w:rFonts w:hint="eastAsia"/>
          <w:spacing w:val="-6"/>
          <w:lang w:val="zh-CN"/>
        </w:rPr>
        <w:t>解决以色列人和巴勒斯坦人之间冲突的既定机制之一，这可能对局势产生负面影响，</w:t>
      </w:r>
    </w:p>
    <w:p w:rsidR="007C10A1" w:rsidRDefault="007C10A1" w:rsidP="007C10A1">
      <w:pPr>
        <w:pStyle w:val="SingleTxtGC"/>
      </w:pPr>
      <w:r>
        <w:rPr>
          <w:rFonts w:hint="eastAsia"/>
          <w:lang w:val="zh-CN"/>
        </w:rPr>
        <w:tab/>
      </w:r>
      <w:r>
        <w:rPr>
          <w:rFonts w:ascii="Time New Roman" w:eastAsia="楷体" w:hAnsi="Time New Roman" w:hint="eastAsia"/>
          <w:lang w:val="zh-CN"/>
        </w:rPr>
        <w:t>强调</w:t>
      </w:r>
      <w:r>
        <w:rPr>
          <w:rFonts w:hint="eastAsia"/>
          <w:lang w:val="zh-CN"/>
        </w:rPr>
        <w:t>该地区所有人民有权享有国际人权两公约所载的各项人权，</w:t>
      </w:r>
    </w:p>
    <w:p w:rsidR="005647B0" w:rsidRDefault="005647B0">
      <w:pPr>
        <w:overflowPunct/>
        <w:adjustRightInd/>
        <w:snapToGrid/>
        <w:spacing w:line="240" w:lineRule="auto"/>
        <w:rPr>
          <w:lang w:val="zh-CN"/>
        </w:rPr>
      </w:pPr>
      <w:r>
        <w:rPr>
          <w:lang w:val="zh-CN"/>
        </w:rPr>
        <w:br w:type="page"/>
      </w:r>
    </w:p>
    <w:p w:rsidR="007C10A1" w:rsidRDefault="007C10A1" w:rsidP="007C10A1">
      <w:pPr>
        <w:pStyle w:val="SingleTxtGC"/>
      </w:pPr>
      <w:r>
        <w:rPr>
          <w:rFonts w:hint="eastAsia"/>
          <w:lang w:val="zh-CN"/>
        </w:rPr>
        <w:lastRenderedPageBreak/>
        <w:tab/>
        <w:t>1.</w:t>
      </w:r>
      <w:r>
        <w:rPr>
          <w:rFonts w:hint="eastAsia"/>
          <w:lang w:val="zh-CN"/>
        </w:rPr>
        <w:tab/>
      </w:r>
      <w:r>
        <w:rPr>
          <w:rFonts w:ascii="Time New Roman" w:eastAsia="楷体" w:hAnsi="Time New Roman" w:hint="eastAsia"/>
          <w:lang w:val="zh-CN"/>
        </w:rPr>
        <w:t>要求</w:t>
      </w:r>
      <w:r>
        <w:rPr>
          <w:rFonts w:hint="eastAsia"/>
          <w:lang w:val="zh-CN"/>
        </w:rPr>
        <w:t>占领国以色列撤出自</w:t>
      </w:r>
      <w:r>
        <w:rPr>
          <w:rFonts w:hint="eastAsia"/>
          <w:lang w:val="zh-CN"/>
        </w:rPr>
        <w:t>1967</w:t>
      </w:r>
      <w:r>
        <w:rPr>
          <w:rFonts w:hint="eastAsia"/>
          <w:lang w:val="zh-CN"/>
        </w:rPr>
        <w:t>年以来占领的包括东耶路撒冷在内的巴勒斯坦领土，使巴勒斯坦人民能够行使其国际公认的自决权；</w:t>
      </w:r>
    </w:p>
    <w:p w:rsidR="007C10A1" w:rsidRDefault="007C10A1" w:rsidP="007C10A1">
      <w:pPr>
        <w:pStyle w:val="SingleTxtGC"/>
      </w:pPr>
      <w:r>
        <w:rPr>
          <w:rFonts w:hint="eastAsia"/>
          <w:lang w:val="zh-CN"/>
        </w:rPr>
        <w:tab/>
        <w:t>2.</w:t>
      </w:r>
      <w:r>
        <w:rPr>
          <w:rFonts w:hint="eastAsia"/>
          <w:lang w:val="zh-CN"/>
        </w:rPr>
        <w:tab/>
      </w:r>
      <w:r>
        <w:rPr>
          <w:rFonts w:ascii="Time New Roman" w:eastAsia="楷体" w:hAnsi="Time New Roman" w:hint="eastAsia"/>
          <w:lang w:val="zh-CN"/>
        </w:rPr>
        <w:t>重申</w:t>
      </w:r>
      <w:r>
        <w:rPr>
          <w:rFonts w:hint="eastAsia"/>
          <w:lang w:val="zh-CN"/>
        </w:rPr>
        <w:t>占领国以色列在包括东耶路撒冷在内的巴勒斯坦被占领土所采取的一切违反</w:t>
      </w:r>
      <w:r>
        <w:rPr>
          <w:rFonts w:hint="eastAsia"/>
          <w:lang w:val="zh-CN"/>
        </w:rPr>
        <w:t>1949</w:t>
      </w:r>
      <w:r>
        <w:rPr>
          <w:rFonts w:hint="eastAsia"/>
          <w:lang w:val="zh-CN"/>
        </w:rPr>
        <w:t>年</w:t>
      </w:r>
      <w:r>
        <w:rPr>
          <w:rFonts w:hint="eastAsia"/>
          <w:lang w:val="zh-CN"/>
        </w:rPr>
        <w:t>8</w:t>
      </w:r>
      <w:r>
        <w:rPr>
          <w:rFonts w:hint="eastAsia"/>
          <w:lang w:val="zh-CN"/>
        </w:rPr>
        <w:t>月</w:t>
      </w:r>
      <w:r>
        <w:rPr>
          <w:rFonts w:hint="eastAsia"/>
          <w:lang w:val="zh-CN"/>
        </w:rPr>
        <w:t>12</w:t>
      </w:r>
      <w:r>
        <w:rPr>
          <w:rFonts w:hint="eastAsia"/>
          <w:lang w:val="zh-CN"/>
        </w:rPr>
        <w:t>日《关于战时保护平民之日内瓦公约》的有关规定和违背安全理事会有关决议的措施和行动都是非法和无效的；</w:t>
      </w:r>
    </w:p>
    <w:p w:rsidR="007C10A1" w:rsidRDefault="007C10A1" w:rsidP="007C10A1">
      <w:pPr>
        <w:pStyle w:val="SingleTxtGC"/>
      </w:pPr>
      <w:r>
        <w:rPr>
          <w:rFonts w:hint="eastAsia"/>
          <w:lang w:val="zh-CN"/>
        </w:rPr>
        <w:tab/>
        <w:t>3.</w:t>
      </w:r>
      <w:r>
        <w:rPr>
          <w:rFonts w:hint="eastAsia"/>
          <w:lang w:val="zh-CN"/>
        </w:rPr>
        <w:tab/>
      </w:r>
      <w:r>
        <w:rPr>
          <w:rFonts w:ascii="Time New Roman" w:eastAsia="楷体" w:hAnsi="Time New Roman" w:hint="eastAsia"/>
          <w:lang w:val="zh-CN"/>
        </w:rPr>
        <w:t>要求</w:t>
      </w:r>
      <w:r>
        <w:rPr>
          <w:rFonts w:hint="eastAsia"/>
          <w:lang w:val="zh-CN"/>
        </w:rPr>
        <w:t>占领国以色列充分遵守</w:t>
      </w:r>
      <w:r>
        <w:rPr>
          <w:rFonts w:hint="eastAsia"/>
          <w:lang w:val="zh-CN"/>
        </w:rPr>
        <w:t>1949</w:t>
      </w:r>
      <w:r>
        <w:rPr>
          <w:rFonts w:hint="eastAsia"/>
          <w:lang w:val="zh-CN"/>
        </w:rPr>
        <w:t>年《日内瓦第四公约》的规定，立即停止一切违反和违背该公约的措施和行动；</w:t>
      </w:r>
    </w:p>
    <w:p w:rsidR="007C10A1" w:rsidRDefault="007C10A1" w:rsidP="007C10A1">
      <w:pPr>
        <w:pStyle w:val="SingleTxtGC"/>
      </w:pPr>
      <w:r>
        <w:rPr>
          <w:rFonts w:hint="eastAsia"/>
          <w:lang w:val="zh-CN"/>
        </w:rPr>
        <w:tab/>
        <w:t>4.</w:t>
      </w:r>
      <w:r>
        <w:rPr>
          <w:rFonts w:hint="eastAsia"/>
          <w:lang w:val="zh-CN"/>
        </w:rPr>
        <w:tab/>
      </w:r>
      <w:r>
        <w:rPr>
          <w:rFonts w:ascii="Time New Roman" w:eastAsia="楷体" w:hAnsi="Time New Roman" w:hint="eastAsia"/>
          <w:lang w:val="zh-CN"/>
        </w:rPr>
        <w:t>又要求</w:t>
      </w:r>
      <w:r>
        <w:rPr>
          <w:rFonts w:hint="eastAsia"/>
          <w:lang w:val="zh-CN"/>
        </w:rPr>
        <w:t>占领国以色列停止一切侵犯巴勒斯坦人民人权的做法和行动，充分尊重人权法并履行其在这方面所承担的法律义务，包括联合国有关决议所规定的法律义务；</w:t>
      </w:r>
    </w:p>
    <w:p w:rsidR="007C10A1" w:rsidRDefault="007C10A1" w:rsidP="007C10A1">
      <w:pPr>
        <w:pStyle w:val="SingleTxtGC"/>
      </w:pPr>
      <w:r>
        <w:rPr>
          <w:rFonts w:hint="eastAsia"/>
          <w:lang w:val="zh-CN"/>
        </w:rPr>
        <w:tab/>
        <w:t>5.</w:t>
      </w:r>
      <w:r>
        <w:rPr>
          <w:rFonts w:hint="eastAsia"/>
          <w:lang w:val="zh-CN"/>
        </w:rPr>
        <w:tab/>
      </w:r>
      <w:r>
        <w:rPr>
          <w:rFonts w:ascii="Time New Roman" w:eastAsia="楷体" w:hAnsi="Time New Roman" w:hint="eastAsia"/>
          <w:lang w:val="zh-CN"/>
        </w:rPr>
        <w:t>呼吁</w:t>
      </w:r>
      <w:r>
        <w:rPr>
          <w:rFonts w:hint="eastAsia"/>
          <w:lang w:val="zh-CN"/>
        </w:rPr>
        <w:t>根据国际人道法相关规定并响应安全理事会</w:t>
      </w:r>
      <w:r>
        <w:rPr>
          <w:rFonts w:hint="eastAsia"/>
          <w:lang w:val="zh-CN"/>
        </w:rPr>
        <w:t>1994</w:t>
      </w:r>
      <w:r>
        <w:rPr>
          <w:rFonts w:hint="eastAsia"/>
          <w:lang w:val="zh-CN"/>
        </w:rPr>
        <w:t>年</w:t>
      </w:r>
      <w:r>
        <w:rPr>
          <w:rFonts w:hint="eastAsia"/>
          <w:lang w:val="zh-CN"/>
        </w:rPr>
        <w:t>3</w:t>
      </w:r>
      <w:r>
        <w:rPr>
          <w:rFonts w:hint="eastAsia"/>
          <w:lang w:val="zh-CN"/>
        </w:rPr>
        <w:t>月</w:t>
      </w:r>
      <w:r>
        <w:rPr>
          <w:rFonts w:hint="eastAsia"/>
          <w:lang w:val="zh-CN"/>
        </w:rPr>
        <w:t>18</w:t>
      </w:r>
      <w:r>
        <w:rPr>
          <w:rFonts w:hint="eastAsia"/>
          <w:lang w:val="zh-CN"/>
        </w:rPr>
        <w:t>日第</w:t>
      </w:r>
      <w:r>
        <w:rPr>
          <w:rFonts w:hint="eastAsia"/>
          <w:lang w:val="zh-CN"/>
        </w:rPr>
        <w:t>904(1994)</w:t>
      </w:r>
      <w:r>
        <w:rPr>
          <w:rFonts w:hint="eastAsia"/>
          <w:lang w:val="zh-CN"/>
        </w:rPr>
        <w:t>号决议的呼声，采取紧急措施确保包括东耶路撒冷在内的巴勒斯坦被占领土上巴勒斯坦平民的安全和对他们的保护；</w:t>
      </w:r>
    </w:p>
    <w:p w:rsidR="007C10A1" w:rsidRDefault="007C10A1" w:rsidP="007C10A1">
      <w:pPr>
        <w:pStyle w:val="SingleTxtGC"/>
      </w:pPr>
      <w:r>
        <w:rPr>
          <w:rFonts w:hint="eastAsia"/>
          <w:lang w:val="zh-CN"/>
        </w:rPr>
        <w:tab/>
        <w:t>6.</w:t>
      </w:r>
      <w:r>
        <w:rPr>
          <w:rFonts w:hint="eastAsia"/>
          <w:lang w:val="zh-CN"/>
        </w:rPr>
        <w:tab/>
      </w:r>
      <w:r>
        <w:rPr>
          <w:rFonts w:ascii="Time New Roman" w:eastAsia="楷体" w:hAnsi="Time New Roman" w:hint="eastAsia"/>
          <w:lang w:val="zh-CN"/>
        </w:rPr>
        <w:t>痛惜</w:t>
      </w:r>
      <w:r>
        <w:rPr>
          <w:rFonts w:hint="eastAsia"/>
          <w:lang w:val="zh-CN"/>
        </w:rPr>
        <w:t>以色列长期不与特别程序任务负责人和其他联合国机制合作；呼吁以色列与人权理事会及其所有特别程序、有关机制和调查机制以及联合国人权事务高级专员办事处充分合作；</w:t>
      </w:r>
    </w:p>
    <w:p w:rsidR="007C10A1" w:rsidRDefault="007C10A1" w:rsidP="007C10A1">
      <w:pPr>
        <w:pStyle w:val="SingleTxtGC"/>
      </w:pPr>
      <w:r>
        <w:rPr>
          <w:rFonts w:hint="eastAsia"/>
          <w:lang w:val="zh-CN"/>
        </w:rPr>
        <w:tab/>
        <w:t>7.</w:t>
      </w:r>
      <w:r>
        <w:rPr>
          <w:rFonts w:hint="eastAsia"/>
          <w:lang w:val="zh-CN"/>
        </w:rPr>
        <w:tab/>
      </w:r>
      <w:r>
        <w:rPr>
          <w:rFonts w:ascii="Time New Roman" w:eastAsia="楷体" w:hAnsi="Time New Roman" w:hint="eastAsia"/>
          <w:lang w:val="zh-CN"/>
        </w:rPr>
        <w:t>要求</w:t>
      </w:r>
      <w:r>
        <w:rPr>
          <w:rFonts w:hint="eastAsia"/>
          <w:lang w:val="zh-CN"/>
        </w:rPr>
        <w:t>占领国以色列停止在巴勒斯坦被占领土，包括在东耶路撒冷及其周围的一切定居活动、修建隔离墙以及其他任何旨在改变这些地区的性质、地位和人口构成的措施，所有这些活动和措施，除其他外，对巴勒斯坦人民的人权与和平解决的前景产生了严重而有害的影响；</w:t>
      </w:r>
    </w:p>
    <w:p w:rsidR="007C10A1" w:rsidRDefault="007C10A1" w:rsidP="007C10A1">
      <w:pPr>
        <w:pStyle w:val="SingleTxtGC"/>
      </w:pPr>
      <w:r>
        <w:rPr>
          <w:rFonts w:hint="eastAsia"/>
          <w:lang w:val="zh-CN"/>
        </w:rPr>
        <w:tab/>
        <w:t>8.</w:t>
      </w:r>
      <w:r>
        <w:rPr>
          <w:rFonts w:hint="eastAsia"/>
          <w:lang w:val="zh-CN"/>
        </w:rPr>
        <w:tab/>
      </w:r>
      <w:r>
        <w:rPr>
          <w:rFonts w:ascii="Time New Roman" w:eastAsia="楷体" w:hAnsi="Time New Roman" w:hint="eastAsia"/>
          <w:lang w:val="zh-CN"/>
        </w:rPr>
        <w:t>又要求</w:t>
      </w:r>
      <w:r>
        <w:rPr>
          <w:rFonts w:hint="eastAsia"/>
          <w:lang w:val="zh-CN"/>
        </w:rPr>
        <w:t>占领国以色列如国际法院</w:t>
      </w:r>
      <w:r>
        <w:rPr>
          <w:rFonts w:hint="eastAsia"/>
          <w:lang w:val="zh-CN"/>
        </w:rPr>
        <w:t>2004</w:t>
      </w:r>
      <w:r>
        <w:rPr>
          <w:rFonts w:hint="eastAsia"/>
          <w:lang w:val="zh-CN"/>
        </w:rPr>
        <w:t>年</w:t>
      </w:r>
      <w:r>
        <w:rPr>
          <w:rFonts w:hint="eastAsia"/>
          <w:lang w:val="zh-CN"/>
        </w:rPr>
        <w:t>7</w:t>
      </w:r>
      <w:r>
        <w:rPr>
          <w:rFonts w:hint="eastAsia"/>
          <w:lang w:val="zh-CN"/>
        </w:rPr>
        <w:t>月</w:t>
      </w:r>
      <w:r>
        <w:rPr>
          <w:rFonts w:hint="eastAsia"/>
          <w:lang w:val="zh-CN"/>
        </w:rPr>
        <w:t>9</w:t>
      </w:r>
      <w:r>
        <w:rPr>
          <w:rFonts w:hint="eastAsia"/>
          <w:lang w:val="zh-CN"/>
        </w:rPr>
        <w:t>日发布的咨询意见中所述，并按大会</w:t>
      </w:r>
      <w:r>
        <w:rPr>
          <w:rFonts w:hint="eastAsia"/>
          <w:lang w:val="zh-CN"/>
        </w:rPr>
        <w:t>ES-10/15</w:t>
      </w:r>
      <w:r>
        <w:rPr>
          <w:rFonts w:hint="eastAsia"/>
          <w:lang w:val="zh-CN"/>
        </w:rPr>
        <w:t>号决议和</w:t>
      </w:r>
      <w:r>
        <w:rPr>
          <w:rFonts w:hint="eastAsia"/>
          <w:lang w:val="zh-CN"/>
        </w:rPr>
        <w:t>ES-10/13</w:t>
      </w:r>
      <w:r>
        <w:rPr>
          <w:rFonts w:hint="eastAsia"/>
          <w:lang w:val="zh-CN"/>
        </w:rPr>
        <w:t>号决议的要求，履行其根据国际法所承担的法律义务，立即停止在巴勒斯坦被占领土，包括在东耶路撒冷及其周围修建隔离墙，尽快拆除在那里修建的此类设施，撤销或废止所有与之有关的法律和规章，并对修建隔离墙所造成的一切损害给予赔偿，因为这种行为对巴勒斯坦人民的人权和社会经济生活条件造成了严重影响；</w:t>
      </w:r>
    </w:p>
    <w:p w:rsidR="007C10A1" w:rsidRDefault="007C10A1" w:rsidP="007C10A1">
      <w:pPr>
        <w:pStyle w:val="SingleTxtGC"/>
      </w:pPr>
      <w:r>
        <w:rPr>
          <w:rFonts w:hint="eastAsia"/>
          <w:lang w:val="zh-CN"/>
        </w:rPr>
        <w:tab/>
        <w:t>9.</w:t>
      </w:r>
      <w:r>
        <w:rPr>
          <w:rFonts w:hint="eastAsia"/>
          <w:lang w:val="zh-CN"/>
        </w:rPr>
        <w:tab/>
      </w:r>
      <w:r>
        <w:rPr>
          <w:rFonts w:ascii="Time New Roman" w:eastAsia="楷体" w:hAnsi="Time New Roman" w:hint="eastAsia"/>
          <w:lang w:val="zh-CN"/>
        </w:rPr>
        <w:t>吁请</w:t>
      </w:r>
      <w:r>
        <w:rPr>
          <w:rFonts w:hint="eastAsia"/>
          <w:lang w:val="zh-CN"/>
        </w:rPr>
        <w:t>以色列立即停止一切可能导致巴勒斯坦人被强迫迁移或强制驱逐的拆除行动或拆除计划，尤其是在受影响最为严重的约旦河谷、耶路撒冷周边地区和</w:t>
      </w:r>
      <w:proofErr w:type="gramStart"/>
      <w:r>
        <w:rPr>
          <w:rFonts w:hint="eastAsia"/>
          <w:lang w:val="zh-CN"/>
        </w:rPr>
        <w:t>希伯</w:t>
      </w:r>
      <w:proofErr w:type="gramEnd"/>
      <w:r>
        <w:rPr>
          <w:rFonts w:hint="eastAsia"/>
          <w:lang w:val="zh-CN"/>
        </w:rPr>
        <w:t>伦南部山地，帮助已经被强迫迁移或驱逐的巴勒斯坦人社区返回他们原来的住处，并确保适当的住房和对土地</w:t>
      </w:r>
      <w:proofErr w:type="gramStart"/>
      <w:r>
        <w:rPr>
          <w:rFonts w:hint="eastAsia"/>
          <w:lang w:val="zh-CN"/>
        </w:rPr>
        <w:t>保有权</w:t>
      </w:r>
      <w:proofErr w:type="gramEnd"/>
      <w:r>
        <w:rPr>
          <w:rFonts w:hint="eastAsia"/>
          <w:lang w:val="zh-CN"/>
        </w:rPr>
        <w:t>的法律保障；</w:t>
      </w:r>
    </w:p>
    <w:p w:rsidR="007C10A1" w:rsidRDefault="007C10A1" w:rsidP="007C10A1">
      <w:pPr>
        <w:pStyle w:val="SingleTxtGC"/>
      </w:pPr>
      <w:r>
        <w:rPr>
          <w:rFonts w:hint="eastAsia"/>
          <w:lang w:val="zh-CN"/>
        </w:rPr>
        <w:tab/>
        <w:t>10.</w:t>
      </w:r>
      <w:r>
        <w:rPr>
          <w:rFonts w:hint="eastAsia"/>
          <w:lang w:val="zh-CN"/>
        </w:rPr>
        <w:tab/>
      </w:r>
      <w:r>
        <w:rPr>
          <w:rFonts w:ascii="Time New Roman" w:eastAsia="楷体" w:hAnsi="Time New Roman" w:hint="eastAsia"/>
          <w:lang w:val="zh-CN"/>
        </w:rPr>
        <w:t>痛惜</w:t>
      </w:r>
      <w:r>
        <w:rPr>
          <w:rFonts w:hint="eastAsia"/>
          <w:lang w:val="zh-CN"/>
        </w:rPr>
        <w:t>以色列在被占东耶路撒冷采取各种非法行动，包括在各地建造定居点；拆除住宅建筑物、强行驱逐巴勒斯坦居民以及实行惩罚性拆毁住房政策；通过各种歧视性法律实行撤销东耶路撒冷的巴勒斯坦居民居留证的政策；在宗教场所和历史遗址周围进行挖掘；以及其他一切旨在改变该城和整个领土的性质、地位和人口构成的单方面措施，包括企图非法改变圣地现状的措施；</w:t>
      </w:r>
    </w:p>
    <w:p w:rsidR="007C10A1" w:rsidRDefault="007C10A1" w:rsidP="007C10A1">
      <w:pPr>
        <w:pStyle w:val="SingleTxtGC"/>
      </w:pPr>
      <w:r>
        <w:rPr>
          <w:rFonts w:hint="eastAsia"/>
          <w:lang w:val="zh-CN"/>
        </w:rPr>
        <w:tab/>
        <w:t>11.</w:t>
      </w:r>
      <w:r>
        <w:rPr>
          <w:rFonts w:hint="eastAsia"/>
          <w:lang w:val="zh-CN"/>
        </w:rPr>
        <w:tab/>
      </w:r>
      <w:r>
        <w:rPr>
          <w:rFonts w:ascii="Time New Roman" w:eastAsia="楷体" w:hAnsi="Time New Roman" w:hint="eastAsia"/>
          <w:lang w:val="zh-CN"/>
        </w:rPr>
        <w:t>表示严重关切</w:t>
      </w:r>
      <w:r>
        <w:rPr>
          <w:rFonts w:hint="eastAsia"/>
          <w:lang w:val="zh-CN"/>
        </w:rPr>
        <w:t>以色列实行各种限制，阻止基督教和穆斯林礼拜者前往包括东耶路撒冷在内的巴勒斯坦被占领土上的圣地；吁请以色列建立保障机制，不以宗教或信仰为由进行歧视，同时对所有宗教场所进行保护并确保人们可以和平进入上述场所；</w:t>
      </w:r>
    </w:p>
    <w:p w:rsidR="007C10A1" w:rsidRDefault="007C10A1" w:rsidP="007C10A1">
      <w:pPr>
        <w:pStyle w:val="SingleTxtGC"/>
      </w:pPr>
      <w:r>
        <w:rPr>
          <w:rFonts w:hint="eastAsia"/>
          <w:lang w:val="zh-CN"/>
        </w:rPr>
        <w:lastRenderedPageBreak/>
        <w:tab/>
        <w:t>12.</w:t>
      </w:r>
      <w:r>
        <w:rPr>
          <w:rFonts w:hint="eastAsia"/>
          <w:lang w:val="zh-CN"/>
        </w:rPr>
        <w:tab/>
      </w:r>
      <w:r>
        <w:rPr>
          <w:rFonts w:ascii="Time New Roman" w:eastAsia="楷体" w:hAnsi="Time New Roman" w:hint="eastAsia"/>
          <w:lang w:val="zh-CN"/>
        </w:rPr>
        <w:t>促请</w:t>
      </w:r>
      <w:r>
        <w:rPr>
          <w:rFonts w:hint="eastAsia"/>
          <w:lang w:val="zh-CN"/>
        </w:rPr>
        <w:t>以色列确保巴勒斯坦被占领土内水资源的分配不具歧视性，不会导致过度影响西岸巴勒斯坦人的水资源短缺问题，并紧急采取步骤，在</w:t>
      </w:r>
      <w:r>
        <w:rPr>
          <w:rFonts w:hint="eastAsia"/>
          <w:lang w:val="zh-CN"/>
        </w:rPr>
        <w:t>1967</w:t>
      </w:r>
      <w:r>
        <w:rPr>
          <w:rFonts w:hint="eastAsia"/>
          <w:lang w:val="zh-CN"/>
        </w:rPr>
        <w:t>年以来军事行动和定居者活动对当地平民水井、屋顶水箱及其他供水和灌溉设施造成破坏的西岸，包括约旦河谷地区，帮助修复供水基础设施；</w:t>
      </w:r>
    </w:p>
    <w:p w:rsidR="007C10A1" w:rsidRDefault="007C10A1" w:rsidP="007C10A1">
      <w:pPr>
        <w:pStyle w:val="SingleTxtGC"/>
      </w:pPr>
      <w:r>
        <w:rPr>
          <w:rFonts w:hint="eastAsia"/>
          <w:lang w:val="zh-CN"/>
        </w:rPr>
        <w:tab/>
      </w:r>
      <w:r w:rsidRPr="006B45D9">
        <w:rPr>
          <w:rFonts w:hint="eastAsia"/>
          <w:spacing w:val="-2"/>
          <w:lang w:val="zh-CN"/>
        </w:rPr>
        <w:t>13.</w:t>
      </w:r>
      <w:r w:rsidRPr="006B45D9">
        <w:rPr>
          <w:rFonts w:hint="eastAsia"/>
          <w:spacing w:val="-2"/>
          <w:lang w:val="zh-CN"/>
        </w:rPr>
        <w:tab/>
      </w:r>
      <w:r w:rsidRPr="006B45D9">
        <w:rPr>
          <w:rFonts w:ascii="Time New Roman" w:eastAsia="楷体" w:hAnsi="Time New Roman" w:hint="eastAsia"/>
          <w:spacing w:val="-2"/>
          <w:lang w:val="zh-CN"/>
        </w:rPr>
        <w:t>表示关切</w:t>
      </w:r>
      <w:r w:rsidRPr="006B45D9">
        <w:rPr>
          <w:rFonts w:hint="eastAsia"/>
          <w:spacing w:val="-2"/>
          <w:lang w:val="zh-CN"/>
        </w:rPr>
        <w:t>以色列议会通过的、目前正在进行司法审查的所谓《基本法：</w:t>
      </w:r>
      <w:r>
        <w:rPr>
          <w:rFonts w:hint="eastAsia"/>
          <w:lang w:val="zh-CN"/>
        </w:rPr>
        <w:t>以色列是犹太人民的民族国家》，这进一步引起了对遵守国际法，包括适用于包括东耶路撒冷在内的巴勒斯坦被占领土的占领法的关切；</w:t>
      </w:r>
    </w:p>
    <w:p w:rsidR="007C10A1" w:rsidRDefault="007C10A1" w:rsidP="007C10A1">
      <w:pPr>
        <w:pStyle w:val="SingleTxtGC"/>
      </w:pPr>
      <w:r>
        <w:rPr>
          <w:rFonts w:hint="eastAsia"/>
          <w:lang w:val="zh-CN"/>
        </w:rPr>
        <w:tab/>
        <w:t>14.</w:t>
      </w:r>
      <w:r>
        <w:rPr>
          <w:rFonts w:hint="eastAsia"/>
          <w:lang w:val="zh-CN"/>
        </w:rPr>
        <w:tab/>
      </w:r>
      <w:r>
        <w:rPr>
          <w:rFonts w:ascii="Time New Roman" w:eastAsia="楷体" w:hAnsi="Time New Roman" w:hint="eastAsia"/>
          <w:lang w:val="zh-CN"/>
        </w:rPr>
        <w:t>又表示关切</w:t>
      </w:r>
      <w:r>
        <w:rPr>
          <w:rFonts w:hint="eastAsia"/>
          <w:lang w:val="zh-CN"/>
        </w:rPr>
        <w:t>以色列议会通过的《以色列国籍和入境法》，除极少数例外情况，该法中止了以色列公民与居住在包括东耶路撒冷在内的巴勒斯坦被占领土上的人员之间实现家庭团聚的可能性，从而对很多家庭的生活造成不利影响；</w:t>
      </w:r>
    </w:p>
    <w:p w:rsidR="007C10A1" w:rsidRDefault="007C10A1" w:rsidP="007C10A1">
      <w:pPr>
        <w:pStyle w:val="SingleTxtGC"/>
      </w:pPr>
      <w:r>
        <w:rPr>
          <w:rFonts w:hint="eastAsia"/>
          <w:lang w:val="zh-CN"/>
        </w:rPr>
        <w:tab/>
        <w:t>15.</w:t>
      </w:r>
      <w:r>
        <w:rPr>
          <w:rFonts w:hint="eastAsia"/>
          <w:lang w:val="zh-CN"/>
        </w:rPr>
        <w:tab/>
      </w:r>
      <w:r>
        <w:rPr>
          <w:rFonts w:ascii="Time New Roman" w:eastAsia="楷体" w:hAnsi="Time New Roman" w:hint="eastAsia"/>
          <w:lang w:val="zh-CN"/>
        </w:rPr>
        <w:t>重申</w:t>
      </w:r>
      <w:r>
        <w:rPr>
          <w:rFonts w:hint="eastAsia"/>
          <w:lang w:val="zh-CN"/>
        </w:rPr>
        <w:t>需尊重所有巴勒斯坦被占领土的领土统一、领土毗连和领土完整，保证人员和货物在巴勒斯坦领土内的通行自由，包括自由出入东耶路撒冷、加沙地带和外部世界以及西岸与加沙地带之间的自由出入；</w:t>
      </w:r>
    </w:p>
    <w:p w:rsidR="007C10A1" w:rsidRDefault="007C10A1" w:rsidP="007C10A1">
      <w:pPr>
        <w:pStyle w:val="SingleTxtGC"/>
      </w:pPr>
      <w:r>
        <w:rPr>
          <w:rFonts w:hint="eastAsia"/>
          <w:lang w:val="zh-CN"/>
        </w:rPr>
        <w:tab/>
        <w:t>16.</w:t>
      </w:r>
      <w:r>
        <w:rPr>
          <w:rFonts w:hint="eastAsia"/>
          <w:lang w:val="zh-CN"/>
        </w:rPr>
        <w:tab/>
      </w:r>
      <w:r>
        <w:rPr>
          <w:rFonts w:ascii="Time New Roman" w:eastAsia="楷体" w:hAnsi="Time New Roman" w:hint="eastAsia"/>
          <w:lang w:val="zh-CN"/>
        </w:rPr>
        <w:t>要求</w:t>
      </w:r>
      <w:r>
        <w:rPr>
          <w:rFonts w:hint="eastAsia"/>
          <w:lang w:val="zh-CN"/>
        </w:rPr>
        <w:t>占领国以色列立即停止长期关闭口岸以及实行经济和出入限制的做法，包括形同封锁加沙地带的做法，这些做法通过各种措施，包括进出口限制，严重制约了巴勒斯坦人民在加沙自由流动、自由进出加沙以及享有基本公用设施、住房、教育、工作、医疗和适当生活水准，对整个加沙的生计、经济可持续性和发展造成直接影响，加剧了加沙的发展倒退情况；为此吁请以色列全面执行《通行进出协定》和《拉法口岸商定原则》，使人员和货物能够持久并正常地流动，加快加沙地带拖延已久的重建进程；</w:t>
      </w:r>
    </w:p>
    <w:p w:rsidR="007C10A1" w:rsidRDefault="007C10A1" w:rsidP="007C10A1">
      <w:pPr>
        <w:pStyle w:val="SingleTxtGC"/>
      </w:pPr>
      <w:r>
        <w:rPr>
          <w:rFonts w:hint="eastAsia"/>
          <w:lang w:val="zh-CN"/>
        </w:rPr>
        <w:tab/>
        <w:t>17.</w:t>
      </w:r>
      <w:r>
        <w:rPr>
          <w:rFonts w:hint="eastAsia"/>
          <w:lang w:val="zh-CN"/>
        </w:rPr>
        <w:tab/>
      </w:r>
      <w:r>
        <w:rPr>
          <w:rFonts w:ascii="Time New Roman" w:eastAsia="楷体" w:hAnsi="Time New Roman" w:hint="eastAsia"/>
          <w:lang w:val="zh-CN"/>
        </w:rPr>
        <w:t>谴责</w:t>
      </w:r>
      <w:r>
        <w:rPr>
          <w:rFonts w:hint="eastAsia"/>
          <w:lang w:val="zh-CN"/>
        </w:rPr>
        <w:t>一切暴力行为，包括一切恐怖、挑衅、煽动和破坏行为，特别是以色列占领军对巴勒斯坦平民过度使用武力，尤其是在加沙地带轰炸人口稠密地区，造成包括数千儿童和妇女在内的大量人员伤亡，住房、经济、工业和农业财产、供水、环卫和电力网络等关键基础设施、宗教场所及医院和学校等公共机构、联合国设施以及农田遭到大规模破坏和损毁，大批平民在境内流离失所；谴责以色列占领军对在西岸和加沙地</w:t>
      </w:r>
      <w:proofErr w:type="gramStart"/>
      <w:r>
        <w:rPr>
          <w:rFonts w:hint="eastAsia"/>
          <w:lang w:val="zh-CN"/>
        </w:rPr>
        <w:t>带和平</w:t>
      </w:r>
      <w:proofErr w:type="gramEnd"/>
      <w:r>
        <w:rPr>
          <w:rFonts w:hint="eastAsia"/>
          <w:lang w:val="zh-CN"/>
        </w:rPr>
        <w:t>抗议的巴勒斯坦平民过度使用武力；</w:t>
      </w:r>
    </w:p>
    <w:p w:rsidR="007C10A1" w:rsidRDefault="007C10A1" w:rsidP="007C10A1">
      <w:pPr>
        <w:pStyle w:val="SingleTxtGC"/>
      </w:pPr>
      <w:r>
        <w:rPr>
          <w:rFonts w:hint="eastAsia"/>
          <w:lang w:val="zh-CN"/>
        </w:rPr>
        <w:tab/>
        <w:t>18.</w:t>
      </w:r>
      <w:r>
        <w:rPr>
          <w:rFonts w:hint="eastAsia"/>
          <w:lang w:val="zh-CN"/>
        </w:rPr>
        <w:tab/>
      </w:r>
      <w:r>
        <w:rPr>
          <w:rFonts w:ascii="Time New Roman" w:eastAsia="楷体" w:hAnsi="Time New Roman" w:hint="eastAsia"/>
          <w:lang w:val="zh-CN"/>
        </w:rPr>
        <w:t>又谴责</w:t>
      </w:r>
      <w:r>
        <w:rPr>
          <w:rFonts w:hint="eastAsia"/>
          <w:lang w:val="zh-CN"/>
        </w:rPr>
        <w:t>向以色列平民区发射火箭弹造成人员伤亡的行为，同时鼓励停止一切违反国际法的行动；</w:t>
      </w:r>
    </w:p>
    <w:p w:rsidR="007C10A1" w:rsidRDefault="007C10A1" w:rsidP="007C10A1">
      <w:pPr>
        <w:pStyle w:val="SingleTxtGC"/>
      </w:pPr>
      <w:r>
        <w:rPr>
          <w:rFonts w:hint="eastAsia"/>
          <w:lang w:val="zh-CN"/>
        </w:rPr>
        <w:tab/>
        <w:t>19.</w:t>
      </w:r>
      <w:r>
        <w:rPr>
          <w:rFonts w:hint="eastAsia"/>
          <w:lang w:val="zh-CN"/>
        </w:rPr>
        <w:tab/>
      </w:r>
      <w:r>
        <w:rPr>
          <w:rFonts w:ascii="Time New Roman" w:eastAsia="楷体" w:hAnsi="Time New Roman" w:hint="eastAsia"/>
          <w:lang w:val="zh-CN"/>
        </w:rPr>
        <w:t>重申</w:t>
      </w:r>
      <w:r>
        <w:rPr>
          <w:rFonts w:hint="eastAsia"/>
          <w:lang w:val="zh-CN"/>
        </w:rPr>
        <w:t>占领国以色列有责任尊重巴勒斯坦被占领土上所有人的健康权，便利人道主义救援及时、持续和不受阻碍地通行，包括便利医务人员、医疗设备、运输车辆和物资进入其占领下的所有地区，包括加沙地带，向需要在加沙地带以外就医的患者发放出境许可；强调救护车在检查站必须通行无阻，特别是在发生冲突时；</w:t>
      </w:r>
    </w:p>
    <w:p w:rsidR="007C10A1" w:rsidRDefault="007C10A1" w:rsidP="007C10A1">
      <w:pPr>
        <w:pStyle w:val="SingleTxtGC"/>
      </w:pPr>
      <w:r>
        <w:rPr>
          <w:rFonts w:hint="eastAsia"/>
          <w:lang w:val="zh-CN"/>
        </w:rPr>
        <w:tab/>
        <w:t>20.</w:t>
      </w:r>
      <w:r>
        <w:rPr>
          <w:rFonts w:hint="eastAsia"/>
          <w:lang w:val="zh-CN"/>
        </w:rPr>
        <w:tab/>
      </w:r>
      <w:r>
        <w:rPr>
          <w:rFonts w:ascii="Time New Roman" w:eastAsia="楷体" w:hAnsi="Time New Roman" w:hint="eastAsia"/>
          <w:lang w:val="zh-CN"/>
        </w:rPr>
        <w:t>敦促</w:t>
      </w:r>
      <w:r>
        <w:rPr>
          <w:rFonts w:hint="eastAsia"/>
          <w:lang w:val="zh-CN"/>
        </w:rPr>
        <w:t>会员国继续向巴勒斯坦人民提供紧急援助，以缓解财政危机及严峻的社会经济和人道主义状况，尤其是在加沙地带；</w:t>
      </w:r>
    </w:p>
    <w:p w:rsidR="007C10A1" w:rsidRDefault="007C10A1" w:rsidP="007C10A1">
      <w:pPr>
        <w:pStyle w:val="SingleTxtGC"/>
      </w:pPr>
      <w:r>
        <w:rPr>
          <w:rFonts w:hint="eastAsia"/>
          <w:lang w:val="zh-CN"/>
        </w:rPr>
        <w:tab/>
        <w:t>21.</w:t>
      </w:r>
      <w:r>
        <w:rPr>
          <w:rFonts w:hint="eastAsia"/>
          <w:lang w:val="zh-CN"/>
        </w:rPr>
        <w:tab/>
      </w:r>
      <w:r>
        <w:rPr>
          <w:rFonts w:ascii="Time New Roman" w:eastAsia="楷体" w:hAnsi="Time New Roman" w:hint="eastAsia"/>
          <w:lang w:val="zh-CN"/>
        </w:rPr>
        <w:t>吁请</w:t>
      </w:r>
      <w:r>
        <w:rPr>
          <w:rFonts w:hint="eastAsia"/>
          <w:lang w:val="zh-CN"/>
        </w:rPr>
        <w:t>以色列停止对巴勒斯坦被占领土上和平倡导巴勒斯坦人民权利的人权维护者和民间社会行为者的一切骚扰、威胁、恐吓和报复，包括为此与联合国人权机构合作；特别指出必须调查所有此类行为，确保追究责任和</w:t>
      </w:r>
      <w:proofErr w:type="gramStart"/>
      <w:r>
        <w:rPr>
          <w:rFonts w:hint="eastAsia"/>
          <w:lang w:val="zh-CN"/>
        </w:rPr>
        <w:t>作出</w:t>
      </w:r>
      <w:proofErr w:type="gramEnd"/>
      <w:r>
        <w:rPr>
          <w:rFonts w:hint="eastAsia"/>
          <w:lang w:val="zh-CN"/>
        </w:rPr>
        <w:t>有效补救，并采取步骤，防止再发生任何此类威胁、袭击、报复或恫吓行为；</w:t>
      </w:r>
    </w:p>
    <w:p w:rsidR="007C10A1" w:rsidRDefault="007C10A1" w:rsidP="007C10A1">
      <w:pPr>
        <w:pStyle w:val="SingleTxtGC"/>
      </w:pPr>
      <w:r>
        <w:rPr>
          <w:rFonts w:hint="eastAsia"/>
          <w:lang w:val="zh-CN"/>
        </w:rPr>
        <w:lastRenderedPageBreak/>
        <w:tab/>
        <w:t>22.</w:t>
      </w:r>
      <w:r>
        <w:rPr>
          <w:rFonts w:hint="eastAsia"/>
          <w:lang w:val="zh-CN"/>
        </w:rPr>
        <w:tab/>
      </w:r>
      <w:r>
        <w:rPr>
          <w:rFonts w:ascii="Time New Roman" w:eastAsia="楷体" w:hAnsi="Time New Roman" w:hint="eastAsia"/>
          <w:lang w:val="zh-CN"/>
        </w:rPr>
        <w:t>表示深为关切</w:t>
      </w:r>
      <w:r>
        <w:rPr>
          <w:rFonts w:hint="eastAsia"/>
          <w:lang w:val="zh-CN"/>
        </w:rPr>
        <w:t>关押在以色列监狱和拘留所的巴勒斯坦囚犯和被拘留者</w:t>
      </w:r>
      <w:r>
        <w:rPr>
          <w:rFonts w:hint="eastAsia"/>
          <w:lang w:val="zh-CN"/>
        </w:rPr>
        <w:t>(</w:t>
      </w:r>
      <w:r>
        <w:rPr>
          <w:rFonts w:hint="eastAsia"/>
          <w:lang w:val="zh-CN"/>
        </w:rPr>
        <w:t>包括未成年人</w:t>
      </w:r>
      <w:r>
        <w:rPr>
          <w:rFonts w:hint="eastAsia"/>
          <w:lang w:val="zh-CN"/>
        </w:rPr>
        <w:t>)</w:t>
      </w:r>
      <w:r>
        <w:rPr>
          <w:rFonts w:hint="eastAsia"/>
          <w:lang w:val="zh-CN"/>
        </w:rPr>
        <w:t>的状况；呼吁以色列明确禁止酷刑，包括心理折磨和其他残忍、不人道或有辱人格的待遇或处罚；要求占领国以色列充分尊重和遵守对其关押的所有巴勒斯坦囚犯和被拘留者的国际法义务；表示关切继续广泛采用行政拘留做法；呼吁充分执行</w:t>
      </w:r>
      <w:r>
        <w:rPr>
          <w:rFonts w:hint="eastAsia"/>
          <w:lang w:val="zh-CN"/>
        </w:rPr>
        <w:t>2012</w:t>
      </w:r>
      <w:r>
        <w:rPr>
          <w:rFonts w:hint="eastAsia"/>
          <w:lang w:val="zh-CN"/>
        </w:rPr>
        <w:t>年</w:t>
      </w:r>
      <w:r>
        <w:rPr>
          <w:rFonts w:hint="eastAsia"/>
          <w:lang w:val="zh-CN"/>
        </w:rPr>
        <w:t>5</w:t>
      </w:r>
      <w:r>
        <w:rPr>
          <w:rFonts w:hint="eastAsia"/>
          <w:lang w:val="zh-CN"/>
        </w:rPr>
        <w:t>月达成的协议，立即对所有在押死亡案件展开独立调查；呼吁以色列立即释放在违反国际法情况下拘留的所有巴勒斯坦囚犯，包括巴勒斯坦立法委员；</w:t>
      </w:r>
    </w:p>
    <w:p w:rsidR="007C10A1" w:rsidRDefault="007C10A1" w:rsidP="007C10A1">
      <w:pPr>
        <w:pStyle w:val="SingleTxtGC"/>
      </w:pPr>
      <w:r>
        <w:rPr>
          <w:rFonts w:hint="eastAsia"/>
          <w:lang w:val="zh-CN"/>
        </w:rPr>
        <w:tab/>
        <w:t>23.</w:t>
      </w:r>
      <w:r>
        <w:rPr>
          <w:rFonts w:hint="eastAsia"/>
          <w:lang w:val="zh-CN"/>
        </w:rPr>
        <w:tab/>
      </w:r>
      <w:r>
        <w:rPr>
          <w:rFonts w:ascii="Time New Roman" w:eastAsia="楷体" w:hAnsi="Time New Roman" w:hint="eastAsia"/>
          <w:lang w:val="zh-CN"/>
        </w:rPr>
        <w:t>呼吁</w:t>
      </w:r>
      <w:r>
        <w:rPr>
          <w:rFonts w:hint="eastAsia"/>
          <w:lang w:val="zh-CN"/>
        </w:rPr>
        <w:t>根据国际法</w:t>
      </w:r>
      <w:proofErr w:type="gramStart"/>
      <w:r>
        <w:rPr>
          <w:rFonts w:hint="eastAsia"/>
          <w:lang w:val="zh-CN"/>
        </w:rPr>
        <w:t>紧急关注</w:t>
      </w:r>
      <w:proofErr w:type="gramEnd"/>
      <w:r>
        <w:rPr>
          <w:rFonts w:hint="eastAsia"/>
          <w:lang w:val="zh-CN"/>
        </w:rPr>
        <w:t>以色列监狱中巴勒斯坦囚犯和被拘留者的</w:t>
      </w:r>
      <w:r>
        <w:rPr>
          <w:rFonts w:hint="eastAsia"/>
          <w:spacing w:val="-2"/>
          <w:lang w:val="zh-CN"/>
        </w:rPr>
        <w:t>困境</w:t>
      </w:r>
      <w:r>
        <w:rPr>
          <w:rFonts w:hint="eastAsia"/>
          <w:spacing w:val="2"/>
          <w:lang w:val="zh-CN"/>
        </w:rPr>
        <w:t>和权利，并呼吁遵守《联合国囚犯待遇最低限度标准规则》</w:t>
      </w:r>
      <w:r>
        <w:rPr>
          <w:rFonts w:hint="eastAsia"/>
          <w:spacing w:val="2"/>
          <w:lang w:val="zh-CN"/>
        </w:rPr>
        <w:t>(</w:t>
      </w:r>
      <w:r>
        <w:rPr>
          <w:rFonts w:hint="eastAsia"/>
          <w:spacing w:val="2"/>
          <w:lang w:val="zh-CN"/>
        </w:rPr>
        <w:t>《纳尔逊·曼德拉规则》</w:t>
      </w:r>
      <w:r>
        <w:rPr>
          <w:rFonts w:hint="eastAsia"/>
          <w:lang w:val="zh-CN"/>
        </w:rPr>
        <w:t>)</w:t>
      </w:r>
      <w:r>
        <w:rPr>
          <w:rFonts w:hint="eastAsia"/>
          <w:lang w:val="zh-CN"/>
        </w:rPr>
        <w:t>和《联合国女性囚犯待遇和女性罪犯非拘禁措施规则》</w:t>
      </w:r>
      <w:r>
        <w:rPr>
          <w:rFonts w:hint="eastAsia"/>
          <w:lang w:val="zh-CN"/>
        </w:rPr>
        <w:t>(</w:t>
      </w:r>
      <w:r>
        <w:rPr>
          <w:rFonts w:hint="eastAsia"/>
          <w:lang w:val="zh-CN"/>
        </w:rPr>
        <w:t>《曼谷规则》</w:t>
      </w:r>
      <w:r>
        <w:rPr>
          <w:rFonts w:hint="eastAsia"/>
          <w:lang w:val="zh-CN"/>
        </w:rPr>
        <w:t>)</w:t>
      </w:r>
      <w:r>
        <w:rPr>
          <w:rFonts w:hint="eastAsia"/>
          <w:lang w:val="zh-CN"/>
        </w:rPr>
        <w:t>；</w:t>
      </w:r>
    </w:p>
    <w:p w:rsidR="007C10A1" w:rsidRDefault="007C10A1" w:rsidP="007C10A1">
      <w:pPr>
        <w:pStyle w:val="SingleTxtGC"/>
      </w:pPr>
      <w:r>
        <w:rPr>
          <w:rFonts w:hint="eastAsia"/>
          <w:lang w:val="zh-CN"/>
        </w:rPr>
        <w:tab/>
        <w:t>24.</w:t>
      </w:r>
      <w:r>
        <w:rPr>
          <w:rFonts w:hint="eastAsia"/>
          <w:lang w:val="zh-CN"/>
        </w:rPr>
        <w:tab/>
      </w:r>
      <w:r>
        <w:rPr>
          <w:rFonts w:ascii="Time New Roman" w:eastAsia="楷体" w:hAnsi="Time New Roman" w:hint="eastAsia"/>
          <w:lang w:val="zh-CN"/>
        </w:rPr>
        <w:t>要求</w:t>
      </w:r>
      <w:r>
        <w:rPr>
          <w:rFonts w:hint="eastAsia"/>
          <w:lang w:val="zh-CN"/>
        </w:rPr>
        <w:t>以色列停止将囚犯从巴勒斯坦被占领土转移到以色列境内的政策，并充分遵守其根据《日内瓦第四公约》第七十六条所承担的义务；</w:t>
      </w:r>
    </w:p>
    <w:p w:rsidR="007C10A1" w:rsidRDefault="007C10A1" w:rsidP="007C10A1">
      <w:pPr>
        <w:pStyle w:val="SingleTxtGC"/>
      </w:pPr>
      <w:r>
        <w:rPr>
          <w:rFonts w:hint="eastAsia"/>
          <w:lang w:val="zh-CN"/>
        </w:rPr>
        <w:tab/>
        <w:t>25.</w:t>
      </w:r>
      <w:r>
        <w:rPr>
          <w:rFonts w:hint="eastAsia"/>
          <w:lang w:val="zh-CN"/>
        </w:rPr>
        <w:tab/>
      </w:r>
      <w:r>
        <w:rPr>
          <w:rFonts w:ascii="Time New Roman" w:eastAsia="楷体" w:hAnsi="Time New Roman" w:hint="eastAsia"/>
          <w:lang w:val="zh-CN"/>
        </w:rPr>
        <w:t>促请</w:t>
      </w:r>
      <w:r>
        <w:rPr>
          <w:rFonts w:hint="eastAsia"/>
          <w:lang w:val="zh-CN"/>
        </w:rPr>
        <w:t>以色列确保对巴勒斯坦儿童的逮捕、拘留和</w:t>
      </w:r>
      <w:r>
        <w:rPr>
          <w:rFonts w:hint="eastAsia"/>
          <w:lang w:val="zh-CN"/>
        </w:rPr>
        <w:t>(</w:t>
      </w:r>
      <w:r>
        <w:rPr>
          <w:rFonts w:hint="eastAsia"/>
          <w:lang w:val="zh-CN"/>
        </w:rPr>
        <w:t>或</w:t>
      </w:r>
      <w:r>
        <w:rPr>
          <w:rFonts w:hint="eastAsia"/>
          <w:lang w:val="zh-CN"/>
        </w:rPr>
        <w:t>)</w:t>
      </w:r>
      <w:r>
        <w:rPr>
          <w:rFonts w:hint="eastAsia"/>
          <w:lang w:val="zh-CN"/>
        </w:rPr>
        <w:t>审判均符合《儿童权利公约》，包括不要在军事法庭对他们进行刑事审判</w:t>
      </w:r>
      <w:r>
        <w:rPr>
          <w:rFonts w:hint="eastAsia"/>
          <w:spacing w:val="-50"/>
        </w:rPr>
        <w:t>―</w:t>
      </w:r>
      <w:r>
        <w:rPr>
          <w:rFonts w:hint="eastAsia"/>
        </w:rPr>
        <w:t>―</w:t>
      </w:r>
      <w:r>
        <w:rPr>
          <w:rFonts w:hint="eastAsia"/>
          <w:lang w:val="zh-CN"/>
        </w:rPr>
        <w:t>顾名思义，军事法庭无法提供尊重儿童权利所必需的保障，而且侵犯他们不受歧视的权利；</w:t>
      </w:r>
    </w:p>
    <w:p w:rsidR="007C10A1" w:rsidRDefault="007C10A1" w:rsidP="007C10A1">
      <w:pPr>
        <w:pStyle w:val="SingleTxtGC"/>
      </w:pPr>
      <w:r>
        <w:rPr>
          <w:rFonts w:hint="eastAsia"/>
          <w:lang w:val="zh-CN"/>
        </w:rPr>
        <w:tab/>
        <w:t>26.</w:t>
      </w:r>
      <w:r>
        <w:rPr>
          <w:rFonts w:hint="eastAsia"/>
          <w:lang w:val="zh-CN"/>
        </w:rPr>
        <w:tab/>
      </w:r>
      <w:r>
        <w:rPr>
          <w:rFonts w:ascii="Time New Roman" w:eastAsia="楷体" w:hAnsi="Time New Roman" w:hint="eastAsia"/>
          <w:lang w:val="zh-CN"/>
        </w:rPr>
        <w:t>强调</w:t>
      </w:r>
      <w:r>
        <w:rPr>
          <w:rFonts w:hint="eastAsia"/>
          <w:lang w:val="zh-CN"/>
        </w:rPr>
        <w:t>需维护并发展巴勒斯坦的体制机构和基础设施，以便向巴勒斯坦平民提供至关重要的公共服务，促进包括公民权利、政治权利、经济、社会及文化权利在内的各项人权；</w:t>
      </w:r>
    </w:p>
    <w:p w:rsidR="007C10A1" w:rsidRPr="00A50BA1" w:rsidRDefault="007C10A1" w:rsidP="007C10A1">
      <w:pPr>
        <w:pStyle w:val="SingleTxtGC"/>
        <w:rPr>
          <w:spacing w:val="-6"/>
        </w:rPr>
      </w:pPr>
      <w:r>
        <w:rPr>
          <w:rFonts w:hint="eastAsia"/>
          <w:lang w:val="zh-CN"/>
        </w:rPr>
        <w:tab/>
        <w:t>27.</w:t>
      </w:r>
      <w:r>
        <w:rPr>
          <w:rFonts w:hint="eastAsia"/>
          <w:lang w:val="zh-CN"/>
        </w:rPr>
        <w:tab/>
      </w:r>
      <w:r>
        <w:rPr>
          <w:rFonts w:ascii="Time New Roman" w:eastAsia="楷体" w:hAnsi="Time New Roman" w:hint="eastAsia"/>
          <w:lang w:val="zh-CN"/>
        </w:rPr>
        <w:t>促请</w:t>
      </w:r>
      <w:r>
        <w:rPr>
          <w:rFonts w:hint="eastAsia"/>
          <w:lang w:val="zh-CN"/>
        </w:rPr>
        <w:t>所有国家和联合国系统各专门机构和组织，在以色列的占领进入第五十个年头之际，并考虑到巴勒斯坦人民的人权继续遭到剥夺和侵犯，作为紧</w:t>
      </w:r>
      <w:r w:rsidRPr="00A50BA1">
        <w:rPr>
          <w:rFonts w:hint="eastAsia"/>
          <w:spacing w:val="-6"/>
          <w:lang w:val="zh-CN"/>
        </w:rPr>
        <w:t>急事项，继续支持和协助巴勒斯坦人民早日实现其不可剥夺的人权，包括其自决权；</w:t>
      </w:r>
    </w:p>
    <w:p w:rsidR="007C10A1" w:rsidRDefault="007C10A1" w:rsidP="007C10A1">
      <w:pPr>
        <w:pStyle w:val="SingleTxtGC"/>
        <w:rPr>
          <w:lang w:val="zh-CN"/>
        </w:rPr>
      </w:pPr>
      <w:r>
        <w:rPr>
          <w:rFonts w:hint="eastAsia"/>
          <w:lang w:val="zh-CN"/>
        </w:rPr>
        <w:tab/>
        <w:t>28.</w:t>
      </w:r>
      <w:r>
        <w:rPr>
          <w:rFonts w:hint="eastAsia"/>
          <w:lang w:val="zh-CN"/>
        </w:rPr>
        <w:tab/>
      </w:r>
      <w:r>
        <w:rPr>
          <w:rFonts w:ascii="Time New Roman" w:eastAsia="楷体" w:hAnsi="Time New Roman" w:hint="eastAsia"/>
          <w:lang w:val="zh-CN"/>
        </w:rPr>
        <w:t>请</w:t>
      </w:r>
      <w:r>
        <w:rPr>
          <w:rFonts w:hint="eastAsia"/>
          <w:lang w:val="zh-CN"/>
        </w:rPr>
        <w:t>联合国人权事务高级专员编写关于包括东耶路撒冷在内的巴勒斯坦被占领土上水资源分配情况的报告，并就应采取的措施提出建议，以确保根据国际法在包括东耶路撒冷在内的巴勒斯坦被占领土上公平获得安全饮用水，并在人权理事会第四十八届会议上介绍该报告；</w:t>
      </w:r>
    </w:p>
    <w:p w:rsidR="007C10A1" w:rsidRDefault="007C10A1" w:rsidP="007C10A1">
      <w:pPr>
        <w:pStyle w:val="SingleTxtGC"/>
      </w:pPr>
      <w:r>
        <w:rPr>
          <w:rFonts w:hint="eastAsia"/>
          <w:lang w:val="zh-CN"/>
        </w:rPr>
        <w:tab/>
        <w:t>29.</w:t>
      </w:r>
      <w:r>
        <w:rPr>
          <w:rFonts w:hint="eastAsia"/>
          <w:lang w:val="zh-CN"/>
        </w:rPr>
        <w:tab/>
      </w:r>
      <w:r>
        <w:rPr>
          <w:rFonts w:ascii="Time New Roman" w:eastAsia="楷体" w:hAnsi="Time New Roman" w:hint="eastAsia"/>
          <w:lang w:val="zh-CN"/>
        </w:rPr>
        <w:t>决定</w:t>
      </w:r>
      <w:r>
        <w:rPr>
          <w:rFonts w:hint="eastAsia"/>
          <w:lang w:val="zh-CN"/>
        </w:rPr>
        <w:t>继续处理此事。</w:t>
      </w:r>
    </w:p>
    <w:p w:rsidR="00B84FD8" w:rsidRPr="005647B0" w:rsidRDefault="005647B0" w:rsidP="005647B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84FD8" w:rsidRPr="005647B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04" w:rsidRPr="000D319F" w:rsidRDefault="00B52404" w:rsidP="000D319F">
      <w:pPr>
        <w:pStyle w:val="af0"/>
        <w:spacing w:after="240"/>
        <w:ind w:left="907"/>
        <w:rPr>
          <w:rFonts w:asciiTheme="majorBidi" w:eastAsia="宋体" w:hAnsiTheme="majorBidi" w:cstheme="majorBidi"/>
          <w:sz w:val="21"/>
          <w:szCs w:val="21"/>
          <w:lang w:val="en-US"/>
        </w:rPr>
      </w:pPr>
    </w:p>
    <w:p w:rsidR="00B52404" w:rsidRPr="000D319F" w:rsidRDefault="00B5240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52404" w:rsidRPr="000D319F" w:rsidRDefault="00B52404" w:rsidP="000D319F">
      <w:pPr>
        <w:pStyle w:val="af0"/>
      </w:pPr>
    </w:p>
  </w:endnote>
  <w:endnote w:type="continuationNotice" w:id="1">
    <w:p w:rsidR="00B52404" w:rsidRDefault="00B524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D8" w:rsidRPr="00B84FD8" w:rsidRDefault="00B84FD8" w:rsidP="00B84FD8">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84FD8">
      <w:rPr>
        <w:rStyle w:val="af2"/>
        <w:b w:val="0"/>
        <w:snapToGrid w:val="0"/>
        <w:sz w:val="16"/>
      </w:rPr>
      <w:t>GE.20</w:t>
    </w:r>
    <w:proofErr w:type="spellEnd"/>
    <w:r w:rsidRPr="00B84FD8">
      <w:rPr>
        <w:rStyle w:val="af2"/>
        <w:b w:val="0"/>
        <w:snapToGrid w:val="0"/>
        <w:sz w:val="16"/>
      </w:rPr>
      <w:t>-07994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D8" w:rsidRPr="00B84FD8" w:rsidRDefault="00B84FD8" w:rsidP="00B84FD8">
    <w:pPr>
      <w:pStyle w:val="af0"/>
      <w:tabs>
        <w:tab w:val="right" w:pos="9638"/>
      </w:tabs>
      <w:rPr>
        <w:rStyle w:val="af2"/>
      </w:rPr>
    </w:pPr>
    <w:proofErr w:type="spellStart"/>
    <w:r>
      <w:t>GE.20</w:t>
    </w:r>
    <w:proofErr w:type="spellEnd"/>
    <w:r>
      <w:t>-07994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B84FD8"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-07994</w:t>
    </w:r>
    <w:r w:rsidR="00731A42" w:rsidRPr="00EE277A">
      <w:rPr>
        <w:sz w:val="20"/>
        <w:lang w:eastAsia="zh-CN"/>
      </w:rPr>
      <w:t xml:space="preserve"> (C)</w:t>
    </w:r>
    <w:r w:rsidR="008B4347">
      <w:rPr>
        <w:sz w:val="20"/>
        <w:lang w:eastAsia="zh-CN"/>
      </w:rPr>
      <w:tab/>
    </w:r>
    <w:r>
      <w:rPr>
        <w:sz w:val="20"/>
        <w:lang w:eastAsia="zh-CN"/>
      </w:rPr>
      <w:t>17</w:t>
    </w:r>
    <w:r w:rsidR="008B4347">
      <w:rPr>
        <w:sz w:val="20"/>
        <w:lang w:eastAsia="zh-CN"/>
      </w:rPr>
      <w:t>0</w:t>
    </w:r>
    <w:r>
      <w:rPr>
        <w:sz w:val="20"/>
        <w:lang w:eastAsia="zh-CN"/>
      </w:rPr>
      <w:t>6</w:t>
    </w:r>
    <w:r w:rsidR="007803C3">
      <w:rPr>
        <w:sz w:val="20"/>
        <w:lang w:eastAsia="zh-CN"/>
      </w:rPr>
      <w:t>20</w:t>
    </w:r>
    <w:r w:rsidR="00731A42">
      <w:rPr>
        <w:sz w:val="20"/>
        <w:lang w:eastAsia="zh-CN"/>
      </w:rPr>
      <w:tab/>
    </w:r>
    <w:r>
      <w:rPr>
        <w:sz w:val="20"/>
        <w:lang w:eastAsia="zh-CN"/>
      </w:rPr>
      <w:t>17</w:t>
    </w:r>
    <w:r w:rsidR="00731A42">
      <w:rPr>
        <w:sz w:val="20"/>
        <w:lang w:eastAsia="zh-CN"/>
      </w:rPr>
      <w:t>0</w:t>
    </w:r>
    <w:r w:rsidR="002B611F">
      <w:rPr>
        <w:sz w:val="20"/>
        <w:lang w:eastAsia="zh-CN"/>
      </w:rPr>
      <w:t>6</w:t>
    </w:r>
    <w:r w:rsidR="007803C3">
      <w:rPr>
        <w:sz w:val="20"/>
        <w:lang w:eastAsia="zh-CN"/>
      </w:rPr>
      <w:t>20</w:t>
    </w:r>
  </w:p>
  <w:p w:rsidR="00056632" w:rsidRPr="00487939" w:rsidRDefault="00B84FD8"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04" w:rsidRPr="000157B1" w:rsidRDefault="00B52404"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B52404" w:rsidRPr="000157B1" w:rsidRDefault="00B52404"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B52404" w:rsidRDefault="00B52404"/>
  </w:footnote>
  <w:footnote w:id="2">
    <w:p w:rsidR="007C10A1" w:rsidRDefault="007C10A1" w:rsidP="007C10A1">
      <w:pPr>
        <w:pStyle w:val="a6"/>
      </w:pPr>
      <w:r>
        <w:rPr>
          <w:rFonts w:hint="eastAsia"/>
          <w:lang w:val="zh-CN"/>
        </w:rPr>
        <w:tab/>
      </w:r>
      <w:r w:rsidRPr="004C7090">
        <w:rPr>
          <w:rFonts w:hint="eastAsia"/>
          <w:sz w:val="20"/>
          <w:lang w:val="zh-CN"/>
        </w:rPr>
        <w:t>*</w:t>
      </w:r>
      <w:r>
        <w:rPr>
          <w:rFonts w:hint="eastAsia"/>
          <w:lang w:val="zh-CN"/>
        </w:rPr>
        <w:tab/>
      </w:r>
      <w:r>
        <w:rPr>
          <w:rFonts w:hint="eastAsia"/>
          <w:lang w:val="zh-CN"/>
        </w:rPr>
        <w:t>非人权理事会成员国。</w:t>
      </w:r>
    </w:p>
  </w:footnote>
  <w:footnote w:id="3">
    <w:p w:rsidR="007C10A1" w:rsidRDefault="007C10A1" w:rsidP="007C10A1">
      <w:pPr>
        <w:pStyle w:val="a6"/>
        <w:rPr>
          <w:szCs w:val="18"/>
        </w:rPr>
      </w:pPr>
      <w:r>
        <w:rPr>
          <w:rFonts w:hint="eastAsia"/>
          <w:lang w:val="zh-CN"/>
        </w:rPr>
        <w:tab/>
      </w:r>
      <w:r w:rsidRPr="004C7090">
        <w:rPr>
          <w:rFonts w:hint="eastAsia"/>
          <w:sz w:val="20"/>
          <w:lang w:val="zh-CN"/>
        </w:rPr>
        <w:t>**</w:t>
      </w:r>
      <w:r>
        <w:rPr>
          <w:rFonts w:hint="eastAsia"/>
          <w:lang w:val="zh-CN"/>
        </w:rPr>
        <w:tab/>
      </w:r>
      <w:r>
        <w:rPr>
          <w:rFonts w:hint="eastAsia"/>
          <w:lang w:val="zh-CN"/>
        </w:rPr>
        <w:t>代表属于伊斯兰合作组织的联合国会员国。</w:t>
      </w:r>
    </w:p>
  </w:footnote>
  <w:footnote w:id="4">
    <w:p w:rsidR="007C10A1" w:rsidRDefault="007C10A1" w:rsidP="007C10A1">
      <w:pPr>
        <w:pStyle w:val="a6"/>
      </w:pPr>
      <w:r>
        <w:rPr>
          <w:rFonts w:hint="eastAsia"/>
          <w:lang w:val="zh-CN"/>
        </w:rPr>
        <w:tab/>
      </w:r>
      <w:r>
        <w:rPr>
          <w:rStyle w:val="a8"/>
          <w:lang w:val="zh-CN"/>
        </w:rPr>
        <w:footnoteRef/>
      </w:r>
      <w:r>
        <w:rPr>
          <w:rFonts w:hint="eastAsia"/>
          <w:lang w:val="zh-CN"/>
        </w:rPr>
        <w:tab/>
        <w:t>A/74/507</w:t>
      </w:r>
      <w:r>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84FD8" w:rsidP="00B84FD8">
    <w:pPr>
      <w:pStyle w:val="af3"/>
    </w:pPr>
    <w:r>
      <w:t>A/</w:t>
    </w:r>
    <w:proofErr w:type="spellStart"/>
    <w:r>
      <w:t>HRC</w:t>
    </w:r>
    <w:proofErr w:type="spellEnd"/>
    <w:r>
      <w:t>/43/</w:t>
    </w:r>
    <w:proofErr w:type="spellStart"/>
    <w:r>
      <w:t>L.38</w:t>
    </w:r>
    <w:proofErr w:type="spellEnd"/>
    <w:r>
      <w:t>/</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84FD8" w:rsidP="00B84FD8">
    <w:pPr>
      <w:pStyle w:val="af3"/>
      <w:jc w:val="right"/>
    </w:pPr>
    <w:r>
      <w:t>A/</w:t>
    </w:r>
    <w:proofErr w:type="spellStart"/>
    <w:r>
      <w:t>HRC</w:t>
    </w:r>
    <w:proofErr w:type="spellEnd"/>
    <w:r>
      <w:t>/43/</w:t>
    </w:r>
    <w:proofErr w:type="spellStart"/>
    <w:r>
      <w:t>L.38</w:t>
    </w:r>
    <w:proofErr w:type="spellEnd"/>
    <w:r>
      <w:t>/</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2404"/>
    <w:rsid w:val="00011483"/>
    <w:rsid w:val="00054E5E"/>
    <w:rsid w:val="0009424F"/>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B611F"/>
    <w:rsid w:val="002E1C97"/>
    <w:rsid w:val="002F5834"/>
    <w:rsid w:val="00326EBF"/>
    <w:rsid w:val="00327FE4"/>
    <w:rsid w:val="00346D15"/>
    <w:rsid w:val="0037569F"/>
    <w:rsid w:val="003C0C9C"/>
    <w:rsid w:val="00427F63"/>
    <w:rsid w:val="00474C6B"/>
    <w:rsid w:val="004972E2"/>
    <w:rsid w:val="004A574E"/>
    <w:rsid w:val="004C4A0A"/>
    <w:rsid w:val="004C7090"/>
    <w:rsid w:val="00557D9A"/>
    <w:rsid w:val="005647B0"/>
    <w:rsid w:val="005C00B0"/>
    <w:rsid w:val="005E01D9"/>
    <w:rsid w:val="005E3084"/>
    <w:rsid w:val="005E3A08"/>
    <w:rsid w:val="005E403A"/>
    <w:rsid w:val="00623FC4"/>
    <w:rsid w:val="006749CD"/>
    <w:rsid w:val="00680656"/>
    <w:rsid w:val="006B1119"/>
    <w:rsid w:val="006B45D9"/>
    <w:rsid w:val="006B7623"/>
    <w:rsid w:val="006B7A8F"/>
    <w:rsid w:val="006C65D8"/>
    <w:rsid w:val="006E3E46"/>
    <w:rsid w:val="006E41E9"/>
    <w:rsid w:val="006E71B1"/>
    <w:rsid w:val="00705D89"/>
    <w:rsid w:val="00731A42"/>
    <w:rsid w:val="00767E69"/>
    <w:rsid w:val="0077079A"/>
    <w:rsid w:val="007803C3"/>
    <w:rsid w:val="007A5599"/>
    <w:rsid w:val="007C0CAE"/>
    <w:rsid w:val="007C10A1"/>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0BA1"/>
    <w:rsid w:val="00A52DAF"/>
    <w:rsid w:val="00A84072"/>
    <w:rsid w:val="00A84DF2"/>
    <w:rsid w:val="00A87B40"/>
    <w:rsid w:val="00B16570"/>
    <w:rsid w:val="00B423E7"/>
    <w:rsid w:val="00B52404"/>
    <w:rsid w:val="00B53320"/>
    <w:rsid w:val="00B84FD8"/>
    <w:rsid w:val="00BB2F83"/>
    <w:rsid w:val="00BB3257"/>
    <w:rsid w:val="00BC6522"/>
    <w:rsid w:val="00BD614D"/>
    <w:rsid w:val="00BF6D17"/>
    <w:rsid w:val="00C121D5"/>
    <w:rsid w:val="00C17349"/>
    <w:rsid w:val="00C351AA"/>
    <w:rsid w:val="00C52236"/>
    <w:rsid w:val="00C54035"/>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994613-FDA0-4C1B-9A29-E68CCBF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7842">
      <w:bodyDiv w:val="1"/>
      <w:marLeft w:val="0"/>
      <w:marRight w:val="0"/>
      <w:marTop w:val="0"/>
      <w:marBottom w:val="0"/>
      <w:divBdr>
        <w:top w:val="none" w:sz="0" w:space="0" w:color="auto"/>
        <w:left w:val="none" w:sz="0" w:space="0" w:color="auto"/>
        <w:bottom w:val="none" w:sz="0" w:space="0" w:color="auto"/>
        <w:right w:val="none" w:sz="0" w:space="0" w:color="auto"/>
      </w:divBdr>
    </w:div>
    <w:div w:id="20728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FEC1-A7AD-4904-B0F7-0FF3E545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5949</Words>
  <Characters>6157</Characters>
  <Application>Microsoft Office Word</Application>
  <DocSecurity>0</DocSecurity>
  <Lines>216</Lines>
  <Paragraphs>70</Paragraphs>
  <ScaleCrop>false</ScaleCrop>
  <Company>DCM</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A/HRC/43/L.38/Rev.1</dc:title>
  <dc:subject>2007994</dc:subject>
  <dc:creator>tian</dc:creator>
  <cp:keywords/>
  <dc:description/>
  <cp:lastModifiedBy>Hui TIAN</cp:lastModifiedBy>
  <cp:revision>2</cp:revision>
  <cp:lastPrinted>2014-05-09T11:28:00Z</cp:lastPrinted>
  <dcterms:created xsi:type="dcterms:W3CDTF">2020-06-17T13:05:00Z</dcterms:created>
  <dcterms:modified xsi:type="dcterms:W3CDTF">2020-06-17T13:05:00Z</dcterms:modified>
</cp:coreProperties>
</file>