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25E1ED8" w14:textId="77777777" w:rsidTr="00562621">
        <w:trPr>
          <w:trHeight w:val="851"/>
        </w:trPr>
        <w:tc>
          <w:tcPr>
            <w:tcW w:w="1259" w:type="dxa"/>
            <w:tcBorders>
              <w:top w:val="nil"/>
              <w:left w:val="nil"/>
              <w:bottom w:val="single" w:sz="4" w:space="0" w:color="auto"/>
              <w:right w:val="nil"/>
            </w:tcBorders>
          </w:tcPr>
          <w:p w14:paraId="39BD350D"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AA9131C" w14:textId="77777777" w:rsidR="00446DE4" w:rsidRPr="00963CBA" w:rsidRDefault="00B3317B" w:rsidP="00562621">
            <w:pPr>
              <w:spacing w:after="80" w:line="300" w:lineRule="exact"/>
              <w:rPr>
                <w:sz w:val="28"/>
                <w:szCs w:val="28"/>
              </w:rPr>
            </w:pPr>
            <w:r>
              <w:rPr>
                <w:lang w:val="zh-CN"/>
              </w:rPr>
              <w:t>联合国</w:t>
            </w:r>
          </w:p>
        </w:tc>
        <w:tc>
          <w:tcPr>
            <w:tcW w:w="6144" w:type="dxa"/>
            <w:gridSpan w:val="2"/>
            <w:tcBorders>
              <w:top w:val="nil"/>
              <w:left w:val="nil"/>
              <w:bottom w:val="single" w:sz="4" w:space="0" w:color="auto"/>
              <w:right w:val="nil"/>
            </w:tcBorders>
            <w:vAlign w:val="bottom"/>
          </w:tcPr>
          <w:p w14:paraId="334ED56A" w14:textId="77777777" w:rsidR="00446DE4" w:rsidRPr="00DE3EC0" w:rsidRDefault="00EE06CD" w:rsidP="008A29FD">
            <w:pPr>
              <w:jc w:val="right"/>
            </w:pPr>
            <w:r>
              <w:rPr>
                <w:lang w:val="zh-CN"/>
              </w:rPr>
              <w:t>A/HRC/44/L.21</w:t>
            </w:r>
          </w:p>
        </w:tc>
      </w:tr>
      <w:tr w:rsidR="003107FA" w14:paraId="223D14FC" w14:textId="77777777" w:rsidTr="00D44761">
        <w:trPr>
          <w:trHeight w:val="2540"/>
        </w:trPr>
        <w:tc>
          <w:tcPr>
            <w:tcW w:w="1259" w:type="dxa"/>
            <w:tcBorders>
              <w:top w:val="single" w:sz="4" w:space="0" w:color="auto"/>
              <w:left w:val="nil"/>
              <w:bottom w:val="single" w:sz="12" w:space="0" w:color="auto"/>
              <w:right w:val="nil"/>
            </w:tcBorders>
          </w:tcPr>
          <w:p w14:paraId="1FD22E6B" w14:textId="77777777" w:rsidR="003107FA" w:rsidRDefault="008A695D" w:rsidP="00562621">
            <w:pPr>
              <w:spacing w:before="120"/>
              <w:jc w:val="center"/>
            </w:pPr>
            <w:r>
              <w:rPr>
                <w:noProof/>
                <w:lang w:eastAsia="en-GB"/>
              </w:rPr>
              <w:drawing>
                <wp:inline distT="0" distB="0" distL="0" distR="0" wp14:anchorId="539FA300" wp14:editId="2E3D2239">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D4B92B7" w14:textId="77777777" w:rsidR="003107FA" w:rsidRPr="00B3317B" w:rsidRDefault="00B3317B" w:rsidP="00562621">
            <w:pPr>
              <w:spacing w:before="120" w:line="420" w:lineRule="exact"/>
              <w:rPr>
                <w:b/>
                <w:sz w:val="40"/>
                <w:szCs w:val="40"/>
              </w:rPr>
            </w:pPr>
            <w:r>
              <w:rPr>
                <w:b/>
                <w:bCs/>
                <w:lang w:val="zh-CN"/>
              </w:rPr>
              <w:t>大会</w:t>
            </w:r>
          </w:p>
        </w:tc>
        <w:tc>
          <w:tcPr>
            <w:tcW w:w="2930" w:type="dxa"/>
            <w:tcBorders>
              <w:top w:val="single" w:sz="4" w:space="0" w:color="auto"/>
              <w:left w:val="nil"/>
              <w:bottom w:val="single" w:sz="12" w:space="0" w:color="auto"/>
              <w:right w:val="nil"/>
            </w:tcBorders>
          </w:tcPr>
          <w:p w14:paraId="37485A23" w14:textId="77777777" w:rsidR="003107FA" w:rsidRDefault="00EE06CD" w:rsidP="00EE06CD">
            <w:pPr>
              <w:spacing w:before="240" w:line="240" w:lineRule="exact"/>
            </w:pPr>
            <w:r>
              <w:t xml:space="preserve">Distr.: </w:t>
            </w:r>
            <w:r w:rsidR="002929B6">
              <w:t>Limited</w:t>
            </w:r>
          </w:p>
          <w:p w14:paraId="777D3778" w14:textId="77777777" w:rsidR="009D1926" w:rsidRDefault="009D1926" w:rsidP="009D1926">
            <w:pPr>
              <w:spacing w:line="240" w:lineRule="exact"/>
            </w:pPr>
            <w:r>
              <w:t>13 July 2020</w:t>
            </w:r>
          </w:p>
          <w:p w14:paraId="161E56F0" w14:textId="0B520481" w:rsidR="00EE06CD" w:rsidRDefault="009D1926" w:rsidP="00EE06CD">
            <w:pPr>
              <w:spacing w:line="240" w:lineRule="exact"/>
            </w:pPr>
            <w:r>
              <w:rPr>
                <w:rFonts w:hint="eastAsia"/>
              </w:rPr>
              <w:t>Chinese</w:t>
            </w:r>
          </w:p>
          <w:p w14:paraId="24F9E7C4" w14:textId="77777777" w:rsidR="00EE06CD" w:rsidRDefault="00EE06CD" w:rsidP="00EE06CD">
            <w:pPr>
              <w:spacing w:line="240" w:lineRule="exact"/>
            </w:pPr>
            <w:r>
              <w:t>Original: English</w:t>
            </w:r>
          </w:p>
        </w:tc>
      </w:tr>
    </w:tbl>
    <w:p w14:paraId="1C5AC5AA" w14:textId="77777777" w:rsidR="00EE06CD" w:rsidRPr="00EE06CD" w:rsidRDefault="00EE06CD" w:rsidP="00EE06CD">
      <w:pPr>
        <w:spacing w:before="120"/>
        <w:rPr>
          <w:b/>
          <w:sz w:val="24"/>
          <w:szCs w:val="24"/>
        </w:rPr>
      </w:pPr>
      <w:r>
        <w:rPr>
          <w:b/>
          <w:bCs/>
          <w:lang w:val="zh-CN"/>
        </w:rPr>
        <w:t>人权理事会</w:t>
      </w:r>
    </w:p>
    <w:p w14:paraId="615DD47C" w14:textId="77777777" w:rsidR="00EE06CD" w:rsidRPr="00EE06CD" w:rsidRDefault="001C7ACB" w:rsidP="00EE06CD">
      <w:pPr>
        <w:rPr>
          <w:b/>
        </w:rPr>
      </w:pPr>
      <w:r>
        <w:rPr>
          <w:b/>
          <w:bCs/>
          <w:lang w:val="zh-CN"/>
        </w:rPr>
        <w:t>第四十四届会议</w:t>
      </w:r>
    </w:p>
    <w:p w14:paraId="67AD8F0F" w14:textId="77777777" w:rsidR="00EE06CD" w:rsidRPr="00EE06CD" w:rsidRDefault="00BF3E51" w:rsidP="00EE06CD">
      <w:r>
        <w:rPr>
          <w:lang w:val="zh-CN"/>
        </w:rPr>
        <w:t>2020</w:t>
      </w:r>
      <w:r>
        <w:rPr>
          <w:lang w:val="zh-CN"/>
        </w:rPr>
        <w:t>年</w:t>
      </w:r>
      <w:r>
        <w:rPr>
          <w:lang w:val="zh-CN"/>
        </w:rPr>
        <w:t>6</w:t>
      </w:r>
      <w:r>
        <w:rPr>
          <w:lang w:val="zh-CN"/>
        </w:rPr>
        <w:t>月</w:t>
      </w:r>
      <w:r>
        <w:rPr>
          <w:lang w:val="zh-CN"/>
        </w:rPr>
        <w:t>30</w:t>
      </w:r>
      <w:r>
        <w:rPr>
          <w:lang w:val="zh-CN"/>
        </w:rPr>
        <w:t>日至</w:t>
      </w:r>
      <w:r>
        <w:rPr>
          <w:lang w:val="zh-CN"/>
        </w:rPr>
        <w:t>7</w:t>
      </w:r>
      <w:r>
        <w:rPr>
          <w:lang w:val="zh-CN"/>
        </w:rPr>
        <w:t>月</w:t>
      </w:r>
      <w:r>
        <w:rPr>
          <w:lang w:val="zh-CN"/>
        </w:rPr>
        <w:t>17</w:t>
      </w:r>
      <w:r>
        <w:rPr>
          <w:lang w:val="zh-CN"/>
        </w:rPr>
        <w:t>日</w:t>
      </w:r>
    </w:p>
    <w:p w14:paraId="08560F84" w14:textId="77777777" w:rsidR="00EE06CD" w:rsidRPr="00EE06CD" w:rsidRDefault="00EE06CD" w:rsidP="00EE06CD">
      <w:r>
        <w:rPr>
          <w:lang w:val="zh-CN"/>
        </w:rPr>
        <w:t>议程项目</w:t>
      </w:r>
      <w:r>
        <w:rPr>
          <w:lang w:val="zh-CN"/>
        </w:rPr>
        <w:t>3</w:t>
      </w:r>
    </w:p>
    <w:p w14:paraId="689DDEFE" w14:textId="77777777" w:rsidR="00EE06CD" w:rsidRPr="00EE06CD" w:rsidRDefault="00EE06CD" w:rsidP="00EE06CD">
      <w:pPr>
        <w:rPr>
          <w:b/>
        </w:rPr>
      </w:pPr>
      <w:r>
        <w:rPr>
          <w:b/>
          <w:bCs/>
          <w:lang w:val="zh-CN"/>
        </w:rPr>
        <w:t>促进和保护所有人权</w:t>
      </w:r>
      <w:r>
        <w:rPr>
          <w:b/>
          <w:bCs/>
          <w:lang w:val="zh-CN"/>
        </w:rPr>
        <w:t>――</w:t>
      </w:r>
      <w:r>
        <w:rPr>
          <w:b/>
          <w:bCs/>
          <w:lang w:val="zh-CN"/>
        </w:rPr>
        <w:t>公民权利、政治权利、经济、社会及文化权利，包括发展权</w:t>
      </w:r>
    </w:p>
    <w:p w14:paraId="0B809E47" w14:textId="4E179AFE" w:rsidR="006F2688" w:rsidRPr="00EE06CD" w:rsidRDefault="006F2688" w:rsidP="006F2688">
      <w:pPr>
        <w:keepNext/>
        <w:keepLines/>
        <w:tabs>
          <w:tab w:val="right" w:pos="851"/>
        </w:tabs>
        <w:spacing w:before="240" w:line="240" w:lineRule="exact"/>
        <w:ind w:left="1134" w:right="1134" w:hanging="1134"/>
        <w:rPr>
          <w:b/>
        </w:rPr>
      </w:pPr>
      <w:r>
        <w:rPr>
          <w:lang w:val="zh-CN"/>
        </w:rPr>
        <w:tab/>
      </w:r>
      <w:r>
        <w:rPr>
          <w:lang w:val="zh-CN"/>
        </w:rPr>
        <w:tab/>
      </w:r>
      <w:r>
        <w:rPr>
          <w:b/>
          <w:bCs/>
          <w:lang w:val="zh-CN"/>
        </w:rPr>
        <w:t>阿尔巴尼亚、</w:t>
      </w:r>
      <w:r w:rsidR="00616A01" w:rsidRPr="00616A01">
        <w:rPr>
          <w:rStyle w:val="a3"/>
          <w:b/>
          <w:sz w:val="20"/>
          <w:vertAlign w:val="baseline"/>
          <w:lang w:val="zh-CN"/>
        </w:rPr>
        <w:footnoteReference w:customMarkFollows="1" w:id="2"/>
        <w:t>*</w:t>
      </w:r>
      <w:r>
        <w:rPr>
          <w:b/>
          <w:bCs/>
          <w:lang w:val="zh-CN"/>
        </w:rPr>
        <w:t>澳大利亚、奥地利、比利时、</w:t>
      </w:r>
      <w:r>
        <w:rPr>
          <w:b/>
          <w:bCs/>
          <w:lang w:val="zh-CN"/>
        </w:rPr>
        <w:t>*</w:t>
      </w:r>
      <w:r>
        <w:rPr>
          <w:b/>
          <w:bCs/>
          <w:lang w:val="zh-CN"/>
        </w:rPr>
        <w:t>保加利亚、加拿大、</w:t>
      </w:r>
      <w:r>
        <w:rPr>
          <w:b/>
          <w:bCs/>
          <w:lang w:val="zh-CN"/>
        </w:rPr>
        <w:t>*</w:t>
      </w:r>
      <w:r>
        <w:rPr>
          <w:b/>
          <w:bCs/>
          <w:lang w:val="zh-CN"/>
        </w:rPr>
        <w:t>智利、克罗地亚、</w:t>
      </w:r>
      <w:r>
        <w:rPr>
          <w:b/>
          <w:bCs/>
          <w:lang w:val="zh-CN"/>
        </w:rPr>
        <w:t>*</w:t>
      </w:r>
      <w:r>
        <w:rPr>
          <w:b/>
          <w:bCs/>
          <w:lang w:val="zh-CN"/>
        </w:rPr>
        <w:t>塞浦路斯、</w:t>
      </w:r>
      <w:r>
        <w:rPr>
          <w:b/>
          <w:bCs/>
          <w:lang w:val="zh-CN"/>
        </w:rPr>
        <w:t>*</w:t>
      </w:r>
      <w:r>
        <w:rPr>
          <w:b/>
          <w:bCs/>
          <w:lang w:val="zh-CN"/>
        </w:rPr>
        <w:t>捷克、丹麦、厄瓜多尔、</w:t>
      </w:r>
      <w:r>
        <w:rPr>
          <w:b/>
          <w:bCs/>
          <w:lang w:val="zh-CN"/>
        </w:rPr>
        <w:t>*</w:t>
      </w:r>
      <w:r>
        <w:rPr>
          <w:b/>
          <w:bCs/>
          <w:lang w:val="zh-CN"/>
        </w:rPr>
        <w:t>爱沙尼亚、</w:t>
      </w:r>
      <w:r>
        <w:rPr>
          <w:b/>
          <w:bCs/>
          <w:lang w:val="zh-CN"/>
        </w:rPr>
        <w:t>*</w:t>
      </w:r>
      <w:r>
        <w:rPr>
          <w:b/>
          <w:bCs/>
          <w:lang w:val="zh-CN"/>
        </w:rPr>
        <w:t>斐济、芬兰、</w:t>
      </w:r>
      <w:r>
        <w:rPr>
          <w:b/>
          <w:bCs/>
          <w:lang w:val="zh-CN"/>
        </w:rPr>
        <w:t>*</w:t>
      </w:r>
      <w:r>
        <w:rPr>
          <w:b/>
          <w:bCs/>
          <w:lang w:val="zh-CN"/>
        </w:rPr>
        <w:t>法国、</w:t>
      </w:r>
      <w:r>
        <w:rPr>
          <w:b/>
          <w:bCs/>
          <w:lang w:val="zh-CN"/>
        </w:rPr>
        <w:t>*</w:t>
      </w:r>
      <w:r>
        <w:rPr>
          <w:b/>
          <w:bCs/>
          <w:lang w:val="zh-CN"/>
        </w:rPr>
        <w:t>格鲁吉亚、</w:t>
      </w:r>
      <w:r>
        <w:rPr>
          <w:b/>
          <w:bCs/>
          <w:lang w:val="zh-CN"/>
        </w:rPr>
        <w:t>*</w:t>
      </w:r>
      <w:r>
        <w:rPr>
          <w:b/>
          <w:bCs/>
          <w:lang w:val="zh-CN"/>
        </w:rPr>
        <w:t>德国、希腊、</w:t>
      </w:r>
      <w:r>
        <w:rPr>
          <w:b/>
          <w:bCs/>
          <w:lang w:val="zh-CN"/>
        </w:rPr>
        <w:t>*</w:t>
      </w:r>
      <w:r>
        <w:rPr>
          <w:b/>
          <w:bCs/>
          <w:lang w:val="zh-CN"/>
        </w:rPr>
        <w:t>匈牙利、</w:t>
      </w:r>
      <w:r>
        <w:rPr>
          <w:b/>
          <w:bCs/>
          <w:lang w:val="zh-CN"/>
        </w:rPr>
        <w:t>*</w:t>
      </w:r>
      <w:r>
        <w:rPr>
          <w:b/>
          <w:bCs/>
          <w:lang w:val="zh-CN"/>
        </w:rPr>
        <w:t>冰岛、</w:t>
      </w:r>
      <w:r>
        <w:rPr>
          <w:b/>
          <w:bCs/>
          <w:lang w:val="zh-CN"/>
        </w:rPr>
        <w:t>*</w:t>
      </w:r>
      <w:r>
        <w:rPr>
          <w:b/>
          <w:bCs/>
          <w:lang w:val="zh-CN"/>
        </w:rPr>
        <w:t>爱尔兰、</w:t>
      </w:r>
      <w:r>
        <w:rPr>
          <w:b/>
          <w:bCs/>
          <w:lang w:val="zh-CN"/>
        </w:rPr>
        <w:t>*</w:t>
      </w:r>
      <w:r>
        <w:rPr>
          <w:b/>
          <w:bCs/>
          <w:lang w:val="zh-CN"/>
        </w:rPr>
        <w:t>意大利、日本、拉脱维亚、</w:t>
      </w:r>
      <w:r>
        <w:rPr>
          <w:b/>
          <w:bCs/>
          <w:lang w:val="zh-CN"/>
        </w:rPr>
        <w:t>*</w:t>
      </w:r>
      <w:r>
        <w:rPr>
          <w:b/>
          <w:bCs/>
          <w:lang w:val="zh-CN"/>
        </w:rPr>
        <w:t>列支敦士登、</w:t>
      </w:r>
      <w:r>
        <w:rPr>
          <w:b/>
          <w:bCs/>
          <w:lang w:val="zh-CN"/>
        </w:rPr>
        <w:t>*</w:t>
      </w:r>
      <w:r>
        <w:rPr>
          <w:b/>
          <w:bCs/>
          <w:lang w:val="zh-CN"/>
        </w:rPr>
        <w:t>立陶宛、</w:t>
      </w:r>
      <w:r>
        <w:rPr>
          <w:b/>
          <w:bCs/>
          <w:lang w:val="zh-CN"/>
        </w:rPr>
        <w:t>*</w:t>
      </w:r>
      <w:r>
        <w:rPr>
          <w:b/>
          <w:bCs/>
          <w:lang w:val="zh-CN"/>
        </w:rPr>
        <w:t>卢森堡、</w:t>
      </w:r>
      <w:r>
        <w:rPr>
          <w:b/>
          <w:bCs/>
          <w:lang w:val="zh-CN"/>
        </w:rPr>
        <w:t>*</w:t>
      </w:r>
      <w:r>
        <w:rPr>
          <w:b/>
          <w:bCs/>
          <w:lang w:val="zh-CN"/>
        </w:rPr>
        <w:t>马达加斯加、</w:t>
      </w:r>
      <w:r>
        <w:rPr>
          <w:b/>
          <w:bCs/>
          <w:lang w:val="zh-CN"/>
        </w:rPr>
        <w:t>*</w:t>
      </w:r>
      <w:r>
        <w:rPr>
          <w:b/>
          <w:bCs/>
          <w:lang w:val="zh-CN"/>
        </w:rPr>
        <w:t>马耳他、</w:t>
      </w:r>
      <w:r>
        <w:rPr>
          <w:b/>
          <w:bCs/>
          <w:lang w:val="zh-CN"/>
        </w:rPr>
        <w:t>*</w:t>
      </w:r>
      <w:r>
        <w:rPr>
          <w:b/>
          <w:bCs/>
          <w:lang w:val="zh-CN"/>
        </w:rPr>
        <w:t>墨西哥、摩纳哥、</w:t>
      </w:r>
      <w:r>
        <w:rPr>
          <w:b/>
          <w:bCs/>
          <w:lang w:val="zh-CN"/>
        </w:rPr>
        <w:t>*</w:t>
      </w:r>
      <w:r>
        <w:rPr>
          <w:b/>
          <w:bCs/>
          <w:lang w:val="zh-CN"/>
        </w:rPr>
        <w:t>黑山、</w:t>
      </w:r>
      <w:r>
        <w:rPr>
          <w:b/>
          <w:bCs/>
          <w:lang w:val="zh-CN"/>
        </w:rPr>
        <w:t>*</w:t>
      </w:r>
      <w:r>
        <w:rPr>
          <w:b/>
          <w:bCs/>
          <w:lang w:val="zh-CN"/>
        </w:rPr>
        <w:t>尼泊尔、荷兰、新西兰、</w:t>
      </w:r>
      <w:r>
        <w:rPr>
          <w:b/>
          <w:bCs/>
          <w:lang w:val="zh-CN"/>
        </w:rPr>
        <w:t>*</w:t>
      </w:r>
      <w:r>
        <w:rPr>
          <w:b/>
          <w:bCs/>
          <w:lang w:val="zh-CN"/>
        </w:rPr>
        <w:t>北马其顿、</w:t>
      </w:r>
      <w:r>
        <w:rPr>
          <w:b/>
          <w:bCs/>
          <w:lang w:val="zh-CN"/>
        </w:rPr>
        <w:t>*</w:t>
      </w:r>
      <w:r>
        <w:rPr>
          <w:b/>
          <w:bCs/>
          <w:lang w:val="zh-CN"/>
        </w:rPr>
        <w:t>挪威、</w:t>
      </w:r>
      <w:r>
        <w:rPr>
          <w:b/>
          <w:bCs/>
          <w:lang w:val="zh-CN"/>
        </w:rPr>
        <w:t>*</w:t>
      </w:r>
      <w:r>
        <w:rPr>
          <w:b/>
          <w:bCs/>
          <w:lang w:val="zh-CN"/>
        </w:rPr>
        <w:t>巴拉圭、</w:t>
      </w:r>
      <w:r>
        <w:rPr>
          <w:b/>
          <w:bCs/>
          <w:lang w:val="zh-CN"/>
        </w:rPr>
        <w:t>*</w:t>
      </w:r>
      <w:r>
        <w:rPr>
          <w:b/>
          <w:bCs/>
          <w:lang w:val="zh-CN"/>
        </w:rPr>
        <w:t>秘鲁、葡萄牙、</w:t>
      </w:r>
      <w:r>
        <w:rPr>
          <w:b/>
          <w:bCs/>
          <w:lang w:val="zh-CN"/>
        </w:rPr>
        <w:t>*</w:t>
      </w:r>
      <w:r>
        <w:rPr>
          <w:b/>
          <w:bCs/>
          <w:lang w:val="zh-CN"/>
        </w:rPr>
        <w:t>罗马尼亚、</w:t>
      </w:r>
      <w:r>
        <w:rPr>
          <w:b/>
          <w:bCs/>
          <w:lang w:val="zh-CN"/>
        </w:rPr>
        <w:t>*</w:t>
      </w:r>
      <w:r>
        <w:rPr>
          <w:b/>
          <w:bCs/>
          <w:lang w:val="zh-CN"/>
        </w:rPr>
        <w:t>圣马力诺、</w:t>
      </w:r>
      <w:r>
        <w:rPr>
          <w:b/>
          <w:bCs/>
          <w:lang w:val="zh-CN"/>
        </w:rPr>
        <w:t>*</w:t>
      </w:r>
      <w:r>
        <w:rPr>
          <w:b/>
          <w:bCs/>
          <w:lang w:val="zh-CN"/>
        </w:rPr>
        <w:t>斯洛文尼亚、</w:t>
      </w:r>
      <w:r>
        <w:rPr>
          <w:b/>
          <w:bCs/>
          <w:lang w:val="zh-CN"/>
        </w:rPr>
        <w:t>*</w:t>
      </w:r>
      <w:r>
        <w:rPr>
          <w:b/>
          <w:bCs/>
          <w:lang w:val="zh-CN"/>
        </w:rPr>
        <w:t>西班牙、瑞典、</w:t>
      </w:r>
      <w:r>
        <w:rPr>
          <w:b/>
          <w:bCs/>
          <w:lang w:val="zh-CN"/>
        </w:rPr>
        <w:t>*</w:t>
      </w:r>
      <w:r>
        <w:rPr>
          <w:b/>
          <w:bCs/>
          <w:lang w:val="zh-CN"/>
        </w:rPr>
        <w:t>瑞士、</w:t>
      </w:r>
      <w:r>
        <w:rPr>
          <w:b/>
          <w:bCs/>
          <w:lang w:val="zh-CN"/>
        </w:rPr>
        <w:t>*</w:t>
      </w:r>
      <w:r>
        <w:rPr>
          <w:b/>
          <w:bCs/>
          <w:lang w:val="zh-CN"/>
        </w:rPr>
        <w:t>泰国、</w:t>
      </w:r>
      <w:r>
        <w:rPr>
          <w:b/>
          <w:bCs/>
          <w:lang w:val="zh-CN"/>
        </w:rPr>
        <w:t>*</w:t>
      </w:r>
      <w:r>
        <w:rPr>
          <w:b/>
          <w:bCs/>
          <w:lang w:val="zh-CN"/>
        </w:rPr>
        <w:t>突尼斯、</w:t>
      </w:r>
      <w:r>
        <w:rPr>
          <w:b/>
          <w:bCs/>
          <w:lang w:val="zh-CN"/>
        </w:rPr>
        <w:t>*</w:t>
      </w:r>
      <w:r>
        <w:rPr>
          <w:b/>
          <w:bCs/>
          <w:lang w:val="zh-CN"/>
        </w:rPr>
        <w:t>土耳其、</w:t>
      </w:r>
      <w:r>
        <w:rPr>
          <w:b/>
          <w:bCs/>
          <w:lang w:val="zh-CN"/>
        </w:rPr>
        <w:t>*</w:t>
      </w:r>
      <w:r>
        <w:rPr>
          <w:b/>
          <w:bCs/>
          <w:lang w:val="zh-CN"/>
        </w:rPr>
        <w:t>乌克兰、大不列颠及北爱尔兰联合王国</w:t>
      </w:r>
      <w:r>
        <w:rPr>
          <w:b/>
          <w:bCs/>
          <w:lang w:val="zh-CN"/>
        </w:rPr>
        <w:t>*</w:t>
      </w:r>
      <w:r>
        <w:rPr>
          <w:b/>
          <w:bCs/>
          <w:lang w:val="zh-CN"/>
        </w:rPr>
        <w:t>和乌拉圭</w:t>
      </w:r>
      <w:r w:rsidR="00F318CE">
        <w:rPr>
          <w:rFonts w:hint="eastAsia"/>
          <w:b/>
          <w:bCs/>
          <w:lang w:val="zh-CN"/>
        </w:rPr>
        <w:t>：</w:t>
      </w:r>
      <w:r>
        <w:rPr>
          <w:b/>
          <w:bCs/>
          <w:lang w:val="zh-CN"/>
        </w:rPr>
        <w:t>决议草案</w:t>
      </w:r>
    </w:p>
    <w:p w14:paraId="6044C1C3" w14:textId="315A759E" w:rsidR="00C82F5B" w:rsidRPr="008A7033" w:rsidRDefault="00F318CE" w:rsidP="008A7033">
      <w:pPr>
        <w:keepNext/>
        <w:keepLines/>
        <w:spacing w:before="360" w:after="240" w:line="270" w:lineRule="exact"/>
        <w:ind w:left="1843" w:right="1134" w:hanging="709"/>
        <w:rPr>
          <w:b/>
          <w:bCs/>
          <w:sz w:val="24"/>
        </w:rPr>
      </w:pPr>
      <w:r>
        <w:rPr>
          <w:b/>
          <w:sz w:val="24"/>
        </w:rPr>
        <w:t>44</w:t>
      </w:r>
      <w:r w:rsidRPr="00EE06CD">
        <w:rPr>
          <w:b/>
          <w:sz w:val="24"/>
        </w:rPr>
        <w:t>/</w:t>
      </w:r>
      <w:r>
        <w:rPr>
          <w:b/>
          <w:sz w:val="24"/>
        </w:rPr>
        <w:t>…</w:t>
      </w:r>
      <w:r w:rsidR="00095C05">
        <w:rPr>
          <w:b/>
          <w:bCs/>
          <w:lang w:val="zh-CN"/>
        </w:rPr>
        <w:t>消除对妇女和女童一切形式的歧视</w:t>
      </w:r>
    </w:p>
    <w:p w14:paraId="48CA49FA" w14:textId="77777777" w:rsidR="00EE06CD" w:rsidRDefault="00EE06CD" w:rsidP="00EE06CD">
      <w:pPr>
        <w:ind w:left="1134" w:right="1134"/>
      </w:pPr>
      <w:r>
        <w:rPr>
          <w:lang w:val="zh-CN"/>
        </w:rPr>
        <w:tab/>
      </w:r>
      <w:r>
        <w:rPr>
          <w:lang w:val="zh-CN"/>
        </w:rPr>
        <w:tab/>
      </w:r>
      <w:r w:rsidRPr="00F318CE">
        <w:rPr>
          <w:rFonts w:eastAsia="楷体"/>
          <w:lang w:val="zh-CN"/>
        </w:rPr>
        <w:t>人权理事会</w:t>
      </w:r>
      <w:r>
        <w:rPr>
          <w:lang w:val="zh-CN"/>
        </w:rPr>
        <w:t>，</w:t>
      </w:r>
    </w:p>
    <w:p w14:paraId="1384EA7E" w14:textId="77777777" w:rsidR="008A7033" w:rsidRPr="008A7033" w:rsidRDefault="008A7033" w:rsidP="008A7033">
      <w:pPr>
        <w:pStyle w:val="SingleTxtG"/>
        <w:ind w:firstLine="567"/>
      </w:pPr>
      <w:r w:rsidRPr="00F318CE">
        <w:rPr>
          <w:rFonts w:eastAsia="楷体"/>
          <w:lang w:val="zh-CN"/>
        </w:rPr>
        <w:t>遵循</w:t>
      </w:r>
      <w:r>
        <w:rPr>
          <w:lang w:val="zh-CN"/>
        </w:rPr>
        <w:t>《联合国宪章》的宗旨和原则，</w:t>
      </w:r>
    </w:p>
    <w:p w14:paraId="6D24A21D" w14:textId="77777777" w:rsidR="008A7033" w:rsidRPr="008A7033" w:rsidRDefault="008A7033" w:rsidP="008A7033">
      <w:pPr>
        <w:pStyle w:val="SingleTxtG"/>
        <w:ind w:firstLine="567"/>
      </w:pPr>
      <w:r w:rsidRPr="00F318CE">
        <w:rPr>
          <w:rFonts w:eastAsia="楷体"/>
          <w:lang w:val="zh-CN"/>
        </w:rPr>
        <w:t>重申</w:t>
      </w:r>
      <w:r>
        <w:rPr>
          <w:lang w:val="zh-CN"/>
        </w:rPr>
        <w:t>《世界人权宣言》、《消除对妇女一切形式歧视公约》、《儿童权利公约》、《消除一切形式种族歧视公约》和其他所有有关国际人权文书，</w:t>
      </w:r>
    </w:p>
    <w:p w14:paraId="316C112C" w14:textId="77777777" w:rsidR="008A7033" w:rsidRPr="008A7033" w:rsidRDefault="008A7033" w:rsidP="008A7033">
      <w:pPr>
        <w:pStyle w:val="SingleTxtG"/>
        <w:ind w:firstLine="567"/>
      </w:pPr>
      <w:r w:rsidRPr="00F318CE">
        <w:rPr>
          <w:rFonts w:eastAsia="楷体"/>
          <w:lang w:val="zh-CN"/>
        </w:rPr>
        <w:t>回顾</w:t>
      </w:r>
      <w:r>
        <w:rPr>
          <w:lang w:val="zh-CN"/>
        </w:rPr>
        <w:t>《维也纳宣言和行动纲领》、《国际人口与发展会议行动纲领》、《北京宣言和行动纲要》及各相关审查会议的成果文件、《德班宣言和行动纲领》及德班审查会议的成果文件均承认性别平等问题并谴责对妇女和女童的歧视和暴力行为，</w:t>
      </w:r>
    </w:p>
    <w:p w14:paraId="19DB8859" w14:textId="0EABF5AB" w:rsidR="008A7033" w:rsidRPr="008A7033" w:rsidRDefault="008A7033" w:rsidP="008A7033">
      <w:pPr>
        <w:pStyle w:val="SingleTxtG"/>
        <w:ind w:firstLine="567"/>
      </w:pPr>
      <w:r w:rsidRPr="00F92A7D">
        <w:rPr>
          <w:rFonts w:eastAsia="楷体"/>
          <w:lang w:val="zh-CN"/>
        </w:rPr>
        <w:t>注意到</w:t>
      </w:r>
      <w:r>
        <w:rPr>
          <w:lang w:val="zh-CN"/>
        </w:rPr>
        <w:t>2020</w:t>
      </w:r>
      <w:r>
        <w:rPr>
          <w:lang w:val="zh-CN"/>
        </w:rPr>
        <w:t>年是第四次妇女问题世界会议</w:t>
      </w:r>
      <w:r w:rsidR="007F521B">
        <w:rPr>
          <w:rFonts w:hint="eastAsia"/>
          <w:lang w:val="zh-CN"/>
        </w:rPr>
        <w:t>召开</w:t>
      </w:r>
      <w:r>
        <w:rPr>
          <w:lang w:val="zh-CN"/>
        </w:rPr>
        <w:t>及通过《北京宣言和行动纲要》二十五周年，</w:t>
      </w:r>
      <w:r w:rsidR="004626D5">
        <w:rPr>
          <w:rFonts w:hint="eastAsia"/>
          <w:lang w:val="zh-CN"/>
        </w:rPr>
        <w:t>会议和宣言</w:t>
      </w:r>
      <w:r>
        <w:rPr>
          <w:lang w:val="zh-CN"/>
        </w:rPr>
        <w:t>极大地促进了在实现实质性性别平等和增强妇女和女童权能方面取得</w:t>
      </w:r>
      <w:r w:rsidR="004626D5">
        <w:rPr>
          <w:rFonts w:hint="eastAsia"/>
          <w:lang w:val="zh-CN"/>
        </w:rPr>
        <w:t>的</w:t>
      </w:r>
      <w:r>
        <w:rPr>
          <w:lang w:val="zh-CN"/>
        </w:rPr>
        <w:t>进展</w:t>
      </w:r>
      <w:r w:rsidR="004626D5">
        <w:rPr>
          <w:rFonts w:hint="eastAsia"/>
          <w:lang w:val="zh-CN"/>
        </w:rPr>
        <w:t>，</w:t>
      </w:r>
      <w:r>
        <w:rPr>
          <w:lang w:val="zh-CN"/>
        </w:rPr>
        <w:t>在这方面欢迎妇女地位委员会第六十四届会议在此次周年纪念时通过的政治宣言，</w:t>
      </w:r>
    </w:p>
    <w:p w14:paraId="160A7D20" w14:textId="7F714A96" w:rsidR="008A7033" w:rsidRPr="008A7033" w:rsidRDefault="008A7033" w:rsidP="008A7033">
      <w:pPr>
        <w:pStyle w:val="SingleTxtG"/>
        <w:ind w:firstLine="567"/>
      </w:pPr>
      <w:r w:rsidRPr="00286968">
        <w:rPr>
          <w:rFonts w:eastAsia="楷体"/>
          <w:lang w:val="zh-CN"/>
        </w:rPr>
        <w:t>回顾</w:t>
      </w:r>
      <w:r>
        <w:rPr>
          <w:lang w:val="zh-CN"/>
        </w:rPr>
        <w:t>人权理事会、大会、安全理事会、妇女地位委员会和审议歧视妇女和女童问题的其他联合国机构和机关通过的所有相关决议和议定结论，特别是安全理事会</w:t>
      </w:r>
      <w:r>
        <w:rPr>
          <w:lang w:val="zh-CN"/>
        </w:rPr>
        <w:t>2000</w:t>
      </w:r>
      <w:r>
        <w:rPr>
          <w:lang w:val="zh-CN"/>
        </w:rPr>
        <w:t>年</w:t>
      </w:r>
      <w:r>
        <w:rPr>
          <w:lang w:val="zh-CN"/>
        </w:rPr>
        <w:t>10</w:t>
      </w:r>
      <w:r>
        <w:rPr>
          <w:lang w:val="zh-CN"/>
        </w:rPr>
        <w:t>月</w:t>
      </w:r>
      <w:r>
        <w:rPr>
          <w:lang w:val="zh-CN"/>
        </w:rPr>
        <w:t>31</w:t>
      </w:r>
      <w:r>
        <w:rPr>
          <w:lang w:val="zh-CN"/>
        </w:rPr>
        <w:t>日关于妇女、和平与安全的第</w:t>
      </w:r>
      <w:r>
        <w:rPr>
          <w:lang w:val="zh-CN"/>
        </w:rPr>
        <w:t>1325(2000)</w:t>
      </w:r>
      <w:r>
        <w:rPr>
          <w:lang w:val="zh-CN"/>
        </w:rPr>
        <w:t>号决议，</w:t>
      </w:r>
    </w:p>
    <w:p w14:paraId="2B6EF058" w14:textId="258ED118" w:rsidR="008A7033" w:rsidRPr="008A7033" w:rsidRDefault="008A7033" w:rsidP="008A7033">
      <w:pPr>
        <w:pStyle w:val="SingleTxtG"/>
        <w:ind w:firstLine="567"/>
      </w:pPr>
      <w:r w:rsidRPr="00F760D6">
        <w:rPr>
          <w:rFonts w:eastAsia="楷体"/>
          <w:lang w:val="zh-CN"/>
        </w:rPr>
        <w:lastRenderedPageBreak/>
        <w:t>又</w:t>
      </w:r>
      <w:r w:rsidR="00F760D6" w:rsidRPr="00F760D6">
        <w:rPr>
          <w:rFonts w:eastAsia="楷体" w:hint="eastAsia"/>
          <w:lang w:val="zh-CN"/>
        </w:rPr>
        <w:t>回顾</w:t>
      </w:r>
      <w:r>
        <w:rPr>
          <w:lang w:val="zh-CN"/>
        </w:rPr>
        <w:t>性别平等和增强所有妇女和女童权能已被作为一项单独目标列入《</w:t>
      </w:r>
      <w:r>
        <w:rPr>
          <w:lang w:val="zh-CN"/>
        </w:rPr>
        <w:t>2030</w:t>
      </w:r>
      <w:r>
        <w:rPr>
          <w:lang w:val="zh-CN"/>
        </w:rPr>
        <w:t>年可持续发展议程》，并融入该议程的所有目标和具体目标；并回顾《第三次发展筹资问题国际会议亚的斯亚贝巴行动议程》获得通过，</w:t>
      </w:r>
    </w:p>
    <w:p w14:paraId="5A0730E4" w14:textId="77777777" w:rsidR="008A7033" w:rsidRPr="008A7033" w:rsidRDefault="008A7033" w:rsidP="008A7033">
      <w:pPr>
        <w:pStyle w:val="SingleTxtG"/>
        <w:ind w:firstLine="567"/>
      </w:pPr>
      <w:r w:rsidRPr="00F760D6">
        <w:rPr>
          <w:rFonts w:eastAsia="楷体"/>
          <w:lang w:val="zh-CN"/>
        </w:rPr>
        <w:t>强调</w:t>
      </w:r>
      <w:r>
        <w:rPr>
          <w:lang w:val="zh-CN"/>
        </w:rPr>
        <w:t>国际人权法禁止歧视，包括基于性别的歧视，国家的立法、政策和实践应符合各国的国际义务，</w:t>
      </w:r>
    </w:p>
    <w:p w14:paraId="60EB7B42" w14:textId="09072E52" w:rsidR="008A7033" w:rsidRPr="00616A01" w:rsidRDefault="008A7033" w:rsidP="008A7033">
      <w:pPr>
        <w:pStyle w:val="SingleTxtG"/>
        <w:ind w:firstLine="567"/>
        <w:rPr>
          <w:iCs/>
        </w:rPr>
      </w:pPr>
      <w:r w:rsidRPr="00F760D6">
        <w:rPr>
          <w:rFonts w:eastAsia="楷体"/>
          <w:lang w:val="zh-CN"/>
        </w:rPr>
        <w:t>表示深为关切</w:t>
      </w:r>
      <w:r>
        <w:rPr>
          <w:lang w:val="zh-CN"/>
        </w:rPr>
        <w:t>各国、国际和区域组织以及民间社会，包括妇女和女童权利组织、社区组织、女权团体、妇女和女童人权维护者、工会及女童和青年领导的组织，在尊重、保护和实现所有人权方面取得的进展出现倒退</w:t>
      </w:r>
      <w:r w:rsidR="00EE7179">
        <w:rPr>
          <w:rFonts w:hint="eastAsia"/>
          <w:lang w:val="zh-CN"/>
        </w:rPr>
        <w:t>；</w:t>
      </w:r>
      <w:r>
        <w:rPr>
          <w:lang w:val="zh-CN"/>
        </w:rPr>
        <w:t>认识到这些倒退与经济危机和不平等、种族歧视、消极社会规范和性别成见、鼓噪倒退的游说团体、意识形态观点或滥用文化或宗教反对为妇女和女童争取平等权利息息相关，</w:t>
      </w:r>
    </w:p>
    <w:p w14:paraId="44E48A6A" w14:textId="54B5A0FC" w:rsidR="008A7033" w:rsidRPr="008A7033" w:rsidRDefault="008A7033">
      <w:pPr>
        <w:pStyle w:val="SingleTxtG"/>
        <w:ind w:firstLine="567"/>
        <w:rPr>
          <w:iCs/>
        </w:rPr>
      </w:pPr>
      <w:r w:rsidRPr="00F760D6">
        <w:rPr>
          <w:rFonts w:eastAsia="楷体"/>
          <w:lang w:val="zh-CN"/>
        </w:rPr>
        <w:t>认识到</w:t>
      </w:r>
      <w:r>
        <w:rPr>
          <w:lang w:val="zh-CN"/>
        </w:rPr>
        <w:t>妇女和女童</w:t>
      </w:r>
      <w:r w:rsidR="00A62D00">
        <w:rPr>
          <w:rFonts w:hint="eastAsia"/>
          <w:lang w:val="zh-CN"/>
        </w:rPr>
        <w:t>的一生</w:t>
      </w:r>
      <w:r>
        <w:rPr>
          <w:lang w:val="zh-CN"/>
        </w:rPr>
        <w:t>在私人和公共场所、网上和网下都受到基于性别、年龄、种族、族裔、土著身份、宗教或信仰、身心健康、残疾</w:t>
      </w:r>
      <w:r w:rsidR="00A62D00">
        <w:rPr>
          <w:rFonts w:hint="eastAsia"/>
          <w:lang w:val="zh-CN"/>
        </w:rPr>
        <w:t>状况</w:t>
      </w:r>
      <w:r>
        <w:rPr>
          <w:lang w:val="zh-CN"/>
        </w:rPr>
        <w:t>、公民身份、社会经济背景和移民身份等原因的多重、交叉和系统形式的歧视；认识到实质性平等要求消除引发对其结构性歧视的根本原因，包括根深蒂固的男尊女卑观念和性别成见、消极社会规范、社会政治和经济不平等、系统性种族主义，以及对性别角色的传统认识，这种认识延续了不平等的权利关系、歧视性的态度、行为、规范、观念、习俗和有害做法，如切割女性生殖器及童婚、早婚和强迫婚姻，</w:t>
      </w:r>
    </w:p>
    <w:p w14:paraId="0E9ECC84" w14:textId="25A65727" w:rsidR="008A7033" w:rsidRPr="008A7033" w:rsidRDefault="008A7033" w:rsidP="008A7033">
      <w:pPr>
        <w:pStyle w:val="SingleTxtG"/>
        <w:ind w:firstLine="567"/>
      </w:pPr>
      <w:r w:rsidRPr="00F760D6">
        <w:rPr>
          <w:rFonts w:eastAsia="楷体"/>
          <w:lang w:val="zh-CN"/>
        </w:rPr>
        <w:t>确认</w:t>
      </w:r>
      <w:r>
        <w:rPr>
          <w:lang w:val="zh-CN"/>
        </w:rPr>
        <w:t>各国应考虑在法律和实践中酌情承认交叉和系统性歧视，通过并执行考虑到多重交叉形式歧视的政策和方案，以应对其对妇女和女童的复杂影响；认识到男子和男童作为战略伙伴和盟友以及变革推动者和受益者充分参与，对于实现性别平等和增强所有妇女和女童权能的重要性，</w:t>
      </w:r>
    </w:p>
    <w:p w14:paraId="7D18ACC8" w14:textId="796A4CA2" w:rsidR="008A7033" w:rsidRPr="008A7033" w:rsidRDefault="008A7033" w:rsidP="008A7033">
      <w:pPr>
        <w:pStyle w:val="SingleTxtG"/>
        <w:ind w:firstLine="567"/>
      </w:pPr>
      <w:r w:rsidRPr="00F760D6">
        <w:rPr>
          <w:rFonts w:eastAsia="楷体"/>
          <w:lang w:val="zh-CN"/>
        </w:rPr>
        <w:t>重申</w:t>
      </w:r>
      <w:r>
        <w:rPr>
          <w:lang w:val="zh-CN"/>
        </w:rPr>
        <w:t>所有妇女和女童充分享有所有人权，包括性健康和生殖健康及生殖权利，不受胁迫、歧视和暴力，</w:t>
      </w:r>
    </w:p>
    <w:p w14:paraId="36A963C7" w14:textId="7E0ACF0B" w:rsidR="008A7033" w:rsidRPr="008A7033" w:rsidRDefault="008A7033" w:rsidP="008A7033">
      <w:pPr>
        <w:pStyle w:val="SingleTxtG"/>
        <w:ind w:firstLine="567"/>
      </w:pPr>
      <w:r w:rsidRPr="00F760D6">
        <w:rPr>
          <w:rFonts w:eastAsia="楷体"/>
          <w:lang w:val="zh-CN"/>
        </w:rPr>
        <w:t>认识到</w:t>
      </w:r>
      <w:r>
        <w:rPr>
          <w:lang w:val="zh-CN"/>
        </w:rPr>
        <w:t>全面的性健康和生殖健康信息和服务，除其他外包括：便于获得且具包容性的计划生育、安全有效的现代避孕方法、紧急避孕、少女怀孕预防方案、孕产妇保健和服务，如熟练助产和急诊产科护理（包括提供产科服务的助产士）、围产期护理、不违反国家法律的安全堕胎、堕胎后护理，以及生殖道感染、性传播感染、艾滋病和生殖系统癌症的预防与治疗，</w:t>
      </w:r>
    </w:p>
    <w:p w14:paraId="1B658B28" w14:textId="767E72D8" w:rsidR="008A7033" w:rsidRPr="008A7033" w:rsidRDefault="008A7033" w:rsidP="008A7033">
      <w:pPr>
        <w:pStyle w:val="SingleTxtG"/>
        <w:ind w:firstLine="567"/>
      </w:pPr>
      <w:r w:rsidRPr="00F760D6">
        <w:rPr>
          <w:rFonts w:eastAsia="楷体"/>
          <w:lang w:val="zh-CN"/>
        </w:rPr>
        <w:t>深为关切</w:t>
      </w:r>
      <w:r>
        <w:rPr>
          <w:lang w:val="zh-CN"/>
        </w:rPr>
        <w:t>2019</w:t>
      </w:r>
      <w:r>
        <w:rPr>
          <w:lang w:val="zh-CN"/>
        </w:rPr>
        <w:t>冠状病毒病（</w:t>
      </w:r>
      <w:r>
        <w:rPr>
          <w:lang w:val="zh-CN"/>
        </w:rPr>
        <w:t>COVID-19</w:t>
      </w:r>
      <w:r>
        <w:rPr>
          <w:lang w:val="zh-CN"/>
        </w:rPr>
        <w:t>）危机加剧了妇女和女童原已面临的各种形式不平等和系统性歧视，包括父权制、种族主义、污名化、仇外和社会经济不平等，使性暴力和性别暴力及骚扰事件增多，妇女和女童承担无偿照料和家务劳动的</w:t>
      </w:r>
      <w:r w:rsidR="00571304">
        <w:rPr>
          <w:rFonts w:hint="eastAsia"/>
          <w:lang w:val="zh-CN"/>
        </w:rPr>
        <w:t>不当</w:t>
      </w:r>
      <w:r>
        <w:rPr>
          <w:lang w:val="zh-CN"/>
        </w:rPr>
        <w:t>比例进一步</w:t>
      </w:r>
      <w:r w:rsidR="00571304">
        <w:rPr>
          <w:rFonts w:hint="eastAsia"/>
          <w:lang w:val="zh-CN"/>
        </w:rPr>
        <w:t>提高</w:t>
      </w:r>
      <w:r>
        <w:rPr>
          <w:lang w:val="zh-CN"/>
        </w:rPr>
        <w:t>，</w:t>
      </w:r>
      <w:r w:rsidR="0018269D">
        <w:rPr>
          <w:rFonts w:hint="eastAsia"/>
          <w:lang w:val="zh-CN"/>
        </w:rPr>
        <w:t>越来越多的</w:t>
      </w:r>
      <w:r>
        <w:rPr>
          <w:lang w:val="zh-CN"/>
        </w:rPr>
        <w:t>妇女特别是在非正规部门工作的妇女失去就业和生计，</w:t>
      </w:r>
    </w:p>
    <w:p w14:paraId="21984A69" w14:textId="14CE11B0" w:rsidR="00580427" w:rsidRDefault="008A7033" w:rsidP="008A7033">
      <w:pPr>
        <w:pStyle w:val="SingleTxtG"/>
        <w:ind w:firstLine="567"/>
      </w:pPr>
      <w:r w:rsidRPr="00F760D6">
        <w:rPr>
          <w:rFonts w:eastAsia="楷体"/>
          <w:lang w:val="zh-CN"/>
        </w:rPr>
        <w:t>注意到</w:t>
      </w:r>
      <w:r>
        <w:rPr>
          <w:lang w:val="zh-CN"/>
        </w:rPr>
        <w:t>妇女在卫生和社会部门各类职业的一线工作人员中占</w:t>
      </w:r>
      <w:r>
        <w:rPr>
          <w:lang w:val="zh-CN"/>
        </w:rPr>
        <w:t>70%</w:t>
      </w:r>
      <w:r>
        <w:rPr>
          <w:lang w:val="zh-CN"/>
        </w:rPr>
        <w:t>；深为关切因为性别关系，</w:t>
      </w:r>
      <w:r>
        <w:rPr>
          <w:lang w:val="zh-CN"/>
        </w:rPr>
        <w:t>COVID-19</w:t>
      </w:r>
      <w:r>
        <w:rPr>
          <w:lang w:val="zh-CN"/>
        </w:rPr>
        <w:t>大流行对妇女产生重大影响，包括在公平适当地获得保健服务</w:t>
      </w:r>
      <w:r w:rsidR="00EB45B8">
        <w:rPr>
          <w:rFonts w:hint="eastAsia"/>
          <w:lang w:val="zh-CN"/>
        </w:rPr>
        <w:t>和</w:t>
      </w:r>
      <w:r>
        <w:rPr>
          <w:lang w:val="zh-CN"/>
        </w:rPr>
        <w:t>过度承担无偿照料和家务劳动方面，而且</w:t>
      </w:r>
      <w:r>
        <w:rPr>
          <w:lang w:val="zh-CN"/>
        </w:rPr>
        <w:t>COVID-19</w:t>
      </w:r>
      <w:r>
        <w:rPr>
          <w:lang w:val="zh-CN"/>
        </w:rPr>
        <w:t>大流行的经济影响将使妇女和女童的生计和经济保障岌岌可危，</w:t>
      </w:r>
    </w:p>
    <w:p w14:paraId="6A6B5F8E" w14:textId="77777777" w:rsidR="008A7033" w:rsidRPr="008A7033" w:rsidRDefault="008A7033" w:rsidP="008A7033">
      <w:pPr>
        <w:pStyle w:val="SingleTxtG"/>
        <w:ind w:firstLine="567"/>
      </w:pPr>
      <w:r>
        <w:rPr>
          <w:lang w:val="zh-CN"/>
        </w:rPr>
        <w:t>1.</w:t>
      </w:r>
      <w:r>
        <w:rPr>
          <w:lang w:val="zh-CN"/>
        </w:rPr>
        <w:tab/>
      </w:r>
      <w:r w:rsidRPr="00F760D6">
        <w:rPr>
          <w:rFonts w:eastAsia="楷体"/>
          <w:lang w:val="zh-CN"/>
        </w:rPr>
        <w:t>吁请</w:t>
      </w:r>
      <w:r>
        <w:rPr>
          <w:lang w:val="zh-CN"/>
        </w:rPr>
        <w:t>各国：</w:t>
      </w:r>
    </w:p>
    <w:p w14:paraId="343DBA61" w14:textId="77777777" w:rsidR="008A7033" w:rsidRPr="008A7033" w:rsidRDefault="008A7033" w:rsidP="008A7033">
      <w:pPr>
        <w:pStyle w:val="SingleTxtG"/>
        <w:ind w:firstLine="567"/>
      </w:pPr>
      <w:r>
        <w:rPr>
          <w:lang w:val="zh-CN"/>
        </w:rPr>
        <w:t>(a)</w:t>
      </w:r>
      <w:r>
        <w:rPr>
          <w:lang w:val="zh-CN"/>
        </w:rPr>
        <w:t>批准或加入《消除对妇女一切形式歧视公约》，并考虑作为特别优先事项，批准或加入该公约的《任择议定书》；</w:t>
      </w:r>
    </w:p>
    <w:p w14:paraId="3F23F561" w14:textId="77777777" w:rsidR="008A7033" w:rsidRPr="008A7033" w:rsidRDefault="008A7033" w:rsidP="008A7033">
      <w:pPr>
        <w:pStyle w:val="SingleTxtG"/>
        <w:ind w:firstLine="567"/>
      </w:pPr>
      <w:r>
        <w:rPr>
          <w:lang w:val="zh-CN"/>
        </w:rPr>
        <w:t>(b)</w:t>
      </w:r>
      <w:r>
        <w:rPr>
          <w:lang w:val="zh-CN"/>
        </w:rPr>
        <w:t>根据《维也纳条约法公约》，限制任何保留的范围，拟订保留时应尽可能做到内容确切，缩小范围，以确保任何保留均不违背《公约》的目标和宗旨；</w:t>
      </w:r>
    </w:p>
    <w:p w14:paraId="6189516B" w14:textId="77777777" w:rsidR="008A7033" w:rsidRPr="008A7033" w:rsidRDefault="008A7033" w:rsidP="008A7033">
      <w:pPr>
        <w:pStyle w:val="SingleTxtG"/>
        <w:ind w:firstLine="567"/>
      </w:pPr>
      <w:r>
        <w:rPr>
          <w:lang w:val="zh-CN"/>
        </w:rPr>
        <w:t>(c)</w:t>
      </w:r>
      <w:r>
        <w:rPr>
          <w:lang w:val="zh-CN"/>
        </w:rPr>
        <w:t>通过适当的立法、条例、政策和方案，包括在妇女和女童诉诸司法、获得补救和有效救济方面的立法、条例、政策和方案，执行《公约》；</w:t>
      </w:r>
    </w:p>
    <w:p w14:paraId="6C056523" w14:textId="77777777" w:rsidR="008A7033" w:rsidRPr="008A7033" w:rsidRDefault="008A7033" w:rsidP="008A7033">
      <w:pPr>
        <w:pStyle w:val="SingleTxtG"/>
        <w:ind w:firstLine="567"/>
      </w:pPr>
      <w:r>
        <w:rPr>
          <w:lang w:val="zh-CN"/>
        </w:rPr>
        <w:lastRenderedPageBreak/>
        <w:t>(d)</w:t>
      </w:r>
      <w:r>
        <w:rPr>
          <w:lang w:val="zh-CN"/>
        </w:rPr>
        <w:t>与消除对妇女歧视委员会和其他人权条约机构充分合作，并酌情落实其建议；</w:t>
      </w:r>
    </w:p>
    <w:p w14:paraId="2605E5CE" w14:textId="636BC68F" w:rsidR="008A7033" w:rsidRPr="008A7033" w:rsidRDefault="008A7033" w:rsidP="008A7033">
      <w:pPr>
        <w:pStyle w:val="SingleTxtG"/>
        <w:ind w:firstLine="567"/>
      </w:pPr>
      <w:r>
        <w:rPr>
          <w:lang w:val="zh-CN"/>
        </w:rPr>
        <w:t>2.</w:t>
      </w:r>
      <w:r>
        <w:rPr>
          <w:lang w:val="zh-CN"/>
        </w:rPr>
        <w:tab/>
      </w:r>
      <w:r w:rsidRPr="00F760D6">
        <w:rPr>
          <w:rFonts w:eastAsia="楷体"/>
          <w:lang w:val="zh-CN"/>
        </w:rPr>
        <w:t>注意到</w:t>
      </w:r>
      <w:r>
        <w:rPr>
          <w:lang w:val="zh-CN"/>
        </w:rPr>
        <w:t>歧视妇女和女童问题工作组开展的工作，</w:t>
      </w:r>
      <w:r w:rsidR="00B90DCF">
        <w:rPr>
          <w:rStyle w:val="a3"/>
          <w:lang w:val="zh-CN"/>
        </w:rPr>
        <w:footnoteReference w:id="3"/>
      </w:r>
      <w:r>
        <w:rPr>
          <w:lang w:val="zh-CN"/>
        </w:rPr>
        <w:t>包括工作组建议各国履行国际义务，采取必要的适当措施，包括暂行特别措施，防止、纠正和消除在生活所有领域造成或延续歧视的男尊女卑观念和性别成见，以支持实质性平等；</w:t>
      </w:r>
    </w:p>
    <w:p w14:paraId="4B4DCD80" w14:textId="47994240" w:rsidR="008A7033" w:rsidRPr="008A7033" w:rsidRDefault="008A7033" w:rsidP="008A7033">
      <w:pPr>
        <w:pStyle w:val="SingleTxtG"/>
        <w:ind w:firstLine="567"/>
      </w:pPr>
      <w:r>
        <w:rPr>
          <w:lang w:val="zh-CN"/>
        </w:rPr>
        <w:t>3.</w:t>
      </w:r>
      <w:r>
        <w:rPr>
          <w:lang w:val="zh-CN"/>
        </w:rPr>
        <w:tab/>
      </w:r>
      <w:r w:rsidRPr="00F760D6">
        <w:rPr>
          <w:rFonts w:eastAsia="楷体"/>
          <w:lang w:val="zh-CN"/>
        </w:rPr>
        <w:t>吁请</w:t>
      </w:r>
      <w:r>
        <w:rPr>
          <w:lang w:val="zh-CN"/>
        </w:rPr>
        <w:t>各国：</w:t>
      </w:r>
    </w:p>
    <w:p w14:paraId="02D19426" w14:textId="1FB88BC2" w:rsidR="008A7033" w:rsidRPr="008A7033" w:rsidRDefault="008A7033" w:rsidP="008A7033">
      <w:pPr>
        <w:pStyle w:val="SingleTxtG"/>
        <w:ind w:firstLine="567"/>
      </w:pPr>
      <w:r>
        <w:rPr>
          <w:lang w:val="zh-CN"/>
        </w:rPr>
        <w:t>(a)</w:t>
      </w:r>
      <w:r>
        <w:rPr>
          <w:lang w:val="zh-CN"/>
        </w:rPr>
        <w:t>废除一切专门或过多地针对妇女和女童或将其行动或行为定罪的法律和政策，以及基于任何理由，包括</w:t>
      </w:r>
      <w:r w:rsidR="005907C7">
        <w:rPr>
          <w:rFonts w:hint="eastAsia"/>
          <w:lang w:val="zh-CN"/>
        </w:rPr>
        <w:t>基于</w:t>
      </w:r>
      <w:r>
        <w:rPr>
          <w:lang w:val="zh-CN"/>
        </w:rPr>
        <w:t>任何习俗、传统和对文化或宗教的滥用，对妇女和女童实行歧视的法律和政策，设立问责机制，制止有罪不罚现象，防止、消除和纠正对法律的歧视性适用；</w:t>
      </w:r>
    </w:p>
    <w:p w14:paraId="3D2D37D1" w14:textId="77777777" w:rsidR="008A7033" w:rsidRPr="008A7033" w:rsidRDefault="008A7033" w:rsidP="008A7033">
      <w:pPr>
        <w:pStyle w:val="SingleTxtG"/>
        <w:ind w:firstLine="567"/>
      </w:pPr>
      <w:r>
        <w:rPr>
          <w:lang w:val="zh-CN"/>
        </w:rPr>
        <w:t>(b)</w:t>
      </w:r>
      <w:r>
        <w:rPr>
          <w:lang w:val="zh-CN"/>
        </w:rPr>
        <w:t>考虑依照国际人权义务，采取考虑到年龄、性别以及妇女和女童实际面临的历史、社会、经济、文化和政治背景等因素的交叉办法，审查所有拟议和现行立法；</w:t>
      </w:r>
    </w:p>
    <w:p w14:paraId="0AC327BF" w14:textId="5D8F726E" w:rsidR="008A7033" w:rsidRPr="008A7033" w:rsidRDefault="008A7033" w:rsidP="008A7033">
      <w:pPr>
        <w:pStyle w:val="SingleTxtG"/>
        <w:ind w:firstLine="567"/>
      </w:pPr>
      <w:r>
        <w:rPr>
          <w:lang w:val="zh-CN"/>
        </w:rPr>
        <w:t>(c)</w:t>
      </w:r>
      <w:r>
        <w:rPr>
          <w:lang w:val="zh-CN"/>
        </w:rPr>
        <w:t>促进和执行立法、条例、政策和方案，促进实质性平等，增强所有妇女和女童的社会、政治和经济权能，防止和消除一切形式的歧视和性别暴力及骚扰，包括在工作场所、数字环境和教育中的歧视和性别暴力及骚扰；</w:t>
      </w:r>
    </w:p>
    <w:p w14:paraId="7BD87432" w14:textId="46FAAEEA" w:rsidR="008A7033" w:rsidRPr="008A7033" w:rsidRDefault="008A7033" w:rsidP="008A7033">
      <w:pPr>
        <w:pStyle w:val="SingleTxtG"/>
        <w:ind w:firstLine="567"/>
      </w:pPr>
      <w:r>
        <w:rPr>
          <w:lang w:val="zh-CN"/>
        </w:rPr>
        <w:t>(d)</w:t>
      </w:r>
      <w:r>
        <w:rPr>
          <w:lang w:val="zh-CN"/>
        </w:rPr>
        <w:t>建立更具包容性和促进性别平等的社会保障制度，为</w:t>
      </w:r>
      <w:r w:rsidR="00192FCD">
        <w:rPr>
          <w:rFonts w:hint="eastAsia"/>
          <w:lang w:val="zh-CN"/>
        </w:rPr>
        <w:t>从</w:t>
      </w:r>
      <w:r>
        <w:rPr>
          <w:lang w:val="zh-CN"/>
        </w:rPr>
        <w:t>非正规工作转为正规工作提供便利，确保人人不受歧视地普遍获得适合本国国情的社会保障；</w:t>
      </w:r>
    </w:p>
    <w:p w14:paraId="39EE89A4" w14:textId="77777777" w:rsidR="008A7033" w:rsidRPr="008A7033" w:rsidRDefault="008A7033" w:rsidP="008A7033">
      <w:pPr>
        <w:pStyle w:val="SingleTxtG"/>
        <w:ind w:firstLine="567"/>
      </w:pPr>
      <w:r>
        <w:rPr>
          <w:lang w:val="zh-CN"/>
        </w:rPr>
        <w:t>4.</w:t>
      </w:r>
      <w:r>
        <w:rPr>
          <w:lang w:val="zh-CN"/>
        </w:rPr>
        <w:tab/>
      </w:r>
      <w:r w:rsidRPr="00F760D6">
        <w:rPr>
          <w:rFonts w:eastAsia="楷体"/>
          <w:lang w:val="zh-CN"/>
        </w:rPr>
        <w:t>敦促</w:t>
      </w:r>
      <w:r>
        <w:rPr>
          <w:lang w:val="zh-CN"/>
        </w:rPr>
        <w:t>各国：</w:t>
      </w:r>
    </w:p>
    <w:p w14:paraId="0F232C93" w14:textId="2CBEE2E1" w:rsidR="008A7033" w:rsidRPr="008A7033" w:rsidRDefault="008A7033" w:rsidP="008A7033">
      <w:pPr>
        <w:pStyle w:val="SingleTxtG"/>
        <w:ind w:firstLine="567"/>
      </w:pPr>
      <w:r>
        <w:rPr>
          <w:lang w:val="zh-CN"/>
        </w:rPr>
        <w:t>(a)</w:t>
      </w:r>
      <w:r>
        <w:rPr>
          <w:lang w:val="zh-CN"/>
        </w:rPr>
        <w:t>尊重、保护和实现所有妇女和女童平等享有所有人权，防止和消除所有行为体（包括国家和非国家行为体）一切形式的歧视，</w:t>
      </w:r>
      <w:r w:rsidR="00436891">
        <w:rPr>
          <w:rFonts w:hint="eastAsia"/>
          <w:lang w:val="zh-CN"/>
        </w:rPr>
        <w:t>为此要特别打击</w:t>
      </w:r>
      <w:r>
        <w:rPr>
          <w:lang w:val="zh-CN"/>
        </w:rPr>
        <w:t>基于性别的偏见和其他偏见，并</w:t>
      </w:r>
      <w:r w:rsidR="00436891">
        <w:rPr>
          <w:rFonts w:hint="eastAsia"/>
          <w:lang w:val="zh-CN"/>
        </w:rPr>
        <w:t>认识到</w:t>
      </w:r>
      <w:r>
        <w:rPr>
          <w:lang w:val="zh-CN"/>
        </w:rPr>
        <w:t>多重交叉形式的歧视延续了极具破坏性的成见；</w:t>
      </w:r>
    </w:p>
    <w:p w14:paraId="5371CEA1" w14:textId="3F4041C2" w:rsidR="008A7033" w:rsidRPr="008A7033" w:rsidRDefault="008A7033" w:rsidP="008A7033">
      <w:pPr>
        <w:pStyle w:val="SingleTxtG"/>
        <w:ind w:firstLine="567"/>
      </w:pPr>
      <w:r>
        <w:rPr>
          <w:lang w:val="zh-CN"/>
        </w:rPr>
        <w:t>(b)</w:t>
      </w:r>
      <w:r>
        <w:rPr>
          <w:lang w:val="zh-CN"/>
        </w:rPr>
        <w:t>消除阻碍妇女并酌情消除阻碍女童在各个领域充分、平等和切实参与，包括阻碍妇女在公共和私营部门各级决策岗位上进入领导层的政治、法律、社会、实际、结构性、文化、经济、体制性或宗教障碍，并积极促进领导层多样化，发扬具有包容性和激发潜能的领导力文化；</w:t>
      </w:r>
    </w:p>
    <w:p w14:paraId="5010DE6A" w14:textId="134BF532" w:rsidR="008A7033" w:rsidRPr="008A7033" w:rsidRDefault="008A7033" w:rsidP="008A7033">
      <w:pPr>
        <w:pStyle w:val="SingleTxtG"/>
        <w:ind w:firstLine="567"/>
      </w:pPr>
      <w:r>
        <w:rPr>
          <w:lang w:val="zh-CN"/>
        </w:rPr>
        <w:t>(c)</w:t>
      </w:r>
      <w:r>
        <w:rPr>
          <w:lang w:val="zh-CN"/>
        </w:rPr>
        <w:t>支持实质性的性别平等，包括家庭</w:t>
      </w:r>
      <w:r w:rsidR="003A0BFF">
        <w:rPr>
          <w:rFonts w:hint="eastAsia"/>
          <w:lang w:val="zh-CN"/>
        </w:rPr>
        <w:t>中</w:t>
      </w:r>
      <w:r>
        <w:rPr>
          <w:lang w:val="zh-CN"/>
        </w:rPr>
        <w:t>的平等，特别是推动采取措施</w:t>
      </w:r>
      <w:r w:rsidR="003A0BFF">
        <w:rPr>
          <w:rFonts w:hint="eastAsia"/>
          <w:lang w:val="zh-CN"/>
        </w:rPr>
        <w:t>，促进</w:t>
      </w:r>
      <w:r>
        <w:rPr>
          <w:lang w:val="zh-CN"/>
        </w:rPr>
        <w:t>平等分担与无偿护理工作有关的责任，</w:t>
      </w:r>
      <w:r>
        <w:rPr>
          <w:lang w:val="zh-CN"/>
        </w:rPr>
        <w:t>COVID-19</w:t>
      </w:r>
      <w:r>
        <w:rPr>
          <w:lang w:val="zh-CN"/>
        </w:rPr>
        <w:t>大流行加重了妇女和女童在这方面的负担；</w:t>
      </w:r>
    </w:p>
    <w:p w14:paraId="32315FE0" w14:textId="2676B21C" w:rsidR="008A7033" w:rsidRPr="008A7033" w:rsidRDefault="008A7033" w:rsidP="008A7033">
      <w:pPr>
        <w:pStyle w:val="SingleTxtG"/>
        <w:ind w:firstLine="567"/>
      </w:pPr>
      <w:r>
        <w:rPr>
          <w:lang w:val="zh-CN"/>
        </w:rPr>
        <w:t>(d)</w:t>
      </w:r>
      <w:r>
        <w:rPr>
          <w:lang w:val="zh-CN"/>
        </w:rPr>
        <w:t>确保妇女在有关</w:t>
      </w:r>
      <w:r>
        <w:rPr>
          <w:lang w:val="zh-CN"/>
        </w:rPr>
        <w:t>COVID-19</w:t>
      </w:r>
      <w:r>
        <w:rPr>
          <w:lang w:val="zh-CN"/>
        </w:rPr>
        <w:t>大流行的地方、国家和全球政策空间和决策</w:t>
      </w:r>
      <w:r w:rsidR="00110CF5">
        <w:rPr>
          <w:rFonts w:hint="eastAsia"/>
          <w:lang w:val="zh-CN"/>
        </w:rPr>
        <w:t>中</w:t>
      </w:r>
      <w:r>
        <w:rPr>
          <w:lang w:val="zh-CN"/>
        </w:rPr>
        <w:t>，包括在备灾、应对和恢复以及分配资金和援助方面具有代表性和领导力；</w:t>
      </w:r>
    </w:p>
    <w:p w14:paraId="2B37E646" w14:textId="7C3E570A" w:rsidR="008A7033" w:rsidRPr="008A7033" w:rsidRDefault="008A7033" w:rsidP="008A7033">
      <w:pPr>
        <w:pStyle w:val="SingleTxtG"/>
        <w:ind w:firstLine="567"/>
      </w:pPr>
      <w:r>
        <w:rPr>
          <w:lang w:val="zh-CN"/>
        </w:rPr>
        <w:t>(e)</w:t>
      </w:r>
      <w:r>
        <w:rPr>
          <w:lang w:val="zh-CN"/>
        </w:rPr>
        <w:t>在教育、媒体和网上社区中推广长期提高认识举措，使男子和男童参与</w:t>
      </w:r>
      <w:r w:rsidR="007C4470">
        <w:rPr>
          <w:rFonts w:hint="eastAsia"/>
          <w:lang w:val="zh-CN"/>
        </w:rPr>
        <w:t>进来</w:t>
      </w:r>
      <w:r>
        <w:rPr>
          <w:lang w:val="zh-CN"/>
        </w:rPr>
        <w:t>，为此在师资培训中纳入关于所有妇女和女童权利的课程，包括性别歧视的根源和防止性暴力和性别暴力包括家庭暴力</w:t>
      </w:r>
      <w:r w:rsidR="00E95A12">
        <w:rPr>
          <w:rFonts w:hint="eastAsia"/>
          <w:lang w:val="zh-CN"/>
        </w:rPr>
        <w:t>的内容</w:t>
      </w:r>
      <w:r>
        <w:rPr>
          <w:lang w:val="zh-CN"/>
        </w:rPr>
        <w:t>，并确保人人都能接受基于证据的、全面的性教育；</w:t>
      </w:r>
    </w:p>
    <w:p w14:paraId="1A89D35D" w14:textId="5DC0210D" w:rsidR="008A7033" w:rsidRPr="008A7033" w:rsidRDefault="008A7033" w:rsidP="008A7033">
      <w:pPr>
        <w:pStyle w:val="SingleTxtG"/>
        <w:ind w:firstLine="567"/>
      </w:pPr>
      <w:r>
        <w:rPr>
          <w:lang w:val="zh-CN"/>
        </w:rPr>
        <w:t>(f)</w:t>
      </w:r>
      <w:r>
        <w:rPr>
          <w:lang w:val="zh-CN"/>
        </w:rPr>
        <w:t>在为国家官员提供的打击性别偏见的培训中纳入对多重交叉形式歧视的理解；</w:t>
      </w:r>
    </w:p>
    <w:p w14:paraId="347E58A6" w14:textId="4CDC732B" w:rsidR="008A7033" w:rsidRPr="008A7033" w:rsidRDefault="00913A87" w:rsidP="008A7033">
      <w:pPr>
        <w:pStyle w:val="SingleTxtG"/>
        <w:ind w:firstLine="567"/>
        <w:rPr>
          <w:bCs/>
        </w:rPr>
      </w:pPr>
      <w:r>
        <w:rPr>
          <w:lang w:val="zh-CN"/>
        </w:rPr>
        <w:t>5.</w:t>
      </w:r>
      <w:r>
        <w:rPr>
          <w:lang w:val="zh-CN"/>
        </w:rPr>
        <w:tab/>
      </w:r>
      <w:r w:rsidRPr="00F760D6">
        <w:rPr>
          <w:rFonts w:eastAsia="楷体"/>
          <w:lang w:val="zh-CN"/>
        </w:rPr>
        <w:t>敦促</w:t>
      </w:r>
      <w:r>
        <w:rPr>
          <w:lang w:val="zh-CN"/>
        </w:rPr>
        <w:t>会员国预防和应对</w:t>
      </w:r>
      <w:r>
        <w:rPr>
          <w:lang w:val="zh-CN"/>
        </w:rPr>
        <w:t>COVID-19</w:t>
      </w:r>
      <w:r>
        <w:rPr>
          <w:lang w:val="zh-CN"/>
        </w:rPr>
        <w:t>大流行期间暴力侵害妇女和女童行为增加的现象，为此将预防、应对和保护措施纳入</w:t>
      </w:r>
      <w:r>
        <w:rPr>
          <w:lang w:val="zh-CN"/>
        </w:rPr>
        <w:t>COVID-19</w:t>
      </w:r>
      <w:r>
        <w:rPr>
          <w:lang w:val="zh-CN"/>
        </w:rPr>
        <w:t>应对计划，包括加强执法和为暴力受害者和幸存者伸张正义，与民间社会和社区合作，指定家庭暴力庇护所这一基本服务并扩大其能力和增加其资源，加强宣传和提高认识活动，以应对隔离期间</w:t>
      </w:r>
      <w:r w:rsidR="00DE3BE7">
        <w:rPr>
          <w:rFonts w:hint="eastAsia"/>
          <w:lang w:val="zh-CN"/>
        </w:rPr>
        <w:t>的</w:t>
      </w:r>
      <w:r>
        <w:rPr>
          <w:lang w:val="zh-CN"/>
        </w:rPr>
        <w:t>暴力侵害妇女问题；</w:t>
      </w:r>
    </w:p>
    <w:p w14:paraId="6E1BA52E" w14:textId="77777777" w:rsidR="008A7033" w:rsidRPr="008A7033" w:rsidRDefault="00913A87" w:rsidP="008A7033">
      <w:pPr>
        <w:pStyle w:val="SingleTxtG"/>
        <w:ind w:firstLine="567"/>
      </w:pPr>
      <w:r>
        <w:rPr>
          <w:lang w:val="zh-CN"/>
        </w:rPr>
        <w:lastRenderedPageBreak/>
        <w:t>6.</w:t>
      </w:r>
      <w:r>
        <w:rPr>
          <w:lang w:val="zh-CN"/>
        </w:rPr>
        <w:tab/>
      </w:r>
      <w:r w:rsidRPr="00F760D6">
        <w:rPr>
          <w:rFonts w:eastAsia="楷体"/>
          <w:lang w:val="zh-CN"/>
        </w:rPr>
        <w:t>吁请</w:t>
      </w:r>
      <w:r>
        <w:rPr>
          <w:lang w:val="zh-CN"/>
        </w:rPr>
        <w:t>各国执行以下方面的政策和行动：</w:t>
      </w:r>
    </w:p>
    <w:p w14:paraId="359CBD7D" w14:textId="3D594749" w:rsidR="008A7033" w:rsidRPr="008A7033" w:rsidRDefault="008A7033" w:rsidP="008A7033">
      <w:pPr>
        <w:pStyle w:val="SingleTxtG"/>
        <w:ind w:firstLine="567"/>
      </w:pPr>
      <w:r>
        <w:rPr>
          <w:lang w:val="zh-CN"/>
        </w:rPr>
        <w:t>(a)</w:t>
      </w:r>
      <w:r>
        <w:rPr>
          <w:lang w:val="zh-CN"/>
        </w:rPr>
        <w:t>收集、交流、促进、支持、执行和广泛宣传相关证据和良好做法，包括提高认识方案，以防止</w:t>
      </w:r>
      <w:r w:rsidR="001875B1">
        <w:rPr>
          <w:rFonts w:hint="eastAsia"/>
          <w:lang w:val="zh-CN"/>
        </w:rPr>
        <w:t>和消除</w:t>
      </w:r>
      <w:r>
        <w:rPr>
          <w:lang w:val="zh-CN"/>
        </w:rPr>
        <w:t>对妇女和女童一切形式的歧视，</w:t>
      </w:r>
      <w:r w:rsidR="00267079">
        <w:rPr>
          <w:rFonts w:hint="eastAsia"/>
          <w:lang w:val="zh-CN"/>
        </w:rPr>
        <w:t>消除</w:t>
      </w:r>
      <w:r>
        <w:rPr>
          <w:lang w:val="zh-CN"/>
        </w:rPr>
        <w:t>性别成见和其他成见、妇女和女童的负面形象，包括面临多重交叉形式歧视的</w:t>
      </w:r>
      <w:r w:rsidR="00227685">
        <w:rPr>
          <w:rFonts w:hint="eastAsia"/>
          <w:lang w:val="zh-CN"/>
        </w:rPr>
        <w:t>妇女和女童的</w:t>
      </w:r>
      <w:r>
        <w:rPr>
          <w:lang w:val="zh-CN"/>
        </w:rPr>
        <w:t>负面形象，减少性暴力和性别暴力，促进并支持执行提高认识方案，在所有环境中打击性别成见和其他成见及性别歧视；</w:t>
      </w:r>
    </w:p>
    <w:p w14:paraId="591E2DEA" w14:textId="39F34C08" w:rsidR="008A7033" w:rsidRPr="008A7033" w:rsidRDefault="008A7033" w:rsidP="008A7033">
      <w:pPr>
        <w:pStyle w:val="SingleTxtG"/>
        <w:ind w:firstLine="567"/>
      </w:pPr>
      <w:r>
        <w:rPr>
          <w:lang w:val="zh-CN"/>
        </w:rPr>
        <w:t>(b)</w:t>
      </w:r>
      <w:r>
        <w:rPr>
          <w:lang w:val="zh-CN"/>
        </w:rPr>
        <w:t>确保提供司法途径、问责机制和及时有效的补救措施，以便有效落实和执行旨在</w:t>
      </w:r>
      <w:r w:rsidR="009D47F8">
        <w:rPr>
          <w:rFonts w:hint="eastAsia"/>
          <w:lang w:val="zh-CN"/>
        </w:rPr>
        <w:t>防止</w:t>
      </w:r>
      <w:r>
        <w:rPr>
          <w:lang w:val="zh-CN"/>
        </w:rPr>
        <w:t>和消除一切形式的歧视和性别暴力行为的法律，包括以</w:t>
      </w:r>
      <w:r w:rsidR="00E854C7">
        <w:rPr>
          <w:rFonts w:hint="eastAsia"/>
          <w:lang w:val="zh-CN"/>
        </w:rPr>
        <w:t>便利方式</w:t>
      </w:r>
      <w:r>
        <w:rPr>
          <w:lang w:val="zh-CN"/>
        </w:rPr>
        <w:t>让妇女和女童知晓其根据相关法律享有的权利，改善法律基础设施，并</w:t>
      </w:r>
      <w:r w:rsidR="00E854C7">
        <w:rPr>
          <w:rFonts w:hint="eastAsia"/>
          <w:lang w:val="zh-CN"/>
        </w:rPr>
        <w:t>在司法系统中开展</w:t>
      </w:r>
      <w:r>
        <w:rPr>
          <w:lang w:val="zh-CN"/>
        </w:rPr>
        <w:t>顾及年龄和性别的培训，以确保法律面前平等和法律对妇女和女童的平等保护；</w:t>
      </w:r>
    </w:p>
    <w:p w14:paraId="75D44B1D" w14:textId="47F7FFCE" w:rsidR="008A7033" w:rsidRPr="008A7033" w:rsidRDefault="008A7033" w:rsidP="008A7033">
      <w:pPr>
        <w:pStyle w:val="SingleTxtG"/>
        <w:ind w:firstLine="567"/>
      </w:pPr>
      <w:r>
        <w:rPr>
          <w:lang w:val="zh-CN"/>
        </w:rPr>
        <w:t>(c)</w:t>
      </w:r>
      <w:r>
        <w:rPr>
          <w:lang w:val="zh-CN"/>
        </w:rPr>
        <w:t>改变社会和文化行为模式，以防止和消除种族主义、仇外、男尊女卑、残疾、年龄和性别成见及其他任何消极的社会规范、态度和行为，以及把妇女和女童视为附属、导致和延续对妇女和女童的多重交叉形式歧视和暴力的不平等权力关系；</w:t>
      </w:r>
    </w:p>
    <w:p w14:paraId="6C5280F5" w14:textId="31A6C7F6" w:rsidR="008A7033" w:rsidRPr="008A7033" w:rsidRDefault="00913A87" w:rsidP="008A7033">
      <w:pPr>
        <w:pStyle w:val="SingleTxtG"/>
        <w:ind w:firstLine="567"/>
      </w:pPr>
      <w:r>
        <w:rPr>
          <w:lang w:val="zh-CN"/>
        </w:rPr>
        <w:t>7.</w:t>
      </w:r>
      <w:r>
        <w:rPr>
          <w:lang w:val="zh-CN"/>
        </w:rPr>
        <w:tab/>
      </w:r>
      <w:r w:rsidRPr="00F760D6">
        <w:rPr>
          <w:rFonts w:eastAsia="楷体"/>
          <w:lang w:val="zh-CN"/>
        </w:rPr>
        <w:t>敦促</w:t>
      </w:r>
      <w:r>
        <w:rPr>
          <w:lang w:val="zh-CN"/>
        </w:rPr>
        <w:t>各国尊重、保护和实现不受歧视、胁迫和暴力享有性健康和生殖健康的权利，方法包括：处理决定健康的社会因素和其他因素；</w:t>
      </w:r>
      <w:r>
        <w:rPr>
          <w:lang w:val="zh-CN"/>
        </w:rPr>
        <w:t xml:space="preserve"> </w:t>
      </w:r>
      <w:r>
        <w:rPr>
          <w:lang w:val="zh-CN"/>
        </w:rPr>
        <w:t>消除法律障碍；制定和执行尊重尊严、完整和身体自主权并保障普及性健康和生殖健康服务以及基于证据的信息和教育</w:t>
      </w:r>
      <w:r w:rsidR="009D1F4C">
        <w:rPr>
          <w:rFonts w:hint="eastAsia"/>
          <w:lang w:val="zh-CN"/>
        </w:rPr>
        <w:t>（</w:t>
      </w:r>
      <w:r>
        <w:rPr>
          <w:lang w:val="zh-CN"/>
        </w:rPr>
        <w:t>包括计划生育的信息和教育</w:t>
      </w:r>
      <w:r w:rsidR="009D1F4C">
        <w:rPr>
          <w:rFonts w:hint="eastAsia"/>
          <w:lang w:val="zh-CN"/>
        </w:rPr>
        <w:t>）</w:t>
      </w:r>
      <w:r w:rsidR="0012132F">
        <w:rPr>
          <w:rFonts w:hint="eastAsia"/>
          <w:lang w:val="zh-CN"/>
        </w:rPr>
        <w:t>的</w:t>
      </w:r>
      <w:r w:rsidR="0012132F">
        <w:rPr>
          <w:lang w:val="zh-CN"/>
        </w:rPr>
        <w:t>政策、良好做法和法律框架</w:t>
      </w:r>
      <w:r>
        <w:rPr>
          <w:lang w:val="zh-CN"/>
        </w:rPr>
        <w:t>；</w:t>
      </w:r>
    </w:p>
    <w:p w14:paraId="342A26B9" w14:textId="58C7863B" w:rsidR="008A7033" w:rsidRPr="008A7033" w:rsidRDefault="00913A87" w:rsidP="008A7033">
      <w:pPr>
        <w:pStyle w:val="SingleTxtG"/>
        <w:ind w:firstLine="567"/>
      </w:pPr>
      <w:r>
        <w:rPr>
          <w:lang w:val="zh-CN"/>
        </w:rPr>
        <w:t>8.</w:t>
      </w:r>
      <w:r>
        <w:rPr>
          <w:lang w:val="zh-CN"/>
        </w:rPr>
        <w:tab/>
      </w:r>
      <w:r w:rsidRPr="00F760D6">
        <w:rPr>
          <w:rFonts w:eastAsia="楷体"/>
          <w:lang w:val="zh-CN"/>
        </w:rPr>
        <w:t>又敦促</w:t>
      </w:r>
      <w:r>
        <w:rPr>
          <w:lang w:val="zh-CN"/>
        </w:rPr>
        <w:t>各国发展、支持和保护一个有利的环境，以便妇女和女童权利组织、女权团体、妇女和女童人权维护者及女童和青年领导的组织等民间社会能够充分、切实、有意义和平等地参与制定、设计</w:t>
      </w:r>
      <w:r w:rsidR="00D52257">
        <w:rPr>
          <w:rFonts w:hint="eastAsia"/>
          <w:lang w:val="zh-CN"/>
        </w:rPr>
        <w:t>、</w:t>
      </w:r>
      <w:r>
        <w:rPr>
          <w:lang w:val="zh-CN"/>
        </w:rPr>
        <w:t>执行</w:t>
      </w:r>
      <w:r w:rsidR="00D52257">
        <w:rPr>
          <w:rFonts w:hint="eastAsia"/>
          <w:lang w:val="zh-CN"/>
        </w:rPr>
        <w:t>和监测</w:t>
      </w:r>
      <w:r>
        <w:rPr>
          <w:lang w:val="zh-CN"/>
        </w:rPr>
        <w:t>与实现实质性性别平等有关的所有立法和政策；</w:t>
      </w:r>
    </w:p>
    <w:p w14:paraId="501C5A74" w14:textId="027B5213" w:rsidR="008A7033" w:rsidRPr="008A7033" w:rsidRDefault="00913A87" w:rsidP="001C7ECA">
      <w:pPr>
        <w:pStyle w:val="SingleTxtG"/>
        <w:ind w:firstLine="567"/>
      </w:pPr>
      <w:r>
        <w:rPr>
          <w:lang w:val="zh-CN"/>
        </w:rPr>
        <w:t>9.</w:t>
      </w:r>
      <w:r>
        <w:rPr>
          <w:lang w:val="zh-CN"/>
        </w:rPr>
        <w:tab/>
      </w:r>
      <w:r w:rsidRPr="00F760D6">
        <w:rPr>
          <w:rFonts w:eastAsia="楷体"/>
          <w:lang w:val="zh-CN"/>
        </w:rPr>
        <w:t>吁请</w:t>
      </w:r>
      <w:r>
        <w:rPr>
          <w:lang w:val="zh-CN"/>
        </w:rPr>
        <w:t>各国在应对</w:t>
      </w:r>
      <w:r>
        <w:rPr>
          <w:lang w:val="zh-CN"/>
        </w:rPr>
        <w:t>COVID-19</w:t>
      </w:r>
      <w:r>
        <w:rPr>
          <w:lang w:val="zh-CN"/>
        </w:rPr>
        <w:t>大流行时采取以人权为基础、促进性别平等的</w:t>
      </w:r>
      <w:r w:rsidR="00ED4FDE">
        <w:rPr>
          <w:rFonts w:hint="eastAsia"/>
          <w:lang w:val="zh-CN"/>
        </w:rPr>
        <w:t>交叉</w:t>
      </w:r>
      <w:r>
        <w:rPr>
          <w:lang w:val="zh-CN"/>
        </w:rPr>
        <w:t>办法，并特别关注妇女和女童，特别是处境脆弱的妇女和女童及其特殊需要，</w:t>
      </w:r>
      <w:r w:rsidR="00722193">
        <w:rPr>
          <w:rFonts w:hint="eastAsia"/>
          <w:lang w:val="zh-CN"/>
        </w:rPr>
        <w:t>其中</w:t>
      </w:r>
      <w:r>
        <w:rPr>
          <w:lang w:val="zh-CN"/>
        </w:rPr>
        <w:t>包括：免受仇外、社会污名、性暴力和性别暴力以及家庭暴力的侵害；平等获得生计和社会经济机会、保健服务</w:t>
      </w:r>
      <w:r w:rsidR="00F21955">
        <w:rPr>
          <w:rFonts w:hint="eastAsia"/>
          <w:lang w:val="zh-CN"/>
        </w:rPr>
        <w:t>（</w:t>
      </w:r>
      <w:r>
        <w:rPr>
          <w:lang w:val="zh-CN"/>
        </w:rPr>
        <w:t>包括检测、治疗和疫苗</w:t>
      </w:r>
      <w:r w:rsidR="00F21955">
        <w:rPr>
          <w:rFonts w:hint="eastAsia"/>
          <w:lang w:val="zh-CN"/>
        </w:rPr>
        <w:t>）、</w:t>
      </w:r>
      <w:r w:rsidR="00B12515">
        <w:rPr>
          <w:lang w:val="zh-CN"/>
        </w:rPr>
        <w:t>关于这一流行病</w:t>
      </w:r>
      <w:r w:rsidR="00B12515">
        <w:rPr>
          <w:rFonts w:hint="eastAsia"/>
          <w:lang w:val="zh-CN"/>
        </w:rPr>
        <w:t>的</w:t>
      </w:r>
      <w:r>
        <w:rPr>
          <w:lang w:val="zh-CN"/>
        </w:rPr>
        <w:t>及时、充分和准确</w:t>
      </w:r>
      <w:r w:rsidR="00B12515">
        <w:rPr>
          <w:rFonts w:hint="eastAsia"/>
          <w:lang w:val="zh-CN"/>
        </w:rPr>
        <w:t>的信息</w:t>
      </w:r>
      <w:r>
        <w:rPr>
          <w:lang w:val="zh-CN"/>
        </w:rPr>
        <w:t>；</w:t>
      </w:r>
      <w:r w:rsidR="00F21955">
        <w:rPr>
          <w:rFonts w:hint="eastAsia"/>
          <w:lang w:val="zh-CN"/>
        </w:rPr>
        <w:t>有能力</w:t>
      </w:r>
      <w:r>
        <w:rPr>
          <w:lang w:val="zh-CN"/>
        </w:rPr>
        <w:t>保持社交距离；能够获得检测和治疗</w:t>
      </w:r>
      <w:r w:rsidR="009372CD">
        <w:rPr>
          <w:rFonts w:hint="eastAsia"/>
          <w:lang w:val="zh-CN"/>
        </w:rPr>
        <w:t>及</w:t>
      </w:r>
      <w:r>
        <w:rPr>
          <w:lang w:val="zh-CN"/>
        </w:rPr>
        <w:t>食品、教育、适当住房、安全饮用水和卫生设施等其他必需品，以及基本保健服务，包括性健康和生殖健康信息和服务；</w:t>
      </w:r>
    </w:p>
    <w:p w14:paraId="6AC6E669" w14:textId="07BDE2B3" w:rsidR="008A7033" w:rsidRPr="008A7033" w:rsidRDefault="00913A87" w:rsidP="008A7033">
      <w:pPr>
        <w:pStyle w:val="SingleTxtG"/>
        <w:ind w:firstLine="567"/>
      </w:pPr>
      <w:r>
        <w:rPr>
          <w:lang w:val="zh-CN"/>
        </w:rPr>
        <w:t>10.</w:t>
      </w:r>
      <w:r>
        <w:rPr>
          <w:lang w:val="zh-CN"/>
        </w:rPr>
        <w:tab/>
      </w:r>
      <w:r w:rsidRPr="00F760D6">
        <w:rPr>
          <w:rFonts w:eastAsia="楷体"/>
          <w:lang w:val="zh-CN"/>
        </w:rPr>
        <w:t>敦促</w:t>
      </w:r>
      <w:r>
        <w:rPr>
          <w:lang w:val="zh-CN"/>
        </w:rPr>
        <w:t>各国系统收集按性别、年龄、残疾状况和其他国情相关特征分列的与</w:t>
      </w:r>
      <w:r w:rsidR="00D637D0">
        <w:rPr>
          <w:rFonts w:hint="eastAsia"/>
          <w:lang w:val="zh-CN"/>
        </w:rPr>
        <w:t>这一流行病暴发</w:t>
      </w:r>
      <w:r>
        <w:rPr>
          <w:lang w:val="zh-CN"/>
        </w:rPr>
        <w:t>有关的数据，</w:t>
      </w:r>
      <w:r w:rsidR="004276D6">
        <w:rPr>
          <w:rFonts w:hint="eastAsia"/>
          <w:lang w:val="zh-CN"/>
        </w:rPr>
        <w:t>研究</w:t>
      </w:r>
      <w:r>
        <w:rPr>
          <w:lang w:val="zh-CN"/>
        </w:rPr>
        <w:t>和报告</w:t>
      </w:r>
      <w:r>
        <w:rPr>
          <w:lang w:val="zh-CN"/>
        </w:rPr>
        <w:t>COVID-19</w:t>
      </w:r>
      <w:r>
        <w:rPr>
          <w:lang w:val="zh-CN"/>
        </w:rPr>
        <w:t>大流行对妇女和女童造成的与性别有关、交叉性</w:t>
      </w:r>
      <w:r w:rsidR="00F1700B">
        <w:rPr>
          <w:rFonts w:hint="eastAsia"/>
          <w:lang w:val="zh-CN"/>
        </w:rPr>
        <w:t>、</w:t>
      </w:r>
      <w:r>
        <w:rPr>
          <w:lang w:val="zh-CN"/>
        </w:rPr>
        <w:t>直接和间接</w:t>
      </w:r>
      <w:r w:rsidR="00F1700B">
        <w:rPr>
          <w:rFonts w:hint="eastAsia"/>
          <w:lang w:val="zh-CN"/>
        </w:rPr>
        <w:t>的</w:t>
      </w:r>
      <w:r>
        <w:rPr>
          <w:lang w:val="zh-CN"/>
        </w:rPr>
        <w:t>健康、社会和经济</w:t>
      </w:r>
      <w:r w:rsidR="004276D6">
        <w:rPr>
          <w:rFonts w:hint="eastAsia"/>
          <w:lang w:val="zh-CN"/>
        </w:rPr>
        <w:t>后果</w:t>
      </w:r>
      <w:r>
        <w:rPr>
          <w:lang w:val="zh-CN"/>
        </w:rPr>
        <w:t>，以及大流行为人权带来的与性别有关的交叉性影响，并利用这些数据制定应对措施；</w:t>
      </w:r>
    </w:p>
    <w:p w14:paraId="6B8234EA" w14:textId="449BBF97" w:rsidR="008A7033" w:rsidRPr="00616A01" w:rsidRDefault="008A7033" w:rsidP="008A7033">
      <w:pPr>
        <w:pStyle w:val="SingleTxtG"/>
        <w:ind w:firstLine="567"/>
      </w:pPr>
      <w:r>
        <w:rPr>
          <w:lang w:val="zh-CN"/>
        </w:rPr>
        <w:t>11.</w:t>
      </w:r>
      <w:r>
        <w:rPr>
          <w:lang w:val="zh-CN"/>
        </w:rPr>
        <w:tab/>
      </w:r>
      <w:r w:rsidRPr="00F760D6">
        <w:rPr>
          <w:rFonts w:eastAsia="楷体"/>
          <w:lang w:val="zh-CN"/>
        </w:rPr>
        <w:t>吁请</w:t>
      </w:r>
      <w:r>
        <w:rPr>
          <w:lang w:val="zh-CN"/>
        </w:rPr>
        <w:t>所有国家</w:t>
      </w:r>
      <w:r w:rsidR="009A5181">
        <w:rPr>
          <w:rFonts w:hint="eastAsia"/>
          <w:lang w:val="zh-CN"/>
        </w:rPr>
        <w:t>在</w:t>
      </w:r>
      <w:r w:rsidR="009A5181">
        <w:rPr>
          <w:rFonts w:hint="eastAsia"/>
          <w:lang w:val="zh-CN"/>
        </w:rPr>
        <w:t>设计</w:t>
      </w:r>
      <w:r w:rsidR="00775242">
        <w:rPr>
          <w:rFonts w:hint="eastAsia"/>
          <w:lang w:val="zh-CN"/>
        </w:rPr>
        <w:t>和</w:t>
      </w:r>
      <w:r w:rsidR="009A5181">
        <w:rPr>
          <w:lang w:val="zh-CN"/>
        </w:rPr>
        <w:t>开展人口普查和住户调查，以及</w:t>
      </w:r>
      <w:r w:rsidR="00775242">
        <w:rPr>
          <w:lang w:val="zh-CN"/>
        </w:rPr>
        <w:t>收集、分析和传播</w:t>
      </w:r>
      <w:r w:rsidR="00775242">
        <w:rPr>
          <w:rFonts w:hint="eastAsia"/>
          <w:lang w:val="zh-CN"/>
        </w:rPr>
        <w:t>性别统计数据和</w:t>
      </w:r>
      <w:r w:rsidR="009A5181">
        <w:rPr>
          <w:lang w:val="zh-CN"/>
        </w:rPr>
        <w:t>按性别、年龄和残疾状况分类数据的</w:t>
      </w:r>
      <w:r w:rsidR="009A5181">
        <w:rPr>
          <w:rFonts w:hint="eastAsia"/>
          <w:lang w:val="zh-CN"/>
        </w:rPr>
        <w:t>工作中，</w:t>
      </w:r>
      <w:r>
        <w:rPr>
          <w:lang w:val="zh-CN"/>
        </w:rPr>
        <w:t>继续采用以人权为基础的交叉办法</w:t>
      </w:r>
      <w:r w:rsidR="00775242">
        <w:rPr>
          <w:rFonts w:hint="eastAsia"/>
          <w:lang w:val="zh-CN"/>
        </w:rPr>
        <w:t>来</w:t>
      </w:r>
      <w:r w:rsidR="009A5181">
        <w:rPr>
          <w:lang w:val="zh-CN"/>
        </w:rPr>
        <w:t>制定和加强</w:t>
      </w:r>
      <w:r w:rsidR="00775242">
        <w:rPr>
          <w:rFonts w:hint="eastAsia"/>
          <w:lang w:val="zh-CN"/>
        </w:rPr>
        <w:t>各项</w:t>
      </w:r>
      <w:r w:rsidR="009A5181">
        <w:rPr>
          <w:lang w:val="zh-CN"/>
        </w:rPr>
        <w:t>标准和方法，</w:t>
      </w:r>
      <w:r w:rsidR="009A5181">
        <w:rPr>
          <w:rFonts w:hint="eastAsia"/>
          <w:lang w:val="zh-CN"/>
        </w:rPr>
        <w:t>为此</w:t>
      </w:r>
      <w:r>
        <w:rPr>
          <w:lang w:val="zh-CN"/>
        </w:rPr>
        <w:t>加强国家统计能力</w:t>
      </w:r>
      <w:r w:rsidR="00E91A38">
        <w:rPr>
          <w:rFonts w:hint="eastAsia"/>
          <w:lang w:val="zh-CN"/>
        </w:rPr>
        <w:t>，包括</w:t>
      </w:r>
      <w:r>
        <w:rPr>
          <w:lang w:val="zh-CN"/>
        </w:rPr>
        <w:t>加强调动所有来源的资金和技术援助，以便使发展中国家能够系统地设计、收集和获取按性别、年龄、残疾状况、收入及其他国情特征分类的高质量、可靠和及时的数据；</w:t>
      </w:r>
    </w:p>
    <w:p w14:paraId="7D34EF10" w14:textId="1A618179" w:rsidR="008A7033" w:rsidRPr="008A7033" w:rsidRDefault="008A7033" w:rsidP="008A7033">
      <w:pPr>
        <w:pStyle w:val="SingleTxtG"/>
        <w:ind w:firstLine="567"/>
      </w:pPr>
      <w:r>
        <w:rPr>
          <w:lang w:val="zh-CN"/>
        </w:rPr>
        <w:t>12.</w:t>
      </w:r>
      <w:r>
        <w:rPr>
          <w:lang w:val="zh-CN"/>
        </w:rPr>
        <w:tab/>
      </w:r>
      <w:r w:rsidRPr="00F760D6">
        <w:rPr>
          <w:rFonts w:eastAsia="楷体"/>
          <w:lang w:val="zh-CN"/>
        </w:rPr>
        <w:t>又吁请</w:t>
      </w:r>
      <w:r>
        <w:rPr>
          <w:lang w:val="zh-CN"/>
        </w:rPr>
        <w:t>所有国家与工作组合作并协助工作组完成任务，提供工作组所要求的一切必要的现有资料，并认真考虑积极回应工作组提出的访问本国的请求，使其能够有效履行任务；请联合国各相关机构、基金和方案，特别是联合国促进性别平等和增强妇女权能署</w:t>
      </w:r>
      <w:r>
        <w:rPr>
          <w:lang w:val="zh-CN"/>
        </w:rPr>
        <w:t>(</w:t>
      </w:r>
      <w:r>
        <w:rPr>
          <w:lang w:val="zh-CN"/>
        </w:rPr>
        <w:t>妇女署</w:t>
      </w:r>
      <w:r>
        <w:rPr>
          <w:lang w:val="zh-CN"/>
        </w:rPr>
        <w:t>)</w:t>
      </w:r>
      <w:r>
        <w:rPr>
          <w:lang w:val="zh-CN"/>
        </w:rPr>
        <w:t>、各条约机构和其他特别程序在各自任务范围内，并请民间社会行为体以及私营部门，在工作组履行任务时予以充分合</w:t>
      </w:r>
      <w:r>
        <w:rPr>
          <w:lang w:val="zh-CN"/>
        </w:rPr>
        <w:lastRenderedPageBreak/>
        <w:t>作</w:t>
      </w:r>
      <w:r w:rsidR="00470925">
        <w:rPr>
          <w:rFonts w:hint="eastAsia"/>
          <w:lang w:val="zh-CN"/>
        </w:rPr>
        <w:t>；</w:t>
      </w:r>
      <w:r>
        <w:rPr>
          <w:lang w:val="zh-CN"/>
        </w:rPr>
        <w:t>请工作组继续与妇女地位委员会接触，包括参加委员会的工作并正式提出报告；</w:t>
      </w:r>
    </w:p>
    <w:p w14:paraId="72C434F7" w14:textId="42ECA96C" w:rsidR="008A7033" w:rsidRPr="008A7033" w:rsidRDefault="008A7033" w:rsidP="008A7033">
      <w:pPr>
        <w:pStyle w:val="SingleTxtG"/>
        <w:ind w:firstLine="567"/>
      </w:pPr>
      <w:r>
        <w:rPr>
          <w:lang w:val="zh-CN"/>
        </w:rPr>
        <w:t>13.</w:t>
      </w:r>
      <w:r>
        <w:rPr>
          <w:lang w:val="zh-CN"/>
        </w:rPr>
        <w:tab/>
      </w:r>
      <w:r w:rsidRPr="00F760D6">
        <w:rPr>
          <w:rFonts w:eastAsia="楷体"/>
          <w:lang w:val="zh-CN"/>
        </w:rPr>
        <w:t>请</w:t>
      </w:r>
      <w:r>
        <w:rPr>
          <w:lang w:val="zh-CN"/>
        </w:rPr>
        <w:t>秘书长确保提请妇女地位委员会和大会注意工作组的报告；请工作组每年向委员会和大会提出口头报告；</w:t>
      </w:r>
    </w:p>
    <w:p w14:paraId="6C30E72E" w14:textId="29B0C0F8" w:rsidR="008A7033" w:rsidRPr="008A7033" w:rsidRDefault="008A7033" w:rsidP="008A7033">
      <w:pPr>
        <w:pStyle w:val="SingleTxtG"/>
        <w:ind w:firstLine="567"/>
      </w:pPr>
      <w:r>
        <w:rPr>
          <w:lang w:val="zh-CN"/>
        </w:rPr>
        <w:t>14.</w:t>
      </w:r>
      <w:r>
        <w:rPr>
          <w:lang w:val="zh-CN"/>
        </w:rPr>
        <w:tab/>
      </w:r>
      <w:r w:rsidRPr="00F760D6">
        <w:rPr>
          <w:rFonts w:eastAsia="楷体"/>
          <w:lang w:val="zh-CN"/>
        </w:rPr>
        <w:t>欢迎</w:t>
      </w:r>
      <w:r>
        <w:rPr>
          <w:lang w:val="zh-CN"/>
        </w:rPr>
        <w:t>理事会第四十四届会议举行关于妇女人权的年度全天讨论会；</w:t>
      </w:r>
      <w:r>
        <w:rPr>
          <w:lang w:val="zh-CN"/>
        </w:rPr>
        <w:t xml:space="preserve"> </w:t>
      </w:r>
      <w:r>
        <w:rPr>
          <w:lang w:val="zh-CN"/>
        </w:rPr>
        <w:t>请联合国人权事务高级专员办事处向理事会第四十七届会议提交年度讨论会的纪要报告；</w:t>
      </w:r>
    </w:p>
    <w:p w14:paraId="2B21CEDE" w14:textId="3F4EE1AC" w:rsidR="008A7033" w:rsidRPr="008A7033" w:rsidRDefault="008A7033" w:rsidP="008A7033">
      <w:pPr>
        <w:pStyle w:val="SingleTxtG"/>
        <w:ind w:firstLine="567"/>
      </w:pPr>
      <w:r>
        <w:rPr>
          <w:lang w:val="zh-CN"/>
        </w:rPr>
        <w:t>15.</w:t>
      </w:r>
      <w:r>
        <w:rPr>
          <w:lang w:val="zh-CN"/>
        </w:rPr>
        <w:tab/>
      </w:r>
      <w:r w:rsidRPr="00F760D6">
        <w:rPr>
          <w:rFonts w:eastAsia="楷体"/>
          <w:lang w:val="zh-CN"/>
        </w:rPr>
        <w:t>决定</w:t>
      </w:r>
      <w:r>
        <w:rPr>
          <w:lang w:val="zh-CN"/>
        </w:rPr>
        <w:t>在理事会第五十届会议上根据其工作方案，作为高度优先事项继续审议</w:t>
      </w:r>
      <w:r w:rsidR="00BF0E77">
        <w:rPr>
          <w:rFonts w:hint="eastAsia"/>
          <w:lang w:val="zh-CN"/>
        </w:rPr>
        <w:t>消除</w:t>
      </w:r>
      <w:r>
        <w:rPr>
          <w:lang w:val="zh-CN"/>
        </w:rPr>
        <w:t>对妇女和女童一切形式歧视</w:t>
      </w:r>
      <w:r w:rsidR="00BF0E77">
        <w:rPr>
          <w:rFonts w:hint="eastAsia"/>
          <w:lang w:val="zh-CN"/>
        </w:rPr>
        <w:t>的</w:t>
      </w:r>
      <w:bookmarkStart w:id="0" w:name="_GoBack"/>
      <w:bookmarkEnd w:id="0"/>
      <w:r>
        <w:rPr>
          <w:lang w:val="zh-CN"/>
        </w:rPr>
        <w:t>问题。</w:t>
      </w:r>
    </w:p>
    <w:p w14:paraId="4B09D791" w14:textId="77777777" w:rsidR="008A7033" w:rsidRPr="008A7033" w:rsidRDefault="008A7033" w:rsidP="008A7033">
      <w:pPr>
        <w:pStyle w:val="SingleTxtG"/>
        <w:spacing w:before="240" w:after="0"/>
        <w:jc w:val="center"/>
        <w:rPr>
          <w:u w:val="single"/>
        </w:rPr>
      </w:pPr>
      <w:r>
        <w:tab/>
      </w:r>
      <w:r>
        <w:rPr>
          <w:u w:val="single"/>
        </w:rPr>
        <w:tab/>
      </w:r>
      <w:r>
        <w:rPr>
          <w:u w:val="single"/>
        </w:rPr>
        <w:tab/>
      </w:r>
      <w:r>
        <w:rPr>
          <w:u w:val="single"/>
        </w:rPr>
        <w:tab/>
      </w:r>
    </w:p>
    <w:sectPr w:rsidR="008A7033" w:rsidRPr="008A7033"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8D0BB" w14:textId="77777777" w:rsidR="00211FF7" w:rsidRDefault="00211FF7"/>
  </w:endnote>
  <w:endnote w:type="continuationSeparator" w:id="0">
    <w:p w14:paraId="2792F5E8" w14:textId="77777777" w:rsidR="00211FF7" w:rsidRDefault="00211FF7"/>
  </w:endnote>
  <w:endnote w:type="continuationNotice" w:id="1">
    <w:p w14:paraId="65974227" w14:textId="77777777" w:rsidR="00211FF7" w:rsidRDefault="00211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B0604030504040204"/>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楷体">
    <w:altName w:val="Arial Unicode MS"/>
    <w:panose1 w:val="02010609060101010101"/>
    <w:charset w:val="86"/>
    <w:family w:val="modern"/>
    <w:pitch w:val="fixed"/>
    <w:sig w:usb0="800002BF" w:usb1="38CF7CFA"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91672" w14:textId="68CC6668" w:rsidR="00EE06CD" w:rsidRPr="00EE06CD" w:rsidRDefault="00EE06CD" w:rsidP="00EE06CD">
    <w:pPr>
      <w:pStyle w:val="ac"/>
      <w:tabs>
        <w:tab w:val="right" w:pos="9638"/>
      </w:tabs>
      <w:rPr>
        <w:sz w:val="18"/>
      </w:rPr>
    </w:pPr>
    <w:r w:rsidRPr="00EE06CD">
      <w:rPr>
        <w:sz w:val="18"/>
      </w:rPr>
      <w:fldChar w:fldCharType="begin"/>
    </w:r>
    <w:r w:rsidRPr="00EE06CD">
      <w:rPr>
        <w:sz w:val="18"/>
      </w:rPr>
      <w:instrText xml:space="preserve"> PAGE  \* MERGEFORMAT </w:instrText>
    </w:r>
    <w:r w:rsidRPr="00EE06CD">
      <w:rPr>
        <w:sz w:val="18"/>
      </w:rPr>
      <w:fldChar w:fldCharType="separate"/>
    </w:r>
    <w:r w:rsidR="00871767">
      <w:rPr>
        <w:sz w:val="18"/>
      </w:rPr>
      <w:t>4</w:t>
    </w:r>
    <w:r w:rsidRPr="00EE06CD">
      <w:rPr>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2AC3" w14:textId="7AD07F7C" w:rsidR="00EE06CD" w:rsidRPr="00EE06CD" w:rsidRDefault="00EE06CD" w:rsidP="00EE06CD">
    <w:pPr>
      <w:pStyle w:val="ac"/>
      <w:tabs>
        <w:tab w:val="right" w:pos="9638"/>
      </w:tabs>
      <w:rPr>
        <w:sz w:val="18"/>
      </w:rPr>
    </w:pPr>
    <w:r>
      <w:tab/>
    </w:r>
    <w:r w:rsidRPr="00EE06CD">
      <w:rPr>
        <w:sz w:val="18"/>
      </w:rPr>
      <w:fldChar w:fldCharType="begin"/>
    </w:r>
    <w:r w:rsidRPr="00EE06CD">
      <w:rPr>
        <w:sz w:val="18"/>
      </w:rPr>
      <w:instrText xml:space="preserve"> PAGE  \* MERGEFORMAT </w:instrText>
    </w:r>
    <w:r w:rsidRPr="00EE06CD">
      <w:rPr>
        <w:sz w:val="18"/>
      </w:rPr>
      <w:fldChar w:fldCharType="separate"/>
    </w:r>
    <w:r w:rsidR="00871767">
      <w:rPr>
        <w:sz w:val="18"/>
      </w:rPr>
      <w:t>5</w:t>
    </w:r>
    <w:r w:rsidRPr="00EE06CD">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88E07" w14:textId="314D992F" w:rsidR="00D44761" w:rsidRDefault="00D44761" w:rsidP="00D44761">
    <w:pPr>
      <w:pStyle w:val="ac"/>
    </w:pPr>
    <w:r>
      <w:drawing>
        <wp:anchor distT="0" distB="0" distL="114300" distR="114300" simplePos="0" relativeHeight="251659264" behindDoc="1" locked="1" layoutInCell="1" allowOverlap="1" wp14:anchorId="6AC024AA" wp14:editId="684B717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8FA7293" w14:textId="4F38E867" w:rsidR="00D44761" w:rsidRDefault="00D44761" w:rsidP="00D44761">
    <w:pPr>
      <w:pStyle w:val="ac"/>
      <w:ind w:right="1134"/>
      <w:rPr>
        <w:sz w:val="20"/>
      </w:rPr>
    </w:pPr>
    <w:r>
      <w:rPr>
        <w:sz w:val="20"/>
      </w:rPr>
      <w:t>GE.20-09246(E)</w:t>
    </w:r>
  </w:p>
  <w:p w14:paraId="55388558" w14:textId="3DF01C97" w:rsidR="00D44761" w:rsidRPr="00D44761" w:rsidRDefault="00D44761" w:rsidP="00D44761">
    <w:pPr>
      <w:pStyle w:val="ac"/>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drawing>
        <wp:anchor distT="0" distB="0" distL="114300" distR="114300" simplePos="0" relativeHeight="251660288" behindDoc="0" locked="0" layoutInCell="1" allowOverlap="1" wp14:anchorId="2F4C2CEA" wp14:editId="303FCC53">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84469" w14:textId="77777777" w:rsidR="00211FF7" w:rsidRPr="000B175B" w:rsidRDefault="00211FF7" w:rsidP="000B175B">
      <w:pPr>
        <w:tabs>
          <w:tab w:val="right" w:pos="2155"/>
        </w:tabs>
        <w:spacing w:after="80"/>
        <w:ind w:left="680"/>
        <w:rPr>
          <w:u w:val="single"/>
        </w:rPr>
      </w:pPr>
      <w:r>
        <w:rPr>
          <w:u w:val="single"/>
        </w:rPr>
        <w:tab/>
      </w:r>
    </w:p>
  </w:footnote>
  <w:footnote w:type="continuationSeparator" w:id="0">
    <w:p w14:paraId="04025A5F" w14:textId="77777777" w:rsidR="00211FF7" w:rsidRPr="00FC68B7" w:rsidRDefault="00211FF7" w:rsidP="00FC68B7">
      <w:pPr>
        <w:tabs>
          <w:tab w:val="left" w:pos="2155"/>
        </w:tabs>
        <w:spacing w:after="80"/>
        <w:ind w:left="680"/>
        <w:rPr>
          <w:u w:val="single"/>
        </w:rPr>
      </w:pPr>
      <w:r>
        <w:rPr>
          <w:u w:val="single"/>
        </w:rPr>
        <w:tab/>
      </w:r>
    </w:p>
  </w:footnote>
  <w:footnote w:type="continuationNotice" w:id="1">
    <w:p w14:paraId="7944F529" w14:textId="77777777" w:rsidR="00211FF7" w:rsidRDefault="00211FF7"/>
  </w:footnote>
  <w:footnote w:id="2">
    <w:p w14:paraId="5F28BC19" w14:textId="77777777" w:rsidR="00616A01" w:rsidRPr="00616A01" w:rsidRDefault="00616A01">
      <w:pPr>
        <w:pStyle w:val="a9"/>
      </w:pPr>
      <w:r>
        <w:rPr>
          <w:lang w:val="zh-CN"/>
        </w:rPr>
        <w:tab/>
        <w:t>*</w:t>
      </w:r>
      <w:r>
        <w:rPr>
          <w:lang w:val="zh-CN"/>
        </w:rPr>
        <w:t>非人权理事会成员国。</w:t>
      </w:r>
    </w:p>
  </w:footnote>
  <w:footnote w:id="3">
    <w:p w14:paraId="38AD558F" w14:textId="5610ABA8" w:rsidR="00B90DCF" w:rsidRPr="001C7ECA" w:rsidRDefault="00B90DCF">
      <w:pPr>
        <w:pStyle w:val="a9"/>
      </w:pPr>
      <w:r>
        <w:rPr>
          <w:lang w:val="zh-CN"/>
        </w:rPr>
        <w:tab/>
      </w:r>
      <w:r>
        <w:rPr>
          <w:rStyle w:val="a3"/>
          <w:lang w:val="zh-CN"/>
        </w:rPr>
        <w:footnoteRef/>
      </w:r>
      <w:r>
        <w:rPr>
          <w:lang w:val="zh-CN"/>
        </w:rPr>
        <w:t xml:space="preserve"> </w:t>
      </w:r>
      <w:r>
        <w:rPr>
          <w:lang w:val="zh-CN"/>
        </w:rPr>
        <w:tab/>
      </w:r>
      <w:r>
        <w:rPr>
          <w:lang w:val="zh-CN"/>
        </w:rPr>
        <w:t>见</w:t>
      </w:r>
      <w:r>
        <w:rPr>
          <w:lang w:val="zh-CN"/>
        </w:rPr>
        <w:t>A/HRC/44/51</w:t>
      </w:r>
      <w:r>
        <w:rPr>
          <w:lang w:val="zh-CN"/>
        </w:rPr>
        <w:t>和</w:t>
      </w:r>
      <w:r>
        <w:rPr>
          <w:lang w:val="zh-CN"/>
        </w:rPr>
        <w:t>Add.1</w:t>
      </w:r>
      <w:r>
        <w:rPr>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07B6D" w14:textId="77777777" w:rsidR="00EE06CD" w:rsidRPr="00EE06CD" w:rsidRDefault="00095C05">
    <w:pPr>
      <w:pStyle w:val="a5"/>
    </w:pPr>
    <w:r>
      <w:t>A/HRC/4</w:t>
    </w:r>
    <w:r w:rsidR="007A6C13">
      <w:t>4</w:t>
    </w:r>
    <w:r>
      <w:t>/L.</w:t>
    </w:r>
    <w:r w:rsidR="008A7033">
      <w:t>2</w:t>
    </w:r>
    <w:r w:rsidR="00C82F5B">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03D33" w14:textId="77777777" w:rsidR="00EE06CD" w:rsidRPr="00EE06CD" w:rsidRDefault="009C6942" w:rsidP="00EE06CD">
    <w:pPr>
      <w:pStyle w:val="a5"/>
      <w:jc w:val="right"/>
    </w:pPr>
    <w:r>
      <w:t>A/HRC/44/L.</w:t>
    </w:r>
    <w:r w:rsidR="008A7033">
      <w:t>2</w:t>
    </w:r>
    <w:r w:rsidR="00C82F5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593F"/>
    <w:rsid w:val="00007F7F"/>
    <w:rsid w:val="00010B5C"/>
    <w:rsid w:val="00022DB5"/>
    <w:rsid w:val="00032D73"/>
    <w:rsid w:val="0004000E"/>
    <w:rsid w:val="000403D1"/>
    <w:rsid w:val="000449AA"/>
    <w:rsid w:val="00050F6B"/>
    <w:rsid w:val="0005662A"/>
    <w:rsid w:val="00072C8C"/>
    <w:rsid w:val="00073E70"/>
    <w:rsid w:val="000876EB"/>
    <w:rsid w:val="000912C2"/>
    <w:rsid w:val="00091419"/>
    <w:rsid w:val="000931C0"/>
    <w:rsid w:val="00095A8B"/>
    <w:rsid w:val="00095C05"/>
    <w:rsid w:val="000B175B"/>
    <w:rsid w:val="000B2851"/>
    <w:rsid w:val="000B3A0F"/>
    <w:rsid w:val="000B4A3B"/>
    <w:rsid w:val="000C59D8"/>
    <w:rsid w:val="000D1851"/>
    <w:rsid w:val="000E0415"/>
    <w:rsid w:val="000F0B18"/>
    <w:rsid w:val="00110CF5"/>
    <w:rsid w:val="0012132F"/>
    <w:rsid w:val="00146D32"/>
    <w:rsid w:val="001509BA"/>
    <w:rsid w:val="00151FF2"/>
    <w:rsid w:val="00161074"/>
    <w:rsid w:val="0018269D"/>
    <w:rsid w:val="001875B1"/>
    <w:rsid w:val="00192FCD"/>
    <w:rsid w:val="00193BEC"/>
    <w:rsid w:val="001B4B04"/>
    <w:rsid w:val="001C0CFE"/>
    <w:rsid w:val="001C6663"/>
    <w:rsid w:val="001C74C0"/>
    <w:rsid w:val="001C7895"/>
    <w:rsid w:val="001C7ACB"/>
    <w:rsid w:val="001C7ECA"/>
    <w:rsid w:val="001D26DF"/>
    <w:rsid w:val="001E2790"/>
    <w:rsid w:val="001E7E17"/>
    <w:rsid w:val="001F050E"/>
    <w:rsid w:val="001F197D"/>
    <w:rsid w:val="00211E0B"/>
    <w:rsid w:val="00211E72"/>
    <w:rsid w:val="00211FF7"/>
    <w:rsid w:val="00214047"/>
    <w:rsid w:val="0022130F"/>
    <w:rsid w:val="00227685"/>
    <w:rsid w:val="00237785"/>
    <w:rsid w:val="002410DD"/>
    <w:rsid w:val="00241466"/>
    <w:rsid w:val="00253D58"/>
    <w:rsid w:val="00267079"/>
    <w:rsid w:val="0027725F"/>
    <w:rsid w:val="00286968"/>
    <w:rsid w:val="0028782D"/>
    <w:rsid w:val="0029135A"/>
    <w:rsid w:val="00291EDC"/>
    <w:rsid w:val="002929B6"/>
    <w:rsid w:val="002A29A8"/>
    <w:rsid w:val="002A7BAB"/>
    <w:rsid w:val="002C21F0"/>
    <w:rsid w:val="002D5348"/>
    <w:rsid w:val="003107FA"/>
    <w:rsid w:val="00321FFD"/>
    <w:rsid w:val="003229D8"/>
    <w:rsid w:val="003314D1"/>
    <w:rsid w:val="00335A2F"/>
    <w:rsid w:val="00341937"/>
    <w:rsid w:val="003472CA"/>
    <w:rsid w:val="00380708"/>
    <w:rsid w:val="0039277A"/>
    <w:rsid w:val="003972E0"/>
    <w:rsid w:val="003975ED"/>
    <w:rsid w:val="003A0BFF"/>
    <w:rsid w:val="003B319F"/>
    <w:rsid w:val="003C2CC4"/>
    <w:rsid w:val="003D4B23"/>
    <w:rsid w:val="00424C80"/>
    <w:rsid w:val="004276D6"/>
    <w:rsid w:val="004325CB"/>
    <w:rsid w:val="00436891"/>
    <w:rsid w:val="0044503A"/>
    <w:rsid w:val="00446DE4"/>
    <w:rsid w:val="00447761"/>
    <w:rsid w:val="00451EC3"/>
    <w:rsid w:val="004626D5"/>
    <w:rsid w:val="00470925"/>
    <w:rsid w:val="004721B1"/>
    <w:rsid w:val="004859EC"/>
    <w:rsid w:val="004960DB"/>
    <w:rsid w:val="00496A15"/>
    <w:rsid w:val="004B75D2"/>
    <w:rsid w:val="004D1140"/>
    <w:rsid w:val="004E3744"/>
    <w:rsid w:val="004F55ED"/>
    <w:rsid w:val="0052176C"/>
    <w:rsid w:val="005261E5"/>
    <w:rsid w:val="0052720F"/>
    <w:rsid w:val="005420F2"/>
    <w:rsid w:val="00542574"/>
    <w:rsid w:val="005436AB"/>
    <w:rsid w:val="00546924"/>
    <w:rsid w:val="00546DBF"/>
    <w:rsid w:val="00553D76"/>
    <w:rsid w:val="005552B5"/>
    <w:rsid w:val="0056117B"/>
    <w:rsid w:val="00562621"/>
    <w:rsid w:val="00571304"/>
    <w:rsid w:val="00571365"/>
    <w:rsid w:val="00580427"/>
    <w:rsid w:val="00583CE1"/>
    <w:rsid w:val="005907C7"/>
    <w:rsid w:val="005A0E16"/>
    <w:rsid w:val="005B3DB3"/>
    <w:rsid w:val="005B6E48"/>
    <w:rsid w:val="005D53BE"/>
    <w:rsid w:val="005E1712"/>
    <w:rsid w:val="00611FC4"/>
    <w:rsid w:val="00616A01"/>
    <w:rsid w:val="006176FB"/>
    <w:rsid w:val="00625FA2"/>
    <w:rsid w:val="00635064"/>
    <w:rsid w:val="00640B26"/>
    <w:rsid w:val="00655B60"/>
    <w:rsid w:val="00670741"/>
    <w:rsid w:val="00696BD6"/>
    <w:rsid w:val="006A6B9D"/>
    <w:rsid w:val="006A7392"/>
    <w:rsid w:val="006B3189"/>
    <w:rsid w:val="006B7D65"/>
    <w:rsid w:val="006D42F8"/>
    <w:rsid w:val="006D6DA6"/>
    <w:rsid w:val="006E564B"/>
    <w:rsid w:val="006F13F0"/>
    <w:rsid w:val="006F2688"/>
    <w:rsid w:val="006F5035"/>
    <w:rsid w:val="007065EB"/>
    <w:rsid w:val="00720183"/>
    <w:rsid w:val="00722193"/>
    <w:rsid w:val="0072632A"/>
    <w:rsid w:val="007333F5"/>
    <w:rsid w:val="0074200B"/>
    <w:rsid w:val="007658BB"/>
    <w:rsid w:val="00775242"/>
    <w:rsid w:val="00782474"/>
    <w:rsid w:val="007A6296"/>
    <w:rsid w:val="007A6C13"/>
    <w:rsid w:val="007A79E4"/>
    <w:rsid w:val="007B6BA5"/>
    <w:rsid w:val="007C1B62"/>
    <w:rsid w:val="007C3390"/>
    <w:rsid w:val="007C4470"/>
    <w:rsid w:val="007C4F4B"/>
    <w:rsid w:val="007D2CDC"/>
    <w:rsid w:val="007D5327"/>
    <w:rsid w:val="007F521B"/>
    <w:rsid w:val="007F6611"/>
    <w:rsid w:val="008155C3"/>
    <w:rsid w:val="008175E9"/>
    <w:rsid w:val="0082243E"/>
    <w:rsid w:val="008242D7"/>
    <w:rsid w:val="00856CD2"/>
    <w:rsid w:val="00861BC6"/>
    <w:rsid w:val="00871767"/>
    <w:rsid w:val="00871FD5"/>
    <w:rsid w:val="008847BB"/>
    <w:rsid w:val="008979B1"/>
    <w:rsid w:val="008A29FD"/>
    <w:rsid w:val="008A695D"/>
    <w:rsid w:val="008A6B25"/>
    <w:rsid w:val="008A6C4F"/>
    <w:rsid w:val="008A7033"/>
    <w:rsid w:val="008B4455"/>
    <w:rsid w:val="008C1E4D"/>
    <w:rsid w:val="008E0E46"/>
    <w:rsid w:val="0090452C"/>
    <w:rsid w:val="00907C3F"/>
    <w:rsid w:val="00913A87"/>
    <w:rsid w:val="0092237C"/>
    <w:rsid w:val="009305D3"/>
    <w:rsid w:val="0093707B"/>
    <w:rsid w:val="009372CD"/>
    <w:rsid w:val="009400EB"/>
    <w:rsid w:val="009427E3"/>
    <w:rsid w:val="00946575"/>
    <w:rsid w:val="00956D9B"/>
    <w:rsid w:val="00963CBA"/>
    <w:rsid w:val="009654B7"/>
    <w:rsid w:val="00991261"/>
    <w:rsid w:val="009A0B83"/>
    <w:rsid w:val="009A5181"/>
    <w:rsid w:val="009B3800"/>
    <w:rsid w:val="009C6942"/>
    <w:rsid w:val="009D1926"/>
    <w:rsid w:val="009D1F4C"/>
    <w:rsid w:val="009D22AC"/>
    <w:rsid w:val="009D47F8"/>
    <w:rsid w:val="009D50DB"/>
    <w:rsid w:val="009E1C4E"/>
    <w:rsid w:val="00A0036A"/>
    <w:rsid w:val="00A05E0B"/>
    <w:rsid w:val="00A1427D"/>
    <w:rsid w:val="00A32F02"/>
    <w:rsid w:val="00A4634F"/>
    <w:rsid w:val="00A51CF3"/>
    <w:rsid w:val="00A62D00"/>
    <w:rsid w:val="00A72F22"/>
    <w:rsid w:val="00A73D32"/>
    <w:rsid w:val="00A748A6"/>
    <w:rsid w:val="00A879A4"/>
    <w:rsid w:val="00A87E95"/>
    <w:rsid w:val="00A92E29"/>
    <w:rsid w:val="00AC5AE2"/>
    <w:rsid w:val="00AD09E9"/>
    <w:rsid w:val="00AF0576"/>
    <w:rsid w:val="00AF3829"/>
    <w:rsid w:val="00B037F0"/>
    <w:rsid w:val="00B12515"/>
    <w:rsid w:val="00B2327D"/>
    <w:rsid w:val="00B2718F"/>
    <w:rsid w:val="00B30179"/>
    <w:rsid w:val="00B3317B"/>
    <w:rsid w:val="00B334DC"/>
    <w:rsid w:val="00B3631A"/>
    <w:rsid w:val="00B53013"/>
    <w:rsid w:val="00B67F5E"/>
    <w:rsid w:val="00B73E65"/>
    <w:rsid w:val="00B81E12"/>
    <w:rsid w:val="00B87110"/>
    <w:rsid w:val="00B90DCF"/>
    <w:rsid w:val="00B97FA8"/>
    <w:rsid w:val="00BB46E8"/>
    <w:rsid w:val="00BC03B3"/>
    <w:rsid w:val="00BC1385"/>
    <w:rsid w:val="00BC74E9"/>
    <w:rsid w:val="00BE618E"/>
    <w:rsid w:val="00BE655C"/>
    <w:rsid w:val="00BF0E77"/>
    <w:rsid w:val="00BF3E51"/>
    <w:rsid w:val="00C06876"/>
    <w:rsid w:val="00C217E7"/>
    <w:rsid w:val="00C24693"/>
    <w:rsid w:val="00C35F0B"/>
    <w:rsid w:val="00C463DD"/>
    <w:rsid w:val="00C64458"/>
    <w:rsid w:val="00C745C3"/>
    <w:rsid w:val="00C82F5B"/>
    <w:rsid w:val="00C8312B"/>
    <w:rsid w:val="00CA2A58"/>
    <w:rsid w:val="00CC0B55"/>
    <w:rsid w:val="00CD5E32"/>
    <w:rsid w:val="00CD6995"/>
    <w:rsid w:val="00CE4A8F"/>
    <w:rsid w:val="00CF0214"/>
    <w:rsid w:val="00CF586F"/>
    <w:rsid w:val="00CF7D43"/>
    <w:rsid w:val="00D11129"/>
    <w:rsid w:val="00D16C4F"/>
    <w:rsid w:val="00D2031B"/>
    <w:rsid w:val="00D22332"/>
    <w:rsid w:val="00D25FE2"/>
    <w:rsid w:val="00D43252"/>
    <w:rsid w:val="00D44761"/>
    <w:rsid w:val="00D52257"/>
    <w:rsid w:val="00D550F9"/>
    <w:rsid w:val="00D572B0"/>
    <w:rsid w:val="00D62E90"/>
    <w:rsid w:val="00D637D0"/>
    <w:rsid w:val="00D76BE5"/>
    <w:rsid w:val="00D978C6"/>
    <w:rsid w:val="00DA67AD"/>
    <w:rsid w:val="00DB18CE"/>
    <w:rsid w:val="00DB5566"/>
    <w:rsid w:val="00DE3BE7"/>
    <w:rsid w:val="00DE3EC0"/>
    <w:rsid w:val="00E11593"/>
    <w:rsid w:val="00E12B6B"/>
    <w:rsid w:val="00E130AB"/>
    <w:rsid w:val="00E438D9"/>
    <w:rsid w:val="00E5644E"/>
    <w:rsid w:val="00E7260F"/>
    <w:rsid w:val="00E806EE"/>
    <w:rsid w:val="00E854C7"/>
    <w:rsid w:val="00E91A38"/>
    <w:rsid w:val="00E95A12"/>
    <w:rsid w:val="00E96630"/>
    <w:rsid w:val="00EB0FB9"/>
    <w:rsid w:val="00EB203D"/>
    <w:rsid w:val="00EB45B8"/>
    <w:rsid w:val="00EB60C5"/>
    <w:rsid w:val="00ED0CA9"/>
    <w:rsid w:val="00ED4FDE"/>
    <w:rsid w:val="00ED7A2A"/>
    <w:rsid w:val="00EE06CD"/>
    <w:rsid w:val="00EE7179"/>
    <w:rsid w:val="00EF1D7F"/>
    <w:rsid w:val="00EF5BDB"/>
    <w:rsid w:val="00F07FD9"/>
    <w:rsid w:val="00F1700B"/>
    <w:rsid w:val="00F21955"/>
    <w:rsid w:val="00F23933"/>
    <w:rsid w:val="00F24119"/>
    <w:rsid w:val="00F318CE"/>
    <w:rsid w:val="00F40E75"/>
    <w:rsid w:val="00F42CD9"/>
    <w:rsid w:val="00F52936"/>
    <w:rsid w:val="00F54083"/>
    <w:rsid w:val="00F677CB"/>
    <w:rsid w:val="00F67B04"/>
    <w:rsid w:val="00F760D6"/>
    <w:rsid w:val="00F84742"/>
    <w:rsid w:val="00F92A7D"/>
    <w:rsid w:val="00FA7DF3"/>
    <w:rsid w:val="00FB60EC"/>
    <w:rsid w:val="00FC68B7"/>
    <w:rsid w:val="00FD7C12"/>
    <w:rsid w:val="00FE45F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E78043"/>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546924"/>
    <w:pPr>
      <w:suppressAutoHyphens/>
      <w:spacing w:after="120" w:line="280" w:lineRule="exact"/>
      <w:jc w:val="both"/>
    </w:pPr>
    <w:rPr>
      <w:sz w:val="21"/>
      <w:szCs w:val="10"/>
      <w:lang w:val="en-US" w:eastAsia="zh-CN"/>
    </w:rPr>
  </w:style>
  <w:style w:type="paragraph" w:styleId="1">
    <w:name w:val="heading 1"/>
    <w:aliases w:val="Table_G"/>
    <w:basedOn w:val="SingleTxtG"/>
    <w:next w:val="SingleTxtG"/>
    <w:qFormat/>
    <w:rsid w:val="00CF0214"/>
    <w:pPr>
      <w:spacing w:after="0" w:line="240" w:lineRule="auto"/>
      <w:ind w:right="0"/>
      <w:jc w:val="left"/>
      <w:outlineLvl w:val="0"/>
    </w:pPr>
  </w:style>
  <w:style w:type="paragraph" w:styleId="2">
    <w:name w:val="heading 2"/>
    <w:basedOn w:val="a"/>
    <w:next w:val="a"/>
    <w:semiHidden/>
    <w:qFormat/>
    <w:rsid w:val="00CF0214"/>
    <w:pPr>
      <w:spacing w:line="240" w:lineRule="auto"/>
      <w:outlineLvl w:val="1"/>
    </w:pPr>
  </w:style>
  <w:style w:type="paragraph" w:styleId="3">
    <w:name w:val="heading 3"/>
    <w:basedOn w:val="a"/>
    <w:next w:val="a"/>
    <w:semiHidden/>
    <w:qFormat/>
    <w:rsid w:val="00CF0214"/>
    <w:pPr>
      <w:spacing w:line="240" w:lineRule="auto"/>
      <w:outlineLvl w:val="2"/>
    </w:pPr>
  </w:style>
  <w:style w:type="paragraph" w:styleId="4">
    <w:name w:val="heading 4"/>
    <w:basedOn w:val="a"/>
    <w:next w:val="a"/>
    <w:semiHidden/>
    <w:qFormat/>
    <w:rsid w:val="00CF0214"/>
    <w:pPr>
      <w:spacing w:line="240" w:lineRule="auto"/>
      <w:outlineLvl w:val="3"/>
    </w:pPr>
  </w:style>
  <w:style w:type="paragraph" w:styleId="5">
    <w:name w:val="heading 5"/>
    <w:basedOn w:val="a"/>
    <w:next w:val="a"/>
    <w:semiHidden/>
    <w:qFormat/>
    <w:rsid w:val="00CF0214"/>
    <w:pPr>
      <w:spacing w:line="240" w:lineRule="auto"/>
      <w:outlineLvl w:val="4"/>
    </w:pPr>
  </w:style>
  <w:style w:type="paragraph" w:styleId="6">
    <w:name w:val="heading 6"/>
    <w:basedOn w:val="a"/>
    <w:next w:val="a"/>
    <w:semiHidden/>
    <w:qFormat/>
    <w:rsid w:val="00CF0214"/>
    <w:pPr>
      <w:spacing w:line="240" w:lineRule="auto"/>
      <w:outlineLvl w:val="5"/>
    </w:pPr>
  </w:style>
  <w:style w:type="paragraph" w:styleId="7">
    <w:name w:val="heading 7"/>
    <w:basedOn w:val="a"/>
    <w:next w:val="a"/>
    <w:semiHidden/>
    <w:qFormat/>
    <w:rsid w:val="00CF0214"/>
    <w:pPr>
      <w:spacing w:line="240" w:lineRule="auto"/>
      <w:outlineLvl w:val="6"/>
    </w:pPr>
  </w:style>
  <w:style w:type="paragraph" w:styleId="8">
    <w:name w:val="heading 8"/>
    <w:basedOn w:val="a"/>
    <w:next w:val="a"/>
    <w:semiHidden/>
    <w:qFormat/>
    <w:rsid w:val="00CF0214"/>
    <w:pPr>
      <w:spacing w:line="240" w:lineRule="auto"/>
      <w:outlineLvl w:val="7"/>
    </w:pPr>
  </w:style>
  <w:style w:type="paragraph" w:styleId="9">
    <w:name w:val="heading 9"/>
    <w:basedOn w:val="a"/>
    <w:next w:val="a"/>
    <w:semiHidden/>
    <w:qFormat/>
    <w:rsid w:val="00CF0214"/>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ngleTxtG">
    <w:name w:val="_ Single Txt_G"/>
    <w:basedOn w:val="a"/>
    <w:qFormat/>
    <w:rsid w:val="00CF0214"/>
    <w:pPr>
      <w:ind w:left="1134" w:right="1134"/>
    </w:pPr>
  </w:style>
  <w:style w:type="paragraph" w:customStyle="1" w:styleId="HMG">
    <w:name w:val="_ H __M_G"/>
    <w:basedOn w:val="a"/>
    <w:next w:val="a"/>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qFormat/>
    <w:rsid w:val="00CF0214"/>
    <w:pPr>
      <w:keepNext/>
      <w:keepLines/>
      <w:tabs>
        <w:tab w:val="right" w:pos="851"/>
      </w:tabs>
      <w:spacing w:before="360" w:after="240" w:line="300" w:lineRule="exact"/>
      <w:ind w:left="1134" w:right="1134" w:hanging="1134"/>
    </w:pPr>
    <w:rPr>
      <w:b/>
      <w:sz w:val="28"/>
    </w:rPr>
  </w:style>
  <w:style w:type="character" w:styleId="a3">
    <w:name w:val="footnote reference"/>
    <w:aliases w:val="4_G"/>
    <w:qFormat/>
    <w:rsid w:val="00CF0214"/>
    <w:rPr>
      <w:rFonts w:ascii="Times New Roman" w:eastAsia="宋体" w:hAnsi="Times New Roman"/>
      <w:color w:val="000000"/>
      <w:spacing w:val="-5"/>
      <w:w w:val="130"/>
      <w:position w:val="-4"/>
      <w:sz w:val="18"/>
      <w:vertAlign w:val="superscript"/>
    </w:rPr>
  </w:style>
  <w:style w:type="character" w:styleId="a4">
    <w:name w:val="endnote reference"/>
    <w:aliases w:val="1_G"/>
    <w:basedOn w:val="a3"/>
    <w:qFormat/>
    <w:rsid w:val="00CF0214"/>
    <w:rPr>
      <w:rFonts w:ascii="Times New Roman" w:eastAsia="宋体" w:hAnsi="Times New Roman"/>
      <w:color w:val="000000"/>
      <w:spacing w:val="-7"/>
      <w:w w:val="130"/>
      <w:position w:val="-4"/>
      <w:sz w:val="18"/>
      <w:vertAlign w:val="superscript"/>
    </w:rPr>
  </w:style>
  <w:style w:type="paragraph" w:styleId="a5">
    <w:name w:val="header"/>
    <w:aliases w:val="6_G"/>
    <w:basedOn w:val="a"/>
    <w:qFormat/>
    <w:rsid w:val="00CF0214"/>
    <w:pPr>
      <w:pBdr>
        <w:bottom w:val="single" w:sz="4" w:space="4" w:color="auto"/>
      </w:pBdr>
      <w:spacing w:line="240" w:lineRule="auto"/>
    </w:pPr>
    <w:rPr>
      <w:rFonts w:eastAsia="PMingLiU"/>
      <w:b/>
      <w:noProof/>
      <w:sz w:val="18"/>
    </w:rPr>
  </w:style>
  <w:style w:type="table" w:styleId="a6">
    <w:name w:val="Table Grid"/>
    <w:basedOn w:val="a1"/>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7">
    <w:name w:val="Hyperlink"/>
    <w:semiHidden/>
    <w:rsid w:val="00CF0214"/>
    <w:rPr>
      <w:color w:val="auto"/>
      <w:u w:val="none"/>
    </w:rPr>
  </w:style>
  <w:style w:type="character" w:styleId="a8">
    <w:name w:val="FollowedHyperlink"/>
    <w:semiHidden/>
    <w:rsid w:val="00CF0214"/>
    <w:rPr>
      <w:color w:val="auto"/>
      <w:u w:val="none"/>
    </w:rPr>
  </w:style>
  <w:style w:type="paragraph" w:customStyle="1" w:styleId="SMG">
    <w:name w:val="__S_M_G"/>
    <w:basedOn w:val="a"/>
    <w:next w:val="a"/>
    <w:rsid w:val="00CF0214"/>
    <w:pPr>
      <w:keepNext/>
      <w:keepLines/>
      <w:spacing w:before="240" w:after="240" w:line="420" w:lineRule="exact"/>
      <w:ind w:left="1134" w:right="1134"/>
    </w:pPr>
    <w:rPr>
      <w:b/>
      <w:sz w:val="40"/>
    </w:rPr>
  </w:style>
  <w:style w:type="paragraph" w:customStyle="1" w:styleId="SLG">
    <w:name w:val="__S_L_G"/>
    <w:basedOn w:val="a"/>
    <w:next w:val="a"/>
    <w:rsid w:val="00CF0214"/>
    <w:pPr>
      <w:keepNext/>
      <w:keepLines/>
      <w:spacing w:before="240" w:after="240" w:line="580" w:lineRule="exact"/>
      <w:ind w:left="1134" w:right="1134"/>
    </w:pPr>
    <w:rPr>
      <w:b/>
      <w:sz w:val="56"/>
    </w:rPr>
  </w:style>
  <w:style w:type="paragraph" w:customStyle="1" w:styleId="SSG">
    <w:name w:val="__S_S_G"/>
    <w:basedOn w:val="a"/>
    <w:next w:val="a"/>
    <w:rsid w:val="00CF0214"/>
    <w:pPr>
      <w:keepNext/>
      <w:keepLines/>
      <w:spacing w:before="240" w:after="240" w:line="300" w:lineRule="exact"/>
      <w:ind w:left="1134" w:right="1134"/>
    </w:pPr>
    <w:rPr>
      <w:b/>
      <w:sz w:val="28"/>
    </w:rPr>
  </w:style>
  <w:style w:type="paragraph" w:styleId="a9">
    <w:name w:val="footnote text"/>
    <w:aliases w:val="5_G"/>
    <w:basedOn w:val="a"/>
    <w:qFormat/>
    <w:rsid w:val="00CF0214"/>
    <w:pPr>
      <w:tabs>
        <w:tab w:val="right" w:pos="1021"/>
      </w:tabs>
      <w:spacing w:after="0" w:line="210" w:lineRule="exact"/>
      <w:ind w:left="475" w:right="1134" w:hanging="475"/>
      <w:jc w:val="left"/>
    </w:pPr>
    <w:rPr>
      <w:noProof/>
      <w:spacing w:val="5"/>
      <w:w w:val="104"/>
      <w:kern w:val="14"/>
      <w:sz w:val="18"/>
      <w:szCs w:val="20"/>
    </w:rPr>
  </w:style>
  <w:style w:type="paragraph" w:styleId="aa">
    <w:name w:val="endnote text"/>
    <w:aliases w:val="2_G"/>
    <w:basedOn w:val="a9"/>
    <w:qFormat/>
    <w:rsid w:val="00CF0214"/>
  </w:style>
  <w:style w:type="character" w:styleId="ab">
    <w:name w:val="page number"/>
    <w:aliases w:val="7_G"/>
    <w:qFormat/>
    <w:rsid w:val="00CF0214"/>
    <w:rPr>
      <w:rFonts w:ascii="Times New Roman" w:hAnsi="Times New Roman"/>
      <w:b/>
      <w:sz w:val="18"/>
    </w:rPr>
  </w:style>
  <w:style w:type="paragraph" w:customStyle="1" w:styleId="XLargeG">
    <w:name w:val="__XLarge_G"/>
    <w:basedOn w:val="a"/>
    <w:next w:val="a"/>
    <w:rsid w:val="00CF0214"/>
    <w:pPr>
      <w:keepNext/>
      <w:keepLines/>
      <w:spacing w:before="240" w:after="240" w:line="420" w:lineRule="exact"/>
      <w:ind w:left="1134" w:right="1134"/>
    </w:pPr>
    <w:rPr>
      <w:b/>
      <w:sz w:val="40"/>
    </w:rPr>
  </w:style>
  <w:style w:type="paragraph" w:customStyle="1" w:styleId="Bullet1G">
    <w:name w:val="_Bullet 1_G"/>
    <w:basedOn w:val="a"/>
    <w:qFormat/>
    <w:rsid w:val="00CF0214"/>
    <w:pPr>
      <w:numPr>
        <w:numId w:val="6"/>
      </w:numPr>
      <w:ind w:right="1134"/>
    </w:pPr>
  </w:style>
  <w:style w:type="paragraph" w:styleId="ac">
    <w:name w:val="footer"/>
    <w:aliases w:val="3_G"/>
    <w:basedOn w:val="a"/>
    <w:qFormat/>
    <w:rsid w:val="00CF0214"/>
    <w:pPr>
      <w:spacing w:line="240" w:lineRule="auto"/>
    </w:pPr>
    <w:rPr>
      <w:rFonts w:eastAsia="PMingLiU"/>
      <w:b/>
      <w:noProof/>
      <w:sz w:val="17"/>
    </w:rPr>
  </w:style>
  <w:style w:type="paragraph" w:customStyle="1" w:styleId="Bullet2G">
    <w:name w:val="_Bullet 2_G"/>
    <w:basedOn w:val="a"/>
    <w:qFormat/>
    <w:rsid w:val="00CF0214"/>
    <w:pPr>
      <w:numPr>
        <w:numId w:val="7"/>
      </w:numPr>
      <w:ind w:right="1134"/>
    </w:pPr>
  </w:style>
  <w:style w:type="paragraph" w:customStyle="1" w:styleId="H1G">
    <w:name w:val="_ H_1_G"/>
    <w:basedOn w:val="a"/>
    <w:next w:val="a"/>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qFormat/>
    <w:rsid w:val="00CF0214"/>
    <w:pPr>
      <w:keepNext/>
      <w:keepLines/>
      <w:tabs>
        <w:tab w:val="right" w:pos="851"/>
      </w:tabs>
      <w:spacing w:before="240" w:line="240" w:lineRule="exact"/>
      <w:ind w:left="1134" w:right="1134" w:hanging="1134"/>
    </w:pPr>
    <w:rPr>
      <w:b/>
    </w:rPr>
  </w:style>
  <w:style w:type="paragraph" w:customStyle="1" w:styleId="H4G">
    <w:name w:val="_ H_4_G"/>
    <w:basedOn w:val="a"/>
    <w:next w:val="a"/>
    <w:qFormat/>
    <w:rsid w:val="00CF0214"/>
    <w:pPr>
      <w:keepNext/>
      <w:keepLines/>
      <w:tabs>
        <w:tab w:val="right" w:pos="851"/>
      </w:tabs>
      <w:spacing w:before="240" w:line="240" w:lineRule="exact"/>
      <w:ind w:left="1134" w:right="1134" w:hanging="1134"/>
    </w:pPr>
    <w:rPr>
      <w:i/>
    </w:rPr>
  </w:style>
  <w:style w:type="paragraph" w:customStyle="1" w:styleId="H56G">
    <w:name w:val="_ H_5/6_G"/>
    <w:basedOn w:val="a"/>
    <w:next w:val="a"/>
    <w:qFormat/>
    <w:rsid w:val="00CF0214"/>
    <w:pPr>
      <w:keepNext/>
      <w:keepLines/>
      <w:tabs>
        <w:tab w:val="right" w:pos="851"/>
      </w:tabs>
      <w:spacing w:before="240" w:line="240" w:lineRule="exact"/>
      <w:ind w:left="1134" w:right="1134" w:hanging="1134"/>
    </w:pPr>
  </w:style>
  <w:style w:type="paragraph" w:styleId="ad">
    <w:name w:val="Balloon Text"/>
    <w:basedOn w:val="a"/>
    <w:link w:val="ae"/>
    <w:semiHidden/>
    <w:rsid w:val="00946575"/>
    <w:pPr>
      <w:spacing w:line="240" w:lineRule="auto"/>
    </w:pPr>
    <w:rPr>
      <w:rFonts w:ascii="Tahoma" w:hAnsi="Tahoma" w:cs="Tahoma"/>
      <w:sz w:val="16"/>
      <w:szCs w:val="16"/>
    </w:rPr>
  </w:style>
  <w:style w:type="character" w:customStyle="1" w:styleId="ae">
    <w:name w:val="批注框文本 字符"/>
    <w:link w:val="ad"/>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af">
    <w:name w:val="annotation reference"/>
    <w:basedOn w:val="a0"/>
    <w:semiHidden/>
    <w:unhideWhenUsed/>
    <w:rsid w:val="0000593F"/>
    <w:rPr>
      <w:rFonts w:ascii="Times New Roman" w:eastAsia="宋体" w:hAnsi="Times New Roman"/>
      <w:sz w:val="6"/>
      <w:szCs w:val="16"/>
    </w:rPr>
  </w:style>
  <w:style w:type="paragraph" w:styleId="af0">
    <w:name w:val="annotation text"/>
    <w:basedOn w:val="a"/>
    <w:link w:val="af1"/>
    <w:semiHidden/>
    <w:unhideWhenUsed/>
    <w:rsid w:val="0000593F"/>
    <w:pPr>
      <w:spacing w:line="240" w:lineRule="auto"/>
    </w:pPr>
  </w:style>
  <w:style w:type="character" w:customStyle="1" w:styleId="af1">
    <w:name w:val="批注文字 字符"/>
    <w:basedOn w:val="a0"/>
    <w:link w:val="af0"/>
    <w:semiHidden/>
    <w:rsid w:val="0000593F"/>
    <w:rPr>
      <w:lang w:eastAsia="en-US"/>
    </w:rPr>
  </w:style>
  <w:style w:type="paragraph" w:styleId="af2">
    <w:name w:val="annotation subject"/>
    <w:basedOn w:val="af0"/>
    <w:next w:val="af0"/>
    <w:link w:val="af3"/>
    <w:semiHidden/>
    <w:unhideWhenUsed/>
    <w:rsid w:val="0000593F"/>
    <w:rPr>
      <w:b/>
      <w:bCs/>
    </w:rPr>
  </w:style>
  <w:style w:type="character" w:customStyle="1" w:styleId="af3">
    <w:name w:val="批注主题 字符"/>
    <w:basedOn w:val="af1"/>
    <w:link w:val="af2"/>
    <w:semiHidden/>
    <w:rsid w:val="0000593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C8CE4-76F5-4B23-B2BC-69E094D50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58</TotalTime>
  <Pages>5</Pages>
  <Words>784</Words>
  <Characters>4314</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A/HRC/44/L.21</dc:title>
  <dc:subject>2009246</dc:subject>
  <dc:creator>Sumiko IHARA</dc:creator>
  <cp:keywords/>
  <dc:description/>
  <cp:lastModifiedBy>Bing Dai</cp:lastModifiedBy>
  <cp:revision>8</cp:revision>
  <cp:lastPrinted>2008-01-29T08:30:00Z</cp:lastPrinted>
  <dcterms:created xsi:type="dcterms:W3CDTF">2020-07-14T08:44:00Z</dcterms:created>
  <dcterms:modified xsi:type="dcterms:W3CDTF">2020-07-14T09:51:00Z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Bing.Dai</vt:lpwstr>
  </property>
  <property fmtid="{D5CDD505-2E9C-101B-9397-08002B2CF9AE}" pid="4" name="GeneratedDate">
    <vt:lpwstr>07/14/2020 08:29:40</vt:lpwstr>
  </property>
  <property fmtid="{D5CDD505-2E9C-101B-9397-08002B2CF9AE}" pid="5" name="OriginalDocID">
    <vt:lpwstr>a7f0c497-0650-4abe-a001-eb3b21f844e2</vt:lpwstr>
  </property>
</Properties>
</file>