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0E1656">
            <w:pPr>
              <w:jc w:val="right"/>
            </w:pPr>
            <w:r w:rsidRPr="00EE2A77">
              <w:rPr>
                <w:sz w:val="40"/>
              </w:rPr>
              <w:t>A</w:t>
            </w:r>
            <w:r>
              <w:t>/HRC/</w:t>
            </w:r>
            <w:r w:rsidR="00042566">
              <w:t>2</w:t>
            </w:r>
            <w:r w:rsidR="00111F87">
              <w:t>9</w:t>
            </w:r>
            <w:r>
              <w:t>/L.</w:t>
            </w:r>
            <w:r w:rsidR="000E1656">
              <w:t>19</w:t>
            </w:r>
          </w:p>
        </w:tc>
      </w:tr>
      <w:tr w:rsidR="003107FA">
        <w:trPr>
          <w:trHeight w:val="2835"/>
        </w:trPr>
        <w:tc>
          <w:tcPr>
            <w:tcW w:w="1259" w:type="dxa"/>
            <w:tcBorders>
              <w:top w:val="single" w:sz="4" w:space="0" w:color="auto"/>
              <w:left w:val="nil"/>
              <w:bottom w:val="single" w:sz="12" w:space="0" w:color="auto"/>
              <w:right w:val="nil"/>
            </w:tcBorders>
          </w:tcPr>
          <w:p w:rsidR="003107FA" w:rsidRDefault="00AE68BE" w:rsidP="00956D9B">
            <w:pPr>
              <w:spacing w:before="120"/>
              <w:jc w:val="center"/>
            </w:pPr>
            <w:r>
              <w:rPr>
                <w:noProof/>
                <w:lang w:eastAsia="zh-CN"/>
              </w:rPr>
              <w:drawing>
                <wp:inline distT="0" distB="0" distL="0" distR="0" wp14:anchorId="5B6A77B6" wp14:editId="1E7F59A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6E31A1" w:rsidP="00EE2A77">
            <w:pPr>
              <w:spacing w:line="240" w:lineRule="exact"/>
            </w:pPr>
            <w:r>
              <w:t>2</w:t>
            </w:r>
            <w:r w:rsidR="003020A9">
              <w:t>9</w:t>
            </w:r>
            <w:r>
              <w:t xml:space="preserve"> </w:t>
            </w:r>
            <w:r w:rsidR="00111F87">
              <w:t>June</w:t>
            </w:r>
            <w:r w:rsidR="009F34F1">
              <w:t xml:space="preserve"> 2015</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r w:rsidR="00CE28A3">
        <w:rPr>
          <w:b/>
          <w:noProof/>
          <w:sz w:val="24"/>
          <w:szCs w:val="24"/>
          <w:lang w:eastAsia="zh-CN"/>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40934" cy="640935"/>
            <wp:effectExtent l="0" t="0" r="6985" b="6985"/>
            <wp:wrapNone/>
            <wp:docPr id="2" name="Picture 2" descr="http://undocs.org/m2/QRCode.ashx?DS=A/HRC/29/L.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L.19&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934" cy="640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A77" w:rsidRDefault="00CD1E06" w:rsidP="00EE2A77">
      <w:pPr>
        <w:rPr>
          <w:b/>
        </w:rPr>
      </w:pPr>
      <w:r>
        <w:rPr>
          <w:b/>
        </w:rPr>
        <w:t>Twent</w:t>
      </w:r>
      <w:r w:rsidR="00032232">
        <w:rPr>
          <w:b/>
        </w:rPr>
        <w:t>y-</w:t>
      </w:r>
      <w:r w:rsidR="00111F87">
        <w:rPr>
          <w:b/>
        </w:rPr>
        <w:t>nin</w:t>
      </w:r>
      <w:r w:rsidR="00042566">
        <w:rPr>
          <w:b/>
        </w:rPr>
        <w:t>th</w:t>
      </w:r>
      <w:r w:rsidR="00674C17">
        <w:rPr>
          <w:b/>
        </w:rPr>
        <w:t xml:space="preserve"> </w:t>
      </w:r>
      <w:proofErr w:type="gramStart"/>
      <w:r w:rsidR="00EE2A77">
        <w:rPr>
          <w:b/>
        </w:rPr>
        <w:t>session</w:t>
      </w:r>
      <w:proofErr w:type="gramEnd"/>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891F92">
      <w:pPr>
        <w:pStyle w:val="H23G"/>
      </w:pPr>
      <w:r>
        <w:tab/>
      </w:r>
      <w:r>
        <w:tab/>
      </w:r>
      <w:r w:rsidR="00891F92">
        <w:t>Austria,</w:t>
      </w:r>
      <w:r w:rsidR="00891F92" w:rsidRPr="00891F92">
        <w:rPr>
          <w:rStyle w:val="FootnoteReference"/>
          <w:sz w:val="20"/>
          <w:vertAlign w:val="baseline"/>
        </w:rPr>
        <w:footnoteReference w:customMarkFollows="1" w:id="2"/>
        <w:t>*</w:t>
      </w:r>
      <w:r w:rsidR="00891F92">
        <w:t xml:space="preserve"> Bolivia (</w:t>
      </w:r>
      <w:proofErr w:type="spellStart"/>
      <w:r w:rsidR="00891F92">
        <w:t>Plurinational</w:t>
      </w:r>
      <w:proofErr w:type="spellEnd"/>
      <w:r w:rsidR="00891F92">
        <w:t xml:space="preserve"> State of), Bosnia and Herzegovina,* Botswana, Brazil, Bulgaria,* Chad,* Cyprus,* Democratic Republic of the Congo,* Estonia, Ethiopia, Finland,* Georgia,* Greece,* Honduras,* Hungary,* Indonesia, Ireland, Italy,* Latvia, Liechtenstein,* Lithuania,* Mexico, Montenegro, Morocco, New Zealand,* Paraguay, Poland,* Portugal, Qatar, Republic of Moldova,* Rwanda,* Slovakia,* Spain,* Sri Lanka,* Switzerland,* Thailand,* the former Yugoslav Republic of Macedonia, Tunisia,* Turkey,* </w:t>
      </w:r>
      <w:r w:rsidR="008551AF">
        <w:t xml:space="preserve">United Kingdom of Great Britain and Northern Ireland, </w:t>
      </w:r>
      <w:r w:rsidR="00891F92">
        <w:t>Ukraine:*</w:t>
      </w:r>
      <w:r>
        <w:t xml:space="preserve"> draft resolution</w:t>
      </w:r>
    </w:p>
    <w:p w:rsidR="002F006E" w:rsidRPr="007A45D3" w:rsidRDefault="002F006E" w:rsidP="002F006E">
      <w:pPr>
        <w:pStyle w:val="H1G"/>
      </w:pPr>
      <w:r>
        <w:tab/>
      </w:r>
      <w:r>
        <w:tab/>
      </w:r>
      <w:proofErr w:type="gramStart"/>
      <w:r w:rsidR="00042566">
        <w:t>2</w:t>
      </w:r>
      <w:r w:rsidR="00111F87">
        <w:t>9</w:t>
      </w:r>
      <w:r w:rsidRPr="007A45D3">
        <w:t>/…</w:t>
      </w:r>
      <w:proofErr w:type="gramEnd"/>
      <w:r w:rsidRPr="007A45D3">
        <w:t xml:space="preserve">  </w:t>
      </w:r>
      <w:r w:rsidR="000E1656" w:rsidRPr="000E1656">
        <w:t xml:space="preserve">The negative impact of corruption on the enjoyment of human </w:t>
      </w:r>
      <w:r w:rsidR="00700C0F">
        <w:tab/>
      </w:r>
      <w:r w:rsidR="000E1656" w:rsidRPr="000E1656">
        <w:t>rights</w:t>
      </w:r>
    </w:p>
    <w:p w:rsidR="002F006E" w:rsidRDefault="002F006E" w:rsidP="004F6F4F">
      <w:pPr>
        <w:pStyle w:val="SingleTxtG"/>
        <w:spacing w:line="240" w:lineRule="exact"/>
      </w:pPr>
      <w:r>
        <w:tab/>
      </w:r>
      <w:r w:rsidRPr="000E1656">
        <w:rPr>
          <w:i/>
        </w:rPr>
        <w:t>The Human Rights Council</w:t>
      </w:r>
      <w:r w:rsidRPr="00852165">
        <w:t>,</w:t>
      </w:r>
    </w:p>
    <w:p w:rsidR="000E1656" w:rsidRPr="000E1656" w:rsidRDefault="000E1656" w:rsidP="004F6F4F">
      <w:pPr>
        <w:pStyle w:val="SingleTxtG"/>
        <w:spacing w:line="240" w:lineRule="exact"/>
        <w:ind w:firstLine="567"/>
      </w:pPr>
      <w:r w:rsidRPr="00E603B8">
        <w:rPr>
          <w:i/>
        </w:rPr>
        <w:t>Guided</w:t>
      </w:r>
      <w:r w:rsidRPr="000E1656">
        <w:t xml:space="preserve"> by the Charter of the United Nations,</w:t>
      </w:r>
    </w:p>
    <w:p w:rsidR="000E1656" w:rsidRPr="000E1656" w:rsidRDefault="000E1656" w:rsidP="004F6F4F">
      <w:pPr>
        <w:pStyle w:val="SingleTxtG"/>
        <w:spacing w:line="240" w:lineRule="exact"/>
        <w:ind w:firstLine="567"/>
      </w:pPr>
      <w:r w:rsidRPr="00D7586F">
        <w:rPr>
          <w:i/>
        </w:rPr>
        <w:t>Reaffirming</w:t>
      </w:r>
      <w:r w:rsidRPr="000E1656">
        <w:t xml:space="preserve"> the Universal Declaration of Human Rights, the International Covenants on Human Rights and other relevant international human rights instruments,</w:t>
      </w:r>
    </w:p>
    <w:p w:rsidR="000E1656" w:rsidRPr="000E1656" w:rsidRDefault="000E1656" w:rsidP="004F6F4F">
      <w:pPr>
        <w:pStyle w:val="SingleTxtG"/>
        <w:spacing w:line="240" w:lineRule="exact"/>
        <w:ind w:firstLine="567"/>
      </w:pPr>
      <w:r w:rsidRPr="00E603B8">
        <w:rPr>
          <w:i/>
        </w:rPr>
        <w:t>Recalling</w:t>
      </w:r>
      <w:r w:rsidRPr="000E1656">
        <w:t xml:space="preserve"> all relevant resolutions of the Commission on Human Rights and the Human Rights Council, including Council resolutions 19/20 of 23 March 2012 on the role of good governance in the promotion and protection of human rights,</w:t>
      </w:r>
      <w:r w:rsidR="00961D5B">
        <w:t xml:space="preserve"> </w:t>
      </w:r>
      <w:r w:rsidR="00961D5B" w:rsidRPr="000E1656">
        <w:t xml:space="preserve">21/13 of </w:t>
      </w:r>
      <w:r w:rsidR="00961D5B">
        <w:t xml:space="preserve">27 September </w:t>
      </w:r>
      <w:r w:rsidR="00961D5B" w:rsidRPr="000E1656">
        <w:t xml:space="preserve">2012 on </w:t>
      </w:r>
      <w:r w:rsidR="00961D5B">
        <w:t xml:space="preserve">a </w:t>
      </w:r>
      <w:r w:rsidR="00961D5B" w:rsidRPr="000E1656">
        <w:t xml:space="preserve">panel </w:t>
      </w:r>
      <w:r w:rsidR="00961D5B">
        <w:t xml:space="preserve">discussion </w:t>
      </w:r>
      <w:r w:rsidR="00961D5B" w:rsidRPr="000E1656">
        <w:t xml:space="preserve">on the negative impact of corruption on </w:t>
      </w:r>
      <w:r w:rsidR="00961D5B">
        <w:t xml:space="preserve">the enjoyment of </w:t>
      </w:r>
      <w:r w:rsidR="00961D5B" w:rsidRPr="000E1656">
        <w:t>human rights</w:t>
      </w:r>
      <w:r w:rsidR="0077043A">
        <w:t>,</w:t>
      </w:r>
      <w:r w:rsidR="00961D5B" w:rsidRPr="000E1656">
        <w:t xml:space="preserve"> and</w:t>
      </w:r>
      <w:r w:rsidR="00961D5B">
        <w:t xml:space="preserve"> </w:t>
      </w:r>
      <w:r w:rsidR="00961D5B" w:rsidRPr="000E1656">
        <w:t xml:space="preserve">23/9 of </w:t>
      </w:r>
      <w:r w:rsidR="00961D5B">
        <w:t>13</w:t>
      </w:r>
      <w:r w:rsidR="00961D5B" w:rsidRPr="000E1656">
        <w:t xml:space="preserve"> June 2013,</w:t>
      </w:r>
    </w:p>
    <w:p w:rsidR="000E1656" w:rsidRPr="000E1656" w:rsidRDefault="000E1656" w:rsidP="004F6F4F">
      <w:pPr>
        <w:pStyle w:val="SingleTxtG"/>
        <w:spacing w:line="240" w:lineRule="exact"/>
        <w:ind w:firstLine="567"/>
      </w:pPr>
      <w:r w:rsidRPr="001A6904">
        <w:rPr>
          <w:i/>
        </w:rPr>
        <w:t>Recalling also</w:t>
      </w:r>
      <w:r w:rsidRPr="001A6904">
        <w:t xml:space="preserve"> that the United Nations Convention against Corruption</w:t>
      </w:r>
      <w:r w:rsidR="004B4B95" w:rsidRPr="001A6904">
        <w:t>,</w:t>
      </w:r>
      <w:r w:rsidRPr="001A6904">
        <w:t xml:space="preserve"> </w:t>
      </w:r>
      <w:r w:rsidR="004B4B95" w:rsidRPr="001A6904">
        <w:t xml:space="preserve">to which </w:t>
      </w:r>
      <w:r w:rsidRPr="001A6904">
        <w:t xml:space="preserve">140 States </w:t>
      </w:r>
      <w:r w:rsidR="004B4B95" w:rsidRPr="001A6904">
        <w:t xml:space="preserve">are signatories </w:t>
      </w:r>
      <w:r w:rsidRPr="001A6904">
        <w:t xml:space="preserve">and 175 States are parties, is the most comprehensive and universal instrument on corruption since its entry into force on 14 December 2005, of which the purposes are outlined in </w:t>
      </w:r>
      <w:r w:rsidR="004B4B95" w:rsidRPr="001A6904">
        <w:t xml:space="preserve">its </w:t>
      </w:r>
      <w:r w:rsidRPr="001A6904">
        <w:t>article 1,</w:t>
      </w:r>
    </w:p>
    <w:p w:rsidR="000E1656" w:rsidRPr="000E1656" w:rsidRDefault="000E1656" w:rsidP="004F6F4F">
      <w:pPr>
        <w:pStyle w:val="SingleTxtG"/>
        <w:spacing w:line="240" w:lineRule="exact"/>
        <w:ind w:firstLine="567"/>
      </w:pPr>
      <w:r w:rsidRPr="00E603B8">
        <w:rPr>
          <w:i/>
        </w:rPr>
        <w:t>Noting with interest</w:t>
      </w:r>
      <w:r w:rsidRPr="000E1656">
        <w:t xml:space="preserve"> the</w:t>
      </w:r>
      <w:bookmarkStart w:id="0" w:name="_GoBack"/>
      <w:bookmarkEnd w:id="0"/>
      <w:r w:rsidRPr="000E1656">
        <w:t xml:space="preserve"> outcome</w:t>
      </w:r>
      <w:r w:rsidR="0014572A">
        <w:t>s</w:t>
      </w:r>
      <w:r w:rsidRPr="000E1656">
        <w:t xml:space="preserve"> of the third, fourth and fifth sessions of the Conference of the States Parties to the United Nations Convention against Corruption, held</w:t>
      </w:r>
      <w:r w:rsidR="0014572A">
        <w:t>,</w:t>
      </w:r>
      <w:r w:rsidRPr="000E1656">
        <w:t xml:space="preserve"> </w:t>
      </w:r>
      <w:r w:rsidR="0014572A">
        <w:t xml:space="preserve">respectively, </w:t>
      </w:r>
      <w:r w:rsidRPr="000E1656">
        <w:t xml:space="preserve">in Doha in 2009, in Marrakech, Morocco, in 2011, </w:t>
      </w:r>
      <w:r w:rsidR="0014572A">
        <w:t xml:space="preserve">and </w:t>
      </w:r>
      <w:r w:rsidRPr="000E1656">
        <w:t xml:space="preserve">in Panama City in </w:t>
      </w:r>
      <w:proofErr w:type="gramStart"/>
      <w:r w:rsidRPr="000E1656">
        <w:lastRenderedPageBreak/>
        <w:t>2013</w:t>
      </w:r>
      <w:r w:rsidR="0014572A">
        <w:t>,</w:t>
      </w:r>
      <w:proofErr w:type="gramEnd"/>
      <w:r w:rsidRPr="000E1656">
        <w:t xml:space="preserve"> and </w:t>
      </w:r>
      <w:r w:rsidR="0014572A">
        <w:t>looking</w:t>
      </w:r>
      <w:r w:rsidR="0014572A" w:rsidRPr="000E1656">
        <w:t xml:space="preserve"> </w:t>
      </w:r>
      <w:r w:rsidRPr="000E1656">
        <w:t xml:space="preserve">forward to the sixth session </w:t>
      </w:r>
      <w:r w:rsidR="0014572A" w:rsidRPr="000E1656">
        <w:t>of the Conference</w:t>
      </w:r>
      <w:r w:rsidR="0014572A">
        <w:t>,</w:t>
      </w:r>
      <w:r w:rsidR="0014572A" w:rsidRPr="000E1656">
        <w:t xml:space="preserve"> </w:t>
      </w:r>
      <w:r w:rsidR="0014572A">
        <w:t xml:space="preserve">to be held </w:t>
      </w:r>
      <w:r w:rsidRPr="000E1656">
        <w:t>in Saint Petersbur</w:t>
      </w:r>
      <w:r w:rsidR="00E603B8">
        <w:t>g,</w:t>
      </w:r>
      <w:r w:rsidR="0033132A">
        <w:t xml:space="preserve"> </w:t>
      </w:r>
      <w:r w:rsidR="00E603B8">
        <w:t>Russian Federation</w:t>
      </w:r>
      <w:r w:rsidR="0014572A">
        <w:t>,</w:t>
      </w:r>
      <w:r w:rsidR="00E603B8">
        <w:t xml:space="preserve"> in 2015,</w:t>
      </w:r>
    </w:p>
    <w:p w:rsidR="000E1656" w:rsidRPr="000E1656" w:rsidRDefault="000E1656" w:rsidP="004F6F4F">
      <w:pPr>
        <w:pStyle w:val="SingleTxtG"/>
        <w:spacing w:line="240" w:lineRule="exact"/>
        <w:ind w:firstLine="567"/>
      </w:pPr>
      <w:r w:rsidRPr="00E603B8">
        <w:rPr>
          <w:i/>
        </w:rPr>
        <w:t>Reaffirming</w:t>
      </w:r>
      <w:r w:rsidRPr="000E1656">
        <w:t xml:space="preserve"> that States have the primary responsibility for the promotion </w:t>
      </w:r>
      <w:r w:rsidR="00E603B8">
        <w:t>and protection of human rights,</w:t>
      </w:r>
    </w:p>
    <w:p w:rsidR="000E1656" w:rsidRPr="000E1656" w:rsidRDefault="000E1656" w:rsidP="004F6F4F">
      <w:pPr>
        <w:pStyle w:val="SingleTxtG"/>
        <w:spacing w:line="240" w:lineRule="exact"/>
        <w:ind w:firstLine="567"/>
      </w:pPr>
      <w:r w:rsidRPr="00E603B8">
        <w:rPr>
          <w:i/>
        </w:rPr>
        <w:t>Acknowledging</w:t>
      </w:r>
      <w:r w:rsidRPr="000E1656">
        <w:t xml:space="preserve"> that good governance has a central role in the promotion and protection of human rights </w:t>
      </w:r>
      <w:r w:rsidR="00F26F33">
        <w:t xml:space="preserve">and in </w:t>
      </w:r>
      <w:r w:rsidRPr="000E1656">
        <w:t xml:space="preserve">the prevention </w:t>
      </w:r>
      <w:r w:rsidR="00F26F33">
        <w:t xml:space="preserve">of </w:t>
      </w:r>
      <w:r w:rsidRPr="000E1656">
        <w:t>and the fight ag</w:t>
      </w:r>
      <w:r w:rsidR="00E603B8">
        <w:t>ainst corruption at all levels,</w:t>
      </w:r>
    </w:p>
    <w:p w:rsidR="000E1656" w:rsidRPr="000E1656" w:rsidRDefault="000E1656" w:rsidP="004F6F4F">
      <w:pPr>
        <w:pStyle w:val="SingleTxtG"/>
        <w:spacing w:line="240" w:lineRule="exact"/>
        <w:ind w:firstLine="567"/>
      </w:pPr>
      <w:r w:rsidRPr="00E603B8">
        <w:rPr>
          <w:i/>
        </w:rPr>
        <w:t>Deeply concerned</w:t>
      </w:r>
      <w:r w:rsidRPr="000E1656">
        <w:t xml:space="preserve"> about the increasing negative impact of widespread corruption on the enjoyment of all human rights, including by reducing the resources available for all sectors in development, thereby hampering the realization of all human rights,</w:t>
      </w:r>
    </w:p>
    <w:p w:rsidR="000E1656" w:rsidRPr="000E1656" w:rsidRDefault="000E1656" w:rsidP="004F6F4F">
      <w:pPr>
        <w:pStyle w:val="SingleTxtG"/>
        <w:spacing w:line="240" w:lineRule="exact"/>
        <w:ind w:firstLine="567"/>
      </w:pPr>
      <w:r w:rsidRPr="007E77BE">
        <w:rPr>
          <w:i/>
        </w:rPr>
        <w:t>Emphasizing</w:t>
      </w:r>
      <w:r w:rsidRPr="000E1656">
        <w:t xml:space="preserve"> that </w:t>
      </w:r>
      <w:r w:rsidR="00F26F33">
        <w:t>h</w:t>
      </w:r>
      <w:r w:rsidRPr="000E1656">
        <w:t xml:space="preserve">uman </w:t>
      </w:r>
      <w:r w:rsidR="00F26F33">
        <w:t>r</w:t>
      </w:r>
      <w:r w:rsidRPr="000E1656">
        <w:t xml:space="preserve">ights </w:t>
      </w:r>
      <w:r w:rsidR="00F26F33">
        <w:t>e</w:t>
      </w:r>
      <w:r w:rsidRPr="000E1656">
        <w:t>ducation and awareness-raising campaigns and other measures are important enablers for the prevention of and</w:t>
      </w:r>
      <w:r w:rsidR="00E603B8">
        <w:t xml:space="preserve"> the fight against corruption,</w:t>
      </w:r>
    </w:p>
    <w:p w:rsidR="000E1656" w:rsidRPr="000E1656" w:rsidRDefault="000E1656" w:rsidP="004F6F4F">
      <w:pPr>
        <w:pStyle w:val="SingleTxtG"/>
        <w:spacing w:line="240" w:lineRule="exact"/>
        <w:ind w:firstLine="567"/>
      </w:pPr>
      <w:r w:rsidRPr="00E603B8">
        <w:rPr>
          <w:i/>
        </w:rPr>
        <w:t>Recalling</w:t>
      </w:r>
      <w:r w:rsidRPr="000E1656">
        <w:t xml:space="preserve"> that transparency, access to information, accountability, non-discrimination and meaningful </w:t>
      </w:r>
      <w:r w:rsidRPr="00914E82">
        <w:t xml:space="preserve">participation are </w:t>
      </w:r>
      <w:r w:rsidR="00F26F33" w:rsidRPr="00914E82">
        <w:t xml:space="preserve">an </w:t>
      </w:r>
      <w:r w:rsidRPr="00914E82">
        <w:t xml:space="preserve">integral </w:t>
      </w:r>
      <w:r w:rsidR="00F26F33" w:rsidRPr="00914E82">
        <w:t xml:space="preserve">part of </w:t>
      </w:r>
      <w:r w:rsidRPr="00914E82">
        <w:t>sustainable</w:t>
      </w:r>
      <w:r w:rsidRPr="000E1656">
        <w:t xml:space="preserve"> and comprehe</w:t>
      </w:r>
      <w:r w:rsidR="00E603B8">
        <w:t>nsive anti-corruption measures,</w:t>
      </w:r>
    </w:p>
    <w:p w:rsidR="000E1656" w:rsidRPr="000E1656" w:rsidRDefault="000E1656" w:rsidP="004F6F4F">
      <w:pPr>
        <w:pStyle w:val="SingleTxtG"/>
        <w:spacing w:line="240" w:lineRule="exact"/>
        <w:ind w:firstLine="567"/>
      </w:pPr>
      <w:r w:rsidRPr="00E603B8">
        <w:rPr>
          <w:i/>
        </w:rPr>
        <w:t>Welcoming</w:t>
      </w:r>
      <w:r w:rsidRPr="000E1656">
        <w:t xml:space="preserve"> the commitment made by all States in the 2005 World Summit Outcome</w:t>
      </w:r>
      <w:r w:rsidR="00D15A3D">
        <w:rPr>
          <w:rStyle w:val="FootnoteReference"/>
        </w:rPr>
        <w:footnoteReference w:id="3"/>
      </w:r>
      <w:r w:rsidRPr="000E1656">
        <w:t xml:space="preserve"> to make the fight against corru</w:t>
      </w:r>
      <w:r w:rsidR="00E603B8">
        <w:t>ption a priority at all levels,</w:t>
      </w:r>
    </w:p>
    <w:p w:rsidR="000E1656" w:rsidRPr="000E1656" w:rsidRDefault="0077043A" w:rsidP="004F6F4F">
      <w:pPr>
        <w:pStyle w:val="SingleTxtG"/>
        <w:spacing w:line="240" w:lineRule="exact"/>
        <w:ind w:firstLine="567"/>
      </w:pPr>
      <w:r>
        <w:rPr>
          <w:i/>
        </w:rPr>
        <w:t>W</w:t>
      </w:r>
      <w:r w:rsidR="000E1656" w:rsidRPr="00E603B8">
        <w:rPr>
          <w:i/>
        </w:rPr>
        <w:t>elcoming</w:t>
      </w:r>
      <w:r w:rsidR="000E1656" w:rsidRPr="007A253F">
        <w:rPr>
          <w:i/>
        </w:rPr>
        <w:t xml:space="preserve"> </w:t>
      </w:r>
      <w:r w:rsidRPr="007A253F">
        <w:rPr>
          <w:i/>
        </w:rPr>
        <w:t>a</w:t>
      </w:r>
      <w:r w:rsidRPr="00E603B8">
        <w:rPr>
          <w:i/>
        </w:rPr>
        <w:t xml:space="preserve">lso </w:t>
      </w:r>
      <w:r w:rsidR="000E1656" w:rsidRPr="000E1656">
        <w:t xml:space="preserve">the engagement of States </w:t>
      </w:r>
      <w:r w:rsidR="00D15A3D">
        <w:t>p</w:t>
      </w:r>
      <w:r w:rsidR="000E1656" w:rsidRPr="000E1656">
        <w:t xml:space="preserve">arties to the </w:t>
      </w:r>
      <w:r w:rsidR="00D15A3D" w:rsidRPr="000E1656">
        <w:t xml:space="preserve">United Nations </w:t>
      </w:r>
      <w:r w:rsidR="000E1656" w:rsidRPr="000E1656">
        <w:t>Convention against Corruption through appropriate measures</w:t>
      </w:r>
      <w:r w:rsidR="00D15A3D">
        <w:t>,</w:t>
      </w:r>
      <w:r w:rsidR="000E1656" w:rsidRPr="000E1656">
        <w:t xml:space="preserve"> such as the development of </w:t>
      </w:r>
      <w:r w:rsidR="00D15A3D">
        <w:t>n</w:t>
      </w:r>
      <w:r w:rsidR="000E1656" w:rsidRPr="000E1656">
        <w:t xml:space="preserve">ational </w:t>
      </w:r>
      <w:r w:rsidR="00D15A3D">
        <w:t>a</w:t>
      </w:r>
      <w:r w:rsidR="000E1656" w:rsidRPr="000E1656">
        <w:t xml:space="preserve">ction </w:t>
      </w:r>
      <w:r w:rsidR="00D15A3D">
        <w:t>p</w:t>
      </w:r>
      <w:r w:rsidR="000E1656" w:rsidRPr="000E1656">
        <w:t xml:space="preserve">lans to strengthen implementation of the Convention </w:t>
      </w:r>
      <w:r w:rsidR="00D15A3D">
        <w:t xml:space="preserve">at the domestic level and </w:t>
      </w:r>
      <w:r w:rsidR="000E1656" w:rsidRPr="000E1656">
        <w:t>through the</w:t>
      </w:r>
      <w:r w:rsidR="00D15A3D" w:rsidRPr="007A253F">
        <w:t xml:space="preserve"> Mechanism for the Review of Implementation of the United Nations Convention against Corruption</w:t>
      </w:r>
      <w:r w:rsidR="000E1656" w:rsidRPr="000E1656">
        <w:t xml:space="preserve">, aimed at identifying gaps and assisting countries </w:t>
      </w:r>
      <w:r w:rsidR="00A83D30">
        <w:t xml:space="preserve">in meeting </w:t>
      </w:r>
      <w:r w:rsidR="00E603B8">
        <w:t xml:space="preserve">the objectives of </w:t>
      </w:r>
      <w:r w:rsidR="004B4B95">
        <w:t xml:space="preserve">the </w:t>
      </w:r>
      <w:r w:rsidR="004B4B95" w:rsidRPr="000E1656">
        <w:t>Convention</w:t>
      </w:r>
      <w:r w:rsidR="00E603B8">
        <w:t>,</w:t>
      </w:r>
    </w:p>
    <w:p w:rsidR="000E1656" w:rsidRPr="000E1656" w:rsidRDefault="0077043A" w:rsidP="004F6F4F">
      <w:pPr>
        <w:pStyle w:val="SingleTxtG"/>
        <w:spacing w:line="240" w:lineRule="exact"/>
        <w:ind w:firstLine="567"/>
      </w:pPr>
      <w:r>
        <w:rPr>
          <w:i/>
        </w:rPr>
        <w:t>W</w:t>
      </w:r>
      <w:r w:rsidR="000E1656" w:rsidRPr="00E603B8">
        <w:rPr>
          <w:i/>
        </w:rPr>
        <w:t>elcoming</w:t>
      </w:r>
      <w:r w:rsidR="000E1656" w:rsidRPr="007A253F">
        <w:rPr>
          <w:i/>
        </w:rPr>
        <w:t xml:space="preserve"> </w:t>
      </w:r>
      <w:r w:rsidRPr="007A253F">
        <w:rPr>
          <w:i/>
        </w:rPr>
        <w:t>f</w:t>
      </w:r>
      <w:r w:rsidRPr="00E603B8">
        <w:rPr>
          <w:i/>
        </w:rPr>
        <w:t xml:space="preserve">urther </w:t>
      </w:r>
      <w:r w:rsidR="000E1656" w:rsidRPr="000E1656">
        <w:t>efforts to address corruption in the ongoing negotiations of the post-2015 development agenda, in particular the proposed target on substantially reducing corruption and bribery in all their forms,</w:t>
      </w:r>
    </w:p>
    <w:p w:rsidR="000E1656" w:rsidRPr="000E1656" w:rsidRDefault="000E1656" w:rsidP="004F6F4F">
      <w:pPr>
        <w:pStyle w:val="SingleTxtG"/>
        <w:spacing w:line="240" w:lineRule="exact"/>
        <w:ind w:firstLine="567"/>
      </w:pPr>
      <w:r w:rsidRPr="00E603B8">
        <w:rPr>
          <w:i/>
        </w:rPr>
        <w:t>Welcoming</w:t>
      </w:r>
      <w:r w:rsidRPr="000E1656">
        <w:t xml:space="preserve"> the joint statement on the negative impact of corruption on the enjoyment of human rights made on behalf of </w:t>
      </w:r>
      <w:r w:rsidR="00DF6BE0">
        <w:t xml:space="preserve">134 </w:t>
      </w:r>
      <w:r w:rsidRPr="000E1656">
        <w:t>States Members of the United Nations at the twentieth session of the Human Rights Council,</w:t>
      </w:r>
    </w:p>
    <w:p w:rsidR="000E1656" w:rsidRPr="000E1656" w:rsidRDefault="000E1656" w:rsidP="004F6F4F">
      <w:pPr>
        <w:pStyle w:val="SingleTxtG"/>
        <w:spacing w:line="240" w:lineRule="exact"/>
        <w:ind w:firstLine="567"/>
      </w:pPr>
      <w:r w:rsidRPr="00E603B8">
        <w:rPr>
          <w:i/>
        </w:rPr>
        <w:t>Welcoming also</w:t>
      </w:r>
      <w:r w:rsidRPr="000E1656">
        <w:t xml:space="preserve"> the holding by the Human Rights Council, at its twenty-second session, of a panel discussion on the negative impact of corruption on the enjoyment of human rights,</w:t>
      </w:r>
    </w:p>
    <w:p w:rsidR="000E1656" w:rsidRPr="000E1656" w:rsidRDefault="000E1656" w:rsidP="004F6F4F">
      <w:pPr>
        <w:pStyle w:val="SingleTxtG"/>
        <w:spacing w:line="240" w:lineRule="exact"/>
      </w:pPr>
      <w:r>
        <w:tab/>
        <w:t>1.</w:t>
      </w:r>
      <w:r>
        <w:tab/>
      </w:r>
      <w:r w:rsidRPr="00E603B8">
        <w:rPr>
          <w:i/>
        </w:rPr>
        <w:t>Takes note</w:t>
      </w:r>
      <w:r w:rsidRPr="000E1656">
        <w:t xml:space="preserve"> </w:t>
      </w:r>
      <w:r w:rsidR="00F6613D" w:rsidRPr="007A253F">
        <w:rPr>
          <w:i/>
        </w:rPr>
        <w:t>with interest</w:t>
      </w:r>
      <w:r w:rsidR="00F6613D" w:rsidRPr="000E1656">
        <w:t xml:space="preserve"> </w:t>
      </w:r>
      <w:r w:rsidRPr="000E1656">
        <w:t xml:space="preserve">of the </w:t>
      </w:r>
      <w:r w:rsidR="009172D1">
        <w:t>f</w:t>
      </w:r>
      <w:r w:rsidRPr="000E1656">
        <w:t>inal report of the Human Rights Council Advisory Committee on the issue of the negative impact of corruption on the enjoyment of human rights;</w:t>
      </w:r>
      <w:r w:rsidR="00673EFE">
        <w:rPr>
          <w:rStyle w:val="FootnoteReference"/>
        </w:rPr>
        <w:footnoteReference w:id="4"/>
      </w:r>
    </w:p>
    <w:p w:rsidR="000E1656" w:rsidRPr="000E1656" w:rsidRDefault="000E1656" w:rsidP="004F6F4F">
      <w:pPr>
        <w:pStyle w:val="SingleTxtG"/>
        <w:spacing w:line="240" w:lineRule="exact"/>
      </w:pPr>
      <w:r>
        <w:tab/>
        <w:t>2.</w:t>
      </w:r>
      <w:r>
        <w:tab/>
      </w:r>
      <w:r w:rsidRPr="00E603B8">
        <w:rPr>
          <w:i/>
        </w:rPr>
        <w:t>Urges</w:t>
      </w:r>
      <w:r w:rsidRPr="000E1656">
        <w:t xml:space="preserve"> States that have not yet done so to consider ratifying or acceding to the United Nations Convention against Corruption, and </w:t>
      </w:r>
      <w:r w:rsidR="0070690E" w:rsidRPr="000E1656">
        <w:t>call</w:t>
      </w:r>
      <w:r w:rsidR="0070690E">
        <w:t>s upon</w:t>
      </w:r>
      <w:r w:rsidR="0070690E" w:rsidRPr="000E1656">
        <w:t xml:space="preserve"> </w:t>
      </w:r>
      <w:r w:rsidRPr="000E1656">
        <w:t>on States</w:t>
      </w:r>
      <w:r w:rsidR="009172D1">
        <w:t xml:space="preserve"> p</w:t>
      </w:r>
      <w:r w:rsidRPr="000E1656">
        <w:t>arties to the Convention to implement it;</w:t>
      </w:r>
    </w:p>
    <w:p w:rsidR="000E1656" w:rsidRPr="000E1656" w:rsidRDefault="000E1656" w:rsidP="004F6F4F">
      <w:pPr>
        <w:pStyle w:val="SingleTxtG"/>
        <w:spacing w:line="240" w:lineRule="exact"/>
      </w:pPr>
      <w:r>
        <w:tab/>
        <w:t>3.</w:t>
      </w:r>
      <w:r>
        <w:tab/>
      </w:r>
      <w:r w:rsidRPr="00E603B8">
        <w:rPr>
          <w:i/>
        </w:rPr>
        <w:t>Underlines</w:t>
      </w:r>
      <w:r w:rsidRPr="000E1656">
        <w:t xml:space="preserve"> the necessity to step up cooperation and coordination among different stakeholders at </w:t>
      </w:r>
      <w:r w:rsidR="009172D1">
        <w:t xml:space="preserve">the </w:t>
      </w:r>
      <w:r w:rsidRPr="000E1656">
        <w:t xml:space="preserve">national, regional and international levels to fight corruption in all its forms </w:t>
      </w:r>
      <w:r w:rsidR="00E76864" w:rsidRPr="00BB3BD3">
        <w:t xml:space="preserve">as a means of contributing </w:t>
      </w:r>
      <w:r w:rsidRPr="000E1656">
        <w:t xml:space="preserve">positively to the promotion </w:t>
      </w:r>
      <w:r>
        <w:t>and protection of human rights;</w:t>
      </w:r>
    </w:p>
    <w:p w:rsidR="000E1656" w:rsidRPr="000E1656" w:rsidRDefault="000E1656" w:rsidP="004F6F4F">
      <w:pPr>
        <w:pStyle w:val="SingleTxtG"/>
        <w:spacing w:line="240" w:lineRule="exact"/>
      </w:pPr>
      <w:r>
        <w:lastRenderedPageBreak/>
        <w:tab/>
        <w:t>4.</w:t>
      </w:r>
      <w:r>
        <w:tab/>
      </w:r>
      <w:r w:rsidRPr="00E603B8">
        <w:rPr>
          <w:i/>
        </w:rPr>
        <w:t>Stresses</w:t>
      </w:r>
      <w:r w:rsidRPr="000E1656">
        <w:t xml:space="preserve"> that preventive measures are one of the most effective means of countering corruption and of avoiding its negative impact on the enjoyment of human rights</w:t>
      </w:r>
      <w:r w:rsidR="00F81DD6">
        <w:t>,</w:t>
      </w:r>
      <w:r w:rsidRPr="000E1656">
        <w:t xml:space="preserve"> calls </w:t>
      </w:r>
      <w:r w:rsidR="00F81DD6">
        <w:t xml:space="preserve">for </w:t>
      </w:r>
      <w:r w:rsidRPr="000E1656">
        <w:t>the strengthening of prevention measures at all levels, and underlines that one key aspect of preventive measures is to address the needs of groups in vulnerable situations who may be t</w:t>
      </w:r>
      <w:r>
        <w:t>he first victims of corruption;</w:t>
      </w:r>
    </w:p>
    <w:p w:rsidR="000E1656" w:rsidRPr="000E1656" w:rsidRDefault="000E1656" w:rsidP="004F6F4F">
      <w:pPr>
        <w:pStyle w:val="SingleTxtG"/>
        <w:spacing w:line="240" w:lineRule="exact"/>
      </w:pPr>
      <w:r>
        <w:tab/>
        <w:t>5.</w:t>
      </w:r>
      <w:r>
        <w:tab/>
      </w:r>
      <w:r w:rsidRPr="00E603B8">
        <w:rPr>
          <w:i/>
        </w:rPr>
        <w:t>Recognizes</w:t>
      </w:r>
      <w:r w:rsidRPr="000E1656">
        <w:t xml:space="preserve"> that the negative impact of corruption on human rights and sustainable development can be combated through anti-corruption education</w:t>
      </w:r>
      <w:r w:rsidR="00F81DD6">
        <w:t>,</w:t>
      </w:r>
      <w:r w:rsidRPr="000E1656">
        <w:t xml:space="preserve"> and notes with appreciation the capacity-building activities and specialized curricula developed by relevant institutions</w:t>
      </w:r>
      <w:r w:rsidR="00F81DD6">
        <w:t>,</w:t>
      </w:r>
      <w:r w:rsidRPr="000E1656">
        <w:t xml:space="preserve"> such as </w:t>
      </w:r>
      <w:r w:rsidR="00F81DD6">
        <w:t xml:space="preserve">the </w:t>
      </w:r>
      <w:r w:rsidRPr="000E1656">
        <w:t>United Nations Office on Drugs and Crime and the International Anti-Corruption Academy;</w:t>
      </w:r>
    </w:p>
    <w:p w:rsidR="000E1656" w:rsidRPr="000E1656" w:rsidRDefault="000E1656" w:rsidP="004F6F4F">
      <w:pPr>
        <w:pStyle w:val="SingleTxtG"/>
        <w:spacing w:line="240" w:lineRule="exact"/>
      </w:pPr>
      <w:r>
        <w:tab/>
        <w:t>6.</w:t>
      </w:r>
      <w:r>
        <w:tab/>
      </w:r>
      <w:r w:rsidRPr="00E603B8">
        <w:rPr>
          <w:i/>
        </w:rPr>
        <w:t>Encourages</w:t>
      </w:r>
      <w:r w:rsidRPr="000E1656">
        <w:t xml:space="preserve"> consideration of the need for cooperation between national anti-corruption authorities and </w:t>
      </w:r>
      <w:r w:rsidR="0082068A">
        <w:t>n</w:t>
      </w:r>
      <w:r w:rsidRPr="000E1656">
        <w:t xml:space="preserve">ational </w:t>
      </w:r>
      <w:r w:rsidR="0082068A">
        <w:t>h</w:t>
      </w:r>
      <w:r w:rsidRPr="000E1656">
        <w:t xml:space="preserve">uman </w:t>
      </w:r>
      <w:r w:rsidR="0082068A">
        <w:t>r</w:t>
      </w:r>
      <w:r w:rsidRPr="000E1656">
        <w:t xml:space="preserve">ights </w:t>
      </w:r>
      <w:r w:rsidR="0082068A">
        <w:t>i</w:t>
      </w:r>
      <w:r w:rsidRPr="000E1656">
        <w:t xml:space="preserve">nstitutions, where they exist, through </w:t>
      </w:r>
      <w:r w:rsidR="0082068A">
        <w:t xml:space="preserve">the </w:t>
      </w:r>
      <w:r w:rsidRPr="000E1656">
        <w:t>exchange of information, where appropriate, and the development of joint strategies and action plans to fight corruption and its negative effects on</w:t>
      </w:r>
      <w:r>
        <w:t xml:space="preserve"> the enjoyment of </w:t>
      </w:r>
      <w:r w:rsidR="0082068A">
        <w:t>h</w:t>
      </w:r>
      <w:r>
        <w:t xml:space="preserve">uman </w:t>
      </w:r>
      <w:r w:rsidR="0082068A">
        <w:t>r</w:t>
      </w:r>
      <w:r>
        <w:t>ights;</w:t>
      </w:r>
    </w:p>
    <w:p w:rsidR="000E1656" w:rsidRPr="000E1656" w:rsidRDefault="000E1656" w:rsidP="004F6F4F">
      <w:pPr>
        <w:pStyle w:val="SingleTxtG"/>
        <w:spacing w:line="240" w:lineRule="exact"/>
      </w:pPr>
      <w:r>
        <w:tab/>
        <w:t>7.</w:t>
      </w:r>
      <w:r>
        <w:tab/>
      </w:r>
      <w:r w:rsidRPr="00E603B8">
        <w:rPr>
          <w:i/>
        </w:rPr>
        <w:t>Invites</w:t>
      </w:r>
      <w:r w:rsidRPr="000E1656">
        <w:t xml:space="preserve"> the Office of the </w:t>
      </w:r>
      <w:r w:rsidR="0082068A">
        <w:t xml:space="preserve">United Nations </w:t>
      </w:r>
      <w:r w:rsidRPr="000E1656">
        <w:t xml:space="preserve">High Commissioner for Human Rights and the United Nations Office on Drugs and Crime, as the </w:t>
      </w:r>
      <w:r w:rsidR="0082068A">
        <w:t>s</w:t>
      </w:r>
      <w:r w:rsidRPr="000E1656">
        <w:t>ecretariat of the Conference of States Parties to the United Nations Convention against Corruption, to exchange views to deepen the understanding of the</w:t>
      </w:r>
      <w:r>
        <w:t xml:space="preserve"> </w:t>
      </w:r>
      <w:r w:rsidR="0082068A">
        <w:t xml:space="preserve">nexus between </w:t>
      </w:r>
      <w:r>
        <w:t>corruption</w:t>
      </w:r>
      <w:r w:rsidR="0082068A">
        <w:t xml:space="preserve"> and </w:t>
      </w:r>
      <w:r>
        <w:t>human rights;</w:t>
      </w:r>
    </w:p>
    <w:p w:rsidR="000E1656" w:rsidRPr="000E1656" w:rsidRDefault="000E1656" w:rsidP="004F6F4F">
      <w:pPr>
        <w:pStyle w:val="SingleTxtG"/>
        <w:spacing w:line="240" w:lineRule="exact"/>
        <w:ind w:firstLine="567"/>
      </w:pPr>
      <w:r>
        <w:t>8.</w:t>
      </w:r>
      <w:r>
        <w:tab/>
      </w:r>
      <w:r w:rsidRPr="00E603B8">
        <w:rPr>
          <w:i/>
        </w:rPr>
        <w:t>Encourages</w:t>
      </w:r>
      <w:r w:rsidRPr="000E1656">
        <w:t xml:space="preserve"> </w:t>
      </w:r>
      <w:r w:rsidR="0082068A">
        <w:t xml:space="preserve">the </w:t>
      </w:r>
      <w:r w:rsidRPr="000E1656">
        <w:t>mechanisms of the Human Rights Council to consider, within their existing mandates, the issue of the negative impact of corruption on the enjoyment of human rights;</w:t>
      </w:r>
    </w:p>
    <w:p w:rsidR="000E1656" w:rsidRPr="000E1656" w:rsidRDefault="000E1656" w:rsidP="004F6F4F">
      <w:pPr>
        <w:pStyle w:val="SingleTxtG"/>
        <w:spacing w:line="240" w:lineRule="exact"/>
      </w:pPr>
      <w:r>
        <w:tab/>
        <w:t>9.</w:t>
      </w:r>
      <w:r>
        <w:tab/>
      </w:r>
      <w:r w:rsidRPr="00E603B8">
        <w:rPr>
          <w:i/>
        </w:rPr>
        <w:t>Requests</w:t>
      </w:r>
      <w:r w:rsidRPr="000E1656">
        <w:t xml:space="preserve"> the High Commissioner to prepare a compilation of </w:t>
      </w:r>
      <w:r w:rsidR="0078076B">
        <w:t>b</w:t>
      </w:r>
      <w:r w:rsidRPr="000E1656">
        <w:t xml:space="preserve">est </w:t>
      </w:r>
      <w:r w:rsidR="0078076B">
        <w:t>p</w:t>
      </w:r>
      <w:r w:rsidRPr="000E1656">
        <w:t xml:space="preserve">ractices of efforts to counter </w:t>
      </w:r>
      <w:r w:rsidR="0078076B">
        <w:t xml:space="preserve">the </w:t>
      </w:r>
      <w:r w:rsidRPr="000E1656">
        <w:t xml:space="preserve">negative impact of corruption on the enjoyment of all human rights developed by States, </w:t>
      </w:r>
      <w:r w:rsidR="0078076B">
        <w:t>n</w:t>
      </w:r>
      <w:r w:rsidRPr="000E1656">
        <w:t xml:space="preserve">ational </w:t>
      </w:r>
      <w:r w:rsidR="0078076B">
        <w:t>h</w:t>
      </w:r>
      <w:r w:rsidRPr="000E1656">
        <w:t xml:space="preserve">uman </w:t>
      </w:r>
      <w:r w:rsidR="0078076B">
        <w:t>r</w:t>
      </w:r>
      <w:r w:rsidRPr="000E1656">
        <w:t xml:space="preserve">ights </w:t>
      </w:r>
      <w:r w:rsidR="0078076B">
        <w:t>i</w:t>
      </w:r>
      <w:r w:rsidRPr="000E1656">
        <w:t>nstitutions, national anti-corruption authorities, civil society and academia, with a view to submit</w:t>
      </w:r>
      <w:r w:rsidR="0078076B">
        <w:t>ting</w:t>
      </w:r>
      <w:r w:rsidRPr="000E1656">
        <w:t xml:space="preserve"> it </w:t>
      </w:r>
      <w:r w:rsidR="0078076B">
        <w:t xml:space="preserve">the Council at its thirty-second </w:t>
      </w:r>
      <w:r w:rsidRPr="000E1656">
        <w:t>session.</w:t>
      </w:r>
    </w:p>
    <w:p w:rsidR="002F006E" w:rsidRPr="003D206B" w:rsidRDefault="003D206B" w:rsidP="004F6F4F">
      <w:pPr>
        <w:pStyle w:val="SingleTxtG"/>
        <w:spacing w:before="240" w:after="0" w:line="240" w:lineRule="exact"/>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EE2A77">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14F" w:rsidRDefault="0041714F"/>
  </w:endnote>
  <w:endnote w:type="continuationSeparator" w:id="0">
    <w:p w:rsidR="0041714F" w:rsidRDefault="0041714F"/>
  </w:endnote>
  <w:endnote w:type="continuationNotice" w:id="1">
    <w:p w:rsidR="0041714F" w:rsidRDefault="00417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CE28A3">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CE28A3">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542574">
    <w:r>
      <w:t>GE.</w:t>
    </w:r>
    <w:r w:rsidR="00674C17">
      <w:t>1</w:t>
    </w:r>
    <w:r w:rsidR="009F34F1">
      <w:t>5-</w:t>
    </w:r>
    <w:r w:rsidR="00CE28A3">
      <w:rPr>
        <w:noProof/>
        <w:lang w:eastAsia="zh-CN"/>
      </w:rPr>
      <w:drawing>
        <wp:anchor distT="0" distB="0" distL="114300" distR="114300" simplePos="0" relativeHeight="251659264" behindDoc="0" locked="0" layoutInCell="1" allowOverlap="1" wp14:anchorId="07460AE6" wp14:editId="251CD739">
          <wp:simplePos x="0" y="0"/>
          <wp:positionH relativeFrom="margin">
            <wp:posOffset>4283710</wp:posOffset>
          </wp:positionH>
          <wp:positionV relativeFrom="margin">
            <wp:posOffset>8207375</wp:posOffset>
          </wp:positionV>
          <wp:extent cx="927279" cy="231820"/>
          <wp:effectExtent l="0" t="0" r="635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279" cy="231820"/>
                  </a:xfrm>
                  <a:prstGeom prst="rect">
                    <a:avLst/>
                  </a:prstGeom>
                  <a:noFill/>
                </pic:spPr>
              </pic:pic>
            </a:graphicData>
          </a:graphic>
          <wp14:sizeRelH relativeFrom="page">
            <wp14:pctWidth>0</wp14:pctWidth>
          </wp14:sizeRelH>
          <wp14:sizeRelV relativeFrom="page">
            <wp14:pctHeight>0</wp14:pctHeight>
          </wp14:sizeRelV>
        </wp:anchor>
      </w:drawing>
    </w:r>
    <w:r w:rsidR="00CE28A3">
      <w:rPr>
        <w:noProof/>
        <w:lang w:eastAsia="zh-CN"/>
      </w:rPr>
      <w:t>10763  (E)</w:t>
    </w:r>
    <w:r w:rsidR="00CE28A3">
      <w:rPr>
        <w:noProof/>
        <w:lang w:eastAsia="zh-CN"/>
      </w:rPr>
      <w:br/>
    </w:r>
    <w:r w:rsidR="00CE28A3" w:rsidRPr="00CE28A3">
      <w:rPr>
        <w:rFonts w:ascii="C39T30Lfz" w:hAnsi="C39T30Lfz"/>
        <w:sz w:val="56"/>
      </w:rPr>
      <w:t></w:t>
    </w:r>
    <w:r w:rsidR="00CE28A3" w:rsidRPr="00CE28A3">
      <w:rPr>
        <w:rFonts w:ascii="C39T30Lfz" w:hAnsi="C39T30Lfz"/>
        <w:sz w:val="56"/>
      </w:rPr>
      <w:t></w:t>
    </w:r>
    <w:r w:rsidR="00CE28A3" w:rsidRPr="00CE28A3">
      <w:rPr>
        <w:rFonts w:ascii="C39T30Lfz" w:hAnsi="C39T30Lfz"/>
        <w:sz w:val="56"/>
      </w:rPr>
      <w:t></w:t>
    </w:r>
    <w:r w:rsidR="00CE28A3" w:rsidRPr="00CE28A3">
      <w:rPr>
        <w:rFonts w:ascii="C39T30Lfz" w:hAnsi="C39T30Lfz"/>
        <w:sz w:val="56"/>
      </w:rPr>
      <w:t></w:t>
    </w:r>
    <w:r w:rsidR="00CE28A3" w:rsidRPr="00CE28A3">
      <w:rPr>
        <w:rFonts w:ascii="C39T30Lfz" w:hAnsi="C39T30Lfz"/>
        <w:sz w:val="56"/>
      </w:rPr>
      <w:t></w:t>
    </w:r>
    <w:r w:rsidR="00CE28A3" w:rsidRPr="00CE28A3">
      <w:rPr>
        <w:rFonts w:ascii="C39T30Lfz" w:hAnsi="C39T30Lfz"/>
        <w:sz w:val="56"/>
      </w:rPr>
      <w:t></w:t>
    </w:r>
    <w:r w:rsidR="00CE28A3" w:rsidRPr="00CE28A3">
      <w:rPr>
        <w:rFonts w:ascii="C39T30Lfz" w:hAnsi="C39T30Lfz"/>
        <w:sz w:val="56"/>
      </w:rPr>
      <w:t></w:t>
    </w:r>
    <w:r w:rsidR="00CE28A3" w:rsidRPr="00CE28A3">
      <w:rPr>
        <w:rFonts w:ascii="C39T30Lfz" w:hAnsi="C39T30Lfz"/>
        <w:sz w:val="56"/>
      </w:rPr>
      <w:t></w:t>
    </w:r>
    <w:r w:rsidR="00CE28A3" w:rsidRPr="00CE28A3">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14F" w:rsidRPr="000B175B" w:rsidRDefault="0041714F" w:rsidP="000B175B">
      <w:pPr>
        <w:tabs>
          <w:tab w:val="right" w:pos="2155"/>
        </w:tabs>
        <w:spacing w:after="80"/>
        <w:ind w:left="680"/>
        <w:rPr>
          <w:u w:val="single"/>
        </w:rPr>
      </w:pPr>
      <w:r>
        <w:rPr>
          <w:u w:val="single"/>
        </w:rPr>
        <w:tab/>
      </w:r>
    </w:p>
  </w:footnote>
  <w:footnote w:type="continuationSeparator" w:id="0">
    <w:p w:rsidR="0041714F" w:rsidRPr="00FC68B7" w:rsidRDefault="0041714F" w:rsidP="00FC68B7">
      <w:pPr>
        <w:tabs>
          <w:tab w:val="left" w:pos="2155"/>
        </w:tabs>
        <w:spacing w:after="80"/>
        <w:ind w:left="680"/>
        <w:rPr>
          <w:u w:val="single"/>
        </w:rPr>
      </w:pPr>
      <w:r>
        <w:rPr>
          <w:u w:val="single"/>
        </w:rPr>
        <w:tab/>
      </w:r>
    </w:p>
  </w:footnote>
  <w:footnote w:type="continuationNotice" w:id="1">
    <w:p w:rsidR="0041714F" w:rsidRDefault="0041714F"/>
  </w:footnote>
  <w:footnote w:id="2">
    <w:p w:rsidR="00891F92" w:rsidRPr="00891F92" w:rsidRDefault="00891F92">
      <w:pPr>
        <w:pStyle w:val="FootnoteText"/>
      </w:pPr>
      <w:r>
        <w:rPr>
          <w:rStyle w:val="FootnoteReference"/>
        </w:rPr>
        <w:tab/>
      </w:r>
      <w:r w:rsidRPr="00891F92">
        <w:rPr>
          <w:rStyle w:val="FootnoteReference"/>
          <w:sz w:val="20"/>
          <w:vertAlign w:val="baseline"/>
        </w:rPr>
        <w:t>*</w:t>
      </w:r>
      <w:r>
        <w:rPr>
          <w:rStyle w:val="FootnoteReference"/>
          <w:sz w:val="20"/>
          <w:vertAlign w:val="baseline"/>
        </w:rPr>
        <w:tab/>
      </w:r>
      <w:proofErr w:type="gramStart"/>
      <w:r w:rsidRPr="00891F92">
        <w:t>Non-member State of the Human Rights Council</w:t>
      </w:r>
      <w:r>
        <w:t>.</w:t>
      </w:r>
      <w:proofErr w:type="gramEnd"/>
    </w:p>
  </w:footnote>
  <w:footnote w:id="3">
    <w:p w:rsidR="00D15A3D" w:rsidRPr="007A253F" w:rsidRDefault="003020A9">
      <w:pPr>
        <w:pStyle w:val="FootnoteText"/>
        <w:rPr>
          <w:lang w:val="en-US"/>
        </w:rPr>
      </w:pPr>
      <w:r>
        <w:tab/>
      </w:r>
      <w:r w:rsidR="00D15A3D">
        <w:rPr>
          <w:rStyle w:val="FootnoteReference"/>
        </w:rPr>
        <w:footnoteRef/>
      </w:r>
      <w:r>
        <w:tab/>
      </w:r>
      <w:proofErr w:type="gramStart"/>
      <w:r w:rsidR="00D15A3D">
        <w:rPr>
          <w:lang w:val="en-US"/>
        </w:rPr>
        <w:t>General Assembly resolution 60/1.</w:t>
      </w:r>
      <w:proofErr w:type="gramEnd"/>
      <w:r w:rsidR="00D15A3D">
        <w:rPr>
          <w:lang w:val="en-US"/>
        </w:rPr>
        <w:t xml:space="preserve"> </w:t>
      </w:r>
    </w:p>
  </w:footnote>
  <w:footnote w:id="4">
    <w:p w:rsidR="00673EFE" w:rsidRPr="007A253F" w:rsidRDefault="003020A9">
      <w:pPr>
        <w:pStyle w:val="FootnoteText"/>
        <w:rPr>
          <w:lang w:val="en-US"/>
        </w:rPr>
      </w:pPr>
      <w:r>
        <w:tab/>
      </w:r>
      <w:r w:rsidR="00673EFE">
        <w:rPr>
          <w:rStyle w:val="FootnoteReference"/>
        </w:rPr>
        <w:footnoteRef/>
      </w:r>
      <w:r>
        <w:tab/>
      </w:r>
      <w:proofErr w:type="gramStart"/>
      <w:r w:rsidR="00673EFE">
        <w:t>A/HRC/28/73.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032232">
      <w:t>2</w:t>
    </w:r>
    <w:r w:rsidR="00111F87">
      <w:t>9</w:t>
    </w:r>
    <w:r>
      <w:t>/L.</w:t>
    </w:r>
    <w:r w:rsidR="002F3CBE">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A/HRC/2</w:t>
    </w:r>
    <w:r w:rsidR="00111F87">
      <w:t>9</w:t>
    </w:r>
    <w:r>
      <w:t>/L.</w:t>
    </w:r>
    <w:r w:rsidR="002F3CBE">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7F7F"/>
    <w:rsid w:val="00022DB5"/>
    <w:rsid w:val="0003179F"/>
    <w:rsid w:val="00032232"/>
    <w:rsid w:val="000403D1"/>
    <w:rsid w:val="00042566"/>
    <w:rsid w:val="000449AA"/>
    <w:rsid w:val="00050F6B"/>
    <w:rsid w:val="0005216E"/>
    <w:rsid w:val="0005495E"/>
    <w:rsid w:val="00072C8C"/>
    <w:rsid w:val="00073E70"/>
    <w:rsid w:val="000835E3"/>
    <w:rsid w:val="000876EB"/>
    <w:rsid w:val="00091419"/>
    <w:rsid w:val="000931C0"/>
    <w:rsid w:val="000B175B"/>
    <w:rsid w:val="000B3A0F"/>
    <w:rsid w:val="000B4A3B"/>
    <w:rsid w:val="000C1A0E"/>
    <w:rsid w:val="000D1851"/>
    <w:rsid w:val="000E0415"/>
    <w:rsid w:val="000E1656"/>
    <w:rsid w:val="00111F87"/>
    <w:rsid w:val="00114904"/>
    <w:rsid w:val="0014572A"/>
    <w:rsid w:val="00146D32"/>
    <w:rsid w:val="001509BA"/>
    <w:rsid w:val="00153FA2"/>
    <w:rsid w:val="001A6904"/>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C21F0"/>
    <w:rsid w:val="002D4176"/>
    <w:rsid w:val="002E7C76"/>
    <w:rsid w:val="002F006E"/>
    <w:rsid w:val="002F3CBE"/>
    <w:rsid w:val="003020A9"/>
    <w:rsid w:val="003107FA"/>
    <w:rsid w:val="003229D8"/>
    <w:rsid w:val="0033132A"/>
    <w:rsid w:val="003314D1"/>
    <w:rsid w:val="00335A2F"/>
    <w:rsid w:val="00341937"/>
    <w:rsid w:val="00390052"/>
    <w:rsid w:val="0039277A"/>
    <w:rsid w:val="003972E0"/>
    <w:rsid w:val="003975ED"/>
    <w:rsid w:val="003C2CC4"/>
    <w:rsid w:val="003C7201"/>
    <w:rsid w:val="003D0E57"/>
    <w:rsid w:val="003D206B"/>
    <w:rsid w:val="003D4B23"/>
    <w:rsid w:val="0041714F"/>
    <w:rsid w:val="00424C80"/>
    <w:rsid w:val="00427510"/>
    <w:rsid w:val="004325CB"/>
    <w:rsid w:val="0044503A"/>
    <w:rsid w:val="004453BF"/>
    <w:rsid w:val="00446DE4"/>
    <w:rsid w:val="00447761"/>
    <w:rsid w:val="00451EC3"/>
    <w:rsid w:val="004721B1"/>
    <w:rsid w:val="00472982"/>
    <w:rsid w:val="004859EC"/>
    <w:rsid w:val="00487B50"/>
    <w:rsid w:val="00496A15"/>
    <w:rsid w:val="004A6D3A"/>
    <w:rsid w:val="004B4B95"/>
    <w:rsid w:val="004B75D2"/>
    <w:rsid w:val="004D1140"/>
    <w:rsid w:val="004D60A4"/>
    <w:rsid w:val="004F55ED"/>
    <w:rsid w:val="004F6F4F"/>
    <w:rsid w:val="0052176C"/>
    <w:rsid w:val="005261E5"/>
    <w:rsid w:val="005420F2"/>
    <w:rsid w:val="00542574"/>
    <w:rsid w:val="005436AB"/>
    <w:rsid w:val="0054626B"/>
    <w:rsid w:val="00546DBF"/>
    <w:rsid w:val="00553D76"/>
    <w:rsid w:val="005552B5"/>
    <w:rsid w:val="0056117B"/>
    <w:rsid w:val="00567613"/>
    <w:rsid w:val="00571365"/>
    <w:rsid w:val="00576396"/>
    <w:rsid w:val="00597B57"/>
    <w:rsid w:val="005A69B3"/>
    <w:rsid w:val="005B3DB3"/>
    <w:rsid w:val="005B3DC0"/>
    <w:rsid w:val="005B6E48"/>
    <w:rsid w:val="005C2413"/>
    <w:rsid w:val="005C69BB"/>
    <w:rsid w:val="005E1712"/>
    <w:rsid w:val="005E1897"/>
    <w:rsid w:val="0061165E"/>
    <w:rsid w:val="00611ABD"/>
    <w:rsid w:val="00611FC4"/>
    <w:rsid w:val="006176FB"/>
    <w:rsid w:val="00640B26"/>
    <w:rsid w:val="00644C1E"/>
    <w:rsid w:val="006601B6"/>
    <w:rsid w:val="00670741"/>
    <w:rsid w:val="00673EFE"/>
    <w:rsid w:val="00674C17"/>
    <w:rsid w:val="006849F6"/>
    <w:rsid w:val="006947AE"/>
    <w:rsid w:val="00696BD6"/>
    <w:rsid w:val="00697307"/>
    <w:rsid w:val="006A6B9D"/>
    <w:rsid w:val="006A7392"/>
    <w:rsid w:val="006B3189"/>
    <w:rsid w:val="006B7D65"/>
    <w:rsid w:val="006C28EE"/>
    <w:rsid w:val="006C35AD"/>
    <w:rsid w:val="006D4961"/>
    <w:rsid w:val="006D4B95"/>
    <w:rsid w:val="006D5F84"/>
    <w:rsid w:val="006D6DA6"/>
    <w:rsid w:val="006E31A1"/>
    <w:rsid w:val="006E564B"/>
    <w:rsid w:val="006E59E7"/>
    <w:rsid w:val="006F13F0"/>
    <w:rsid w:val="006F5035"/>
    <w:rsid w:val="00700C0F"/>
    <w:rsid w:val="0070635F"/>
    <w:rsid w:val="007065EB"/>
    <w:rsid w:val="0070690E"/>
    <w:rsid w:val="0071701A"/>
    <w:rsid w:val="00720183"/>
    <w:rsid w:val="0072632A"/>
    <w:rsid w:val="0074200B"/>
    <w:rsid w:val="00755106"/>
    <w:rsid w:val="0077043A"/>
    <w:rsid w:val="0078076B"/>
    <w:rsid w:val="007A253F"/>
    <w:rsid w:val="007A6296"/>
    <w:rsid w:val="007B208E"/>
    <w:rsid w:val="007B6BA5"/>
    <w:rsid w:val="007B7C6F"/>
    <w:rsid w:val="007C1B62"/>
    <w:rsid w:val="007C3390"/>
    <w:rsid w:val="007C4F4B"/>
    <w:rsid w:val="007D018D"/>
    <w:rsid w:val="007D2CDC"/>
    <w:rsid w:val="007D5327"/>
    <w:rsid w:val="007E15F4"/>
    <w:rsid w:val="007E77BE"/>
    <w:rsid w:val="007F6611"/>
    <w:rsid w:val="008155C3"/>
    <w:rsid w:val="008175E9"/>
    <w:rsid w:val="0082068A"/>
    <w:rsid w:val="0082243E"/>
    <w:rsid w:val="008242D7"/>
    <w:rsid w:val="008402E9"/>
    <w:rsid w:val="008551AF"/>
    <w:rsid w:val="00856CD2"/>
    <w:rsid w:val="00861BC6"/>
    <w:rsid w:val="00871FD5"/>
    <w:rsid w:val="00891F92"/>
    <w:rsid w:val="008979B1"/>
    <w:rsid w:val="008A5610"/>
    <w:rsid w:val="008A6B25"/>
    <w:rsid w:val="008A6C4F"/>
    <w:rsid w:val="008C1E4D"/>
    <w:rsid w:val="008E0E46"/>
    <w:rsid w:val="0090452C"/>
    <w:rsid w:val="00907C3F"/>
    <w:rsid w:val="00914E82"/>
    <w:rsid w:val="009172D1"/>
    <w:rsid w:val="0092237C"/>
    <w:rsid w:val="0093707B"/>
    <w:rsid w:val="009400EB"/>
    <w:rsid w:val="009427E3"/>
    <w:rsid w:val="00956D9B"/>
    <w:rsid w:val="00961D5B"/>
    <w:rsid w:val="00963CBA"/>
    <w:rsid w:val="009654B7"/>
    <w:rsid w:val="00976B90"/>
    <w:rsid w:val="00991261"/>
    <w:rsid w:val="009A0B83"/>
    <w:rsid w:val="009B019A"/>
    <w:rsid w:val="009B3800"/>
    <w:rsid w:val="009D22AC"/>
    <w:rsid w:val="009D50DB"/>
    <w:rsid w:val="009E1C4E"/>
    <w:rsid w:val="009E1D8F"/>
    <w:rsid w:val="009F34F1"/>
    <w:rsid w:val="009F58A8"/>
    <w:rsid w:val="00A05E0B"/>
    <w:rsid w:val="00A1427D"/>
    <w:rsid w:val="00A4634F"/>
    <w:rsid w:val="00A51CF3"/>
    <w:rsid w:val="00A72F22"/>
    <w:rsid w:val="00A748A6"/>
    <w:rsid w:val="00A82884"/>
    <w:rsid w:val="00A83D30"/>
    <w:rsid w:val="00A879A4"/>
    <w:rsid w:val="00A87E95"/>
    <w:rsid w:val="00A92E29"/>
    <w:rsid w:val="00AB61A8"/>
    <w:rsid w:val="00AB6C12"/>
    <w:rsid w:val="00AC2E56"/>
    <w:rsid w:val="00AD09E9"/>
    <w:rsid w:val="00AD7489"/>
    <w:rsid w:val="00AE68BE"/>
    <w:rsid w:val="00AF0576"/>
    <w:rsid w:val="00AF3829"/>
    <w:rsid w:val="00AF714D"/>
    <w:rsid w:val="00B037F0"/>
    <w:rsid w:val="00B2327D"/>
    <w:rsid w:val="00B2718F"/>
    <w:rsid w:val="00B30179"/>
    <w:rsid w:val="00B3317B"/>
    <w:rsid w:val="00B334DC"/>
    <w:rsid w:val="00B3631A"/>
    <w:rsid w:val="00B4035F"/>
    <w:rsid w:val="00B53013"/>
    <w:rsid w:val="00B57EDB"/>
    <w:rsid w:val="00B67F5E"/>
    <w:rsid w:val="00B73E65"/>
    <w:rsid w:val="00B81E12"/>
    <w:rsid w:val="00B87110"/>
    <w:rsid w:val="00B97FA8"/>
    <w:rsid w:val="00BB3BD3"/>
    <w:rsid w:val="00BB5313"/>
    <w:rsid w:val="00BC1385"/>
    <w:rsid w:val="00BC74E9"/>
    <w:rsid w:val="00BE00DE"/>
    <w:rsid w:val="00BE618E"/>
    <w:rsid w:val="00C24693"/>
    <w:rsid w:val="00C264EE"/>
    <w:rsid w:val="00C359A4"/>
    <w:rsid w:val="00C35F0B"/>
    <w:rsid w:val="00C42278"/>
    <w:rsid w:val="00C463DD"/>
    <w:rsid w:val="00C64458"/>
    <w:rsid w:val="00C745C3"/>
    <w:rsid w:val="00CA2A58"/>
    <w:rsid w:val="00CC0B55"/>
    <w:rsid w:val="00CC3AE6"/>
    <w:rsid w:val="00CD1E06"/>
    <w:rsid w:val="00CD6995"/>
    <w:rsid w:val="00CE28A3"/>
    <w:rsid w:val="00CE4A8F"/>
    <w:rsid w:val="00CF0214"/>
    <w:rsid w:val="00CF0545"/>
    <w:rsid w:val="00CF3588"/>
    <w:rsid w:val="00CF586F"/>
    <w:rsid w:val="00CF7D43"/>
    <w:rsid w:val="00D11129"/>
    <w:rsid w:val="00D15A3D"/>
    <w:rsid w:val="00D2031B"/>
    <w:rsid w:val="00D22332"/>
    <w:rsid w:val="00D25FE2"/>
    <w:rsid w:val="00D43252"/>
    <w:rsid w:val="00D550F9"/>
    <w:rsid w:val="00D572B0"/>
    <w:rsid w:val="00D62E90"/>
    <w:rsid w:val="00D7586F"/>
    <w:rsid w:val="00D76BE5"/>
    <w:rsid w:val="00D978C6"/>
    <w:rsid w:val="00DA67AD"/>
    <w:rsid w:val="00DB18CE"/>
    <w:rsid w:val="00DD6EDD"/>
    <w:rsid w:val="00DE3EC0"/>
    <w:rsid w:val="00DF6BE0"/>
    <w:rsid w:val="00E051D8"/>
    <w:rsid w:val="00E11593"/>
    <w:rsid w:val="00E12B6B"/>
    <w:rsid w:val="00E130AB"/>
    <w:rsid w:val="00E23BBC"/>
    <w:rsid w:val="00E36E67"/>
    <w:rsid w:val="00E438D9"/>
    <w:rsid w:val="00E5644E"/>
    <w:rsid w:val="00E603B8"/>
    <w:rsid w:val="00E61A6C"/>
    <w:rsid w:val="00E7260F"/>
    <w:rsid w:val="00E76864"/>
    <w:rsid w:val="00E806EE"/>
    <w:rsid w:val="00E9471B"/>
    <w:rsid w:val="00E96630"/>
    <w:rsid w:val="00EB0FB9"/>
    <w:rsid w:val="00EC250E"/>
    <w:rsid w:val="00ED0CA9"/>
    <w:rsid w:val="00ED7A2A"/>
    <w:rsid w:val="00EE2A77"/>
    <w:rsid w:val="00EF1D7F"/>
    <w:rsid w:val="00EF5BDB"/>
    <w:rsid w:val="00F07FD9"/>
    <w:rsid w:val="00F15AA7"/>
    <w:rsid w:val="00F23933"/>
    <w:rsid w:val="00F24119"/>
    <w:rsid w:val="00F26F33"/>
    <w:rsid w:val="00F40E75"/>
    <w:rsid w:val="00F42CD9"/>
    <w:rsid w:val="00F52936"/>
    <w:rsid w:val="00F6613D"/>
    <w:rsid w:val="00F677CB"/>
    <w:rsid w:val="00F81DD6"/>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0E165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E1656"/>
    <w:rPr>
      <w:rFonts w:ascii="Tahoma" w:hAnsi="Tahoma" w:cs="Tahoma"/>
      <w:sz w:val="16"/>
      <w:szCs w:val="16"/>
      <w:lang w:eastAsia="en-US"/>
    </w:rPr>
  </w:style>
  <w:style w:type="character" w:customStyle="1" w:styleId="en">
    <w:name w:val="en"/>
    <w:basedOn w:val="DefaultParagraphFont"/>
    <w:rsid w:val="00D15A3D"/>
  </w:style>
  <w:style w:type="character" w:styleId="CommentReference">
    <w:name w:val="annotation reference"/>
    <w:basedOn w:val="DefaultParagraphFont"/>
    <w:rsid w:val="00BB3BD3"/>
    <w:rPr>
      <w:sz w:val="16"/>
      <w:szCs w:val="16"/>
    </w:rPr>
  </w:style>
  <w:style w:type="paragraph" w:styleId="CommentText">
    <w:name w:val="annotation text"/>
    <w:basedOn w:val="Normal"/>
    <w:link w:val="CommentTextChar"/>
    <w:rsid w:val="00BB3BD3"/>
    <w:pPr>
      <w:spacing w:line="240" w:lineRule="auto"/>
    </w:pPr>
  </w:style>
  <w:style w:type="character" w:customStyle="1" w:styleId="CommentTextChar">
    <w:name w:val="Comment Text Char"/>
    <w:basedOn w:val="DefaultParagraphFont"/>
    <w:link w:val="CommentText"/>
    <w:rsid w:val="00BB3BD3"/>
    <w:rPr>
      <w:lang w:eastAsia="en-US"/>
    </w:rPr>
  </w:style>
  <w:style w:type="paragraph" w:styleId="CommentSubject">
    <w:name w:val="annotation subject"/>
    <w:basedOn w:val="CommentText"/>
    <w:next w:val="CommentText"/>
    <w:link w:val="CommentSubjectChar"/>
    <w:rsid w:val="00BB3BD3"/>
    <w:rPr>
      <w:b/>
      <w:bCs/>
    </w:rPr>
  </w:style>
  <w:style w:type="character" w:customStyle="1" w:styleId="CommentSubjectChar">
    <w:name w:val="Comment Subject Char"/>
    <w:basedOn w:val="CommentTextChar"/>
    <w:link w:val="CommentSubject"/>
    <w:rsid w:val="00BB3BD3"/>
    <w:rPr>
      <w:b/>
      <w:bCs/>
      <w:lang w:eastAsia="en-US"/>
    </w:rPr>
  </w:style>
  <w:style w:type="paragraph" w:styleId="Revision">
    <w:name w:val="Revision"/>
    <w:hidden/>
    <w:uiPriority w:val="99"/>
    <w:semiHidden/>
    <w:rsid w:val="00BB3BD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0E165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E1656"/>
    <w:rPr>
      <w:rFonts w:ascii="Tahoma" w:hAnsi="Tahoma" w:cs="Tahoma"/>
      <w:sz w:val="16"/>
      <w:szCs w:val="16"/>
      <w:lang w:eastAsia="en-US"/>
    </w:rPr>
  </w:style>
  <w:style w:type="character" w:customStyle="1" w:styleId="en">
    <w:name w:val="en"/>
    <w:basedOn w:val="DefaultParagraphFont"/>
    <w:rsid w:val="00D15A3D"/>
  </w:style>
  <w:style w:type="character" w:styleId="CommentReference">
    <w:name w:val="annotation reference"/>
    <w:basedOn w:val="DefaultParagraphFont"/>
    <w:rsid w:val="00BB3BD3"/>
    <w:rPr>
      <w:sz w:val="16"/>
      <w:szCs w:val="16"/>
    </w:rPr>
  </w:style>
  <w:style w:type="paragraph" w:styleId="CommentText">
    <w:name w:val="annotation text"/>
    <w:basedOn w:val="Normal"/>
    <w:link w:val="CommentTextChar"/>
    <w:rsid w:val="00BB3BD3"/>
    <w:pPr>
      <w:spacing w:line="240" w:lineRule="auto"/>
    </w:pPr>
  </w:style>
  <w:style w:type="character" w:customStyle="1" w:styleId="CommentTextChar">
    <w:name w:val="Comment Text Char"/>
    <w:basedOn w:val="DefaultParagraphFont"/>
    <w:link w:val="CommentText"/>
    <w:rsid w:val="00BB3BD3"/>
    <w:rPr>
      <w:lang w:eastAsia="en-US"/>
    </w:rPr>
  </w:style>
  <w:style w:type="paragraph" w:styleId="CommentSubject">
    <w:name w:val="annotation subject"/>
    <w:basedOn w:val="CommentText"/>
    <w:next w:val="CommentText"/>
    <w:link w:val="CommentSubjectChar"/>
    <w:rsid w:val="00BB3BD3"/>
    <w:rPr>
      <w:b/>
      <w:bCs/>
    </w:rPr>
  </w:style>
  <w:style w:type="character" w:customStyle="1" w:styleId="CommentSubjectChar">
    <w:name w:val="Comment Subject Char"/>
    <w:basedOn w:val="CommentTextChar"/>
    <w:link w:val="CommentSubject"/>
    <w:rsid w:val="00BB3BD3"/>
    <w:rPr>
      <w:b/>
      <w:bCs/>
      <w:lang w:eastAsia="en-US"/>
    </w:rPr>
  </w:style>
  <w:style w:type="paragraph" w:styleId="Revision">
    <w:name w:val="Revision"/>
    <w:hidden/>
    <w:uiPriority w:val="99"/>
    <w:semiHidden/>
    <w:rsid w:val="00BB3BD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C632B-937A-415D-A76B-880B73ABD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Kiatsurayanon</dc:creator>
  <cp:lastModifiedBy>Tpseng</cp:lastModifiedBy>
  <cp:revision>2</cp:revision>
  <cp:lastPrinted>2015-06-29T11:02:00Z</cp:lastPrinted>
  <dcterms:created xsi:type="dcterms:W3CDTF">2015-06-29T14:43:00Z</dcterms:created>
  <dcterms:modified xsi:type="dcterms:W3CDTF">2015-06-29T14:43:00Z</dcterms:modified>
</cp:coreProperties>
</file>