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trPr>
          <w:trHeight w:val="851"/>
        </w:trPr>
        <w:tc>
          <w:tcPr>
            <w:tcW w:w="1259" w:type="dxa"/>
            <w:tcBorders>
              <w:top w:val="nil"/>
              <w:left w:val="nil"/>
              <w:bottom w:val="single" w:sz="4" w:space="0" w:color="auto"/>
              <w:right w:val="nil"/>
            </w:tcBorders>
          </w:tcPr>
          <w:p w:rsidR="00446DE4" w:rsidRPr="00F225CB" w:rsidRDefault="00446DE4" w:rsidP="00F225CB">
            <w:pPr>
              <w:tabs>
                <w:tab w:val="right" w:pos="850"/>
                <w:tab w:val="left" w:pos="1134"/>
                <w:tab w:val="right" w:leader="dot" w:pos="8504"/>
              </w:tabs>
              <w:spacing w:line="20" w:lineRule="exact"/>
              <w:rPr>
                <w:sz w:val="2"/>
              </w:rPr>
            </w:pPr>
            <w:bookmarkStart w:id="0" w:name="_GoBack"/>
            <w:bookmarkEnd w:id="0"/>
          </w:p>
          <w:p w:rsidR="00F225CB" w:rsidRPr="00E806EE" w:rsidRDefault="00F225CB" w:rsidP="00E806EE">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rsidR="00446DE4" w:rsidRPr="00963CBA" w:rsidRDefault="00B3317B" w:rsidP="0022130F">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rsidR="00446DE4" w:rsidRPr="00DE3EC0" w:rsidRDefault="00EE2A77" w:rsidP="00E43A8F">
            <w:pPr>
              <w:jc w:val="right"/>
            </w:pPr>
            <w:r w:rsidRPr="00EE2A77">
              <w:rPr>
                <w:sz w:val="40"/>
              </w:rPr>
              <w:t>A</w:t>
            </w:r>
            <w:r>
              <w:t>/HRC/</w:t>
            </w:r>
            <w:r w:rsidR="00944104">
              <w:t>3</w:t>
            </w:r>
            <w:r w:rsidR="007C5E9C">
              <w:t>2</w:t>
            </w:r>
            <w:r>
              <w:t>/L</w:t>
            </w:r>
            <w:r w:rsidR="0036088C">
              <w:t>.</w:t>
            </w:r>
            <w:r w:rsidR="00E43A8F">
              <w:t>14</w:t>
            </w:r>
          </w:p>
        </w:tc>
      </w:tr>
      <w:tr w:rsidR="003107FA">
        <w:trPr>
          <w:trHeight w:val="2835"/>
        </w:trPr>
        <w:tc>
          <w:tcPr>
            <w:tcW w:w="1259" w:type="dxa"/>
            <w:tcBorders>
              <w:top w:val="single" w:sz="4" w:space="0" w:color="auto"/>
              <w:left w:val="nil"/>
              <w:bottom w:val="single" w:sz="12" w:space="0" w:color="auto"/>
              <w:right w:val="nil"/>
            </w:tcBorders>
          </w:tcPr>
          <w:p w:rsidR="003107FA" w:rsidRDefault="004939B3" w:rsidP="00956D9B">
            <w:pPr>
              <w:spacing w:before="120"/>
              <w:jc w:val="center"/>
            </w:pPr>
            <w:r>
              <w:rPr>
                <w:noProof/>
                <w:lang w:val="en-US" w:eastAsia="zh-CN"/>
              </w:rPr>
              <w:drawing>
                <wp:inline distT="0" distB="0" distL="0" distR="0" wp14:anchorId="53D7E852" wp14:editId="1CF86C61">
                  <wp:extent cx="716280" cy="589280"/>
                  <wp:effectExtent l="0" t="0" r="7620" b="127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8928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3107FA" w:rsidRPr="00B3317B" w:rsidRDefault="00B3317B" w:rsidP="00EF5BDB">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rsidR="00EE2A77" w:rsidRDefault="00EE2A77" w:rsidP="00EE2A77">
            <w:pPr>
              <w:spacing w:before="240" w:line="240" w:lineRule="exact"/>
            </w:pPr>
            <w:r>
              <w:t>Distr.: Limited</w:t>
            </w:r>
          </w:p>
          <w:p w:rsidR="00EE2A77" w:rsidRDefault="00CA75AA" w:rsidP="00CA75AA">
            <w:pPr>
              <w:spacing w:line="240" w:lineRule="exact"/>
            </w:pPr>
            <w:r>
              <w:t>2</w:t>
            </w:r>
            <w:r w:rsidR="00612DD2">
              <w:t>8</w:t>
            </w:r>
            <w:r>
              <w:t xml:space="preserve"> </w:t>
            </w:r>
            <w:r w:rsidR="007C5E9C">
              <w:t>June</w:t>
            </w:r>
            <w:r w:rsidR="00D42B42">
              <w:t xml:space="preserve"> 2016</w:t>
            </w:r>
          </w:p>
          <w:p w:rsidR="006D5F84" w:rsidRDefault="006D5F84" w:rsidP="00EE2A77">
            <w:pPr>
              <w:spacing w:line="240" w:lineRule="exact"/>
            </w:pPr>
          </w:p>
          <w:p w:rsidR="003107FA" w:rsidRDefault="00EE2A77" w:rsidP="00EE2A77">
            <w:pPr>
              <w:spacing w:line="240" w:lineRule="exact"/>
            </w:pPr>
            <w:r>
              <w:t>Original: English</w:t>
            </w:r>
          </w:p>
        </w:tc>
      </w:tr>
    </w:tbl>
    <w:p w:rsidR="00EE2A77" w:rsidRDefault="00EE2A77" w:rsidP="00EE2A77">
      <w:pPr>
        <w:spacing w:before="120"/>
        <w:rPr>
          <w:b/>
          <w:sz w:val="24"/>
          <w:szCs w:val="24"/>
        </w:rPr>
      </w:pPr>
      <w:r>
        <w:rPr>
          <w:b/>
          <w:sz w:val="24"/>
          <w:szCs w:val="24"/>
        </w:rPr>
        <w:t>Human Rights Council</w:t>
      </w:r>
    </w:p>
    <w:p w:rsidR="00EE2A77" w:rsidRDefault="00944104" w:rsidP="00EE2A77">
      <w:pPr>
        <w:rPr>
          <w:b/>
        </w:rPr>
      </w:pPr>
      <w:r>
        <w:rPr>
          <w:b/>
        </w:rPr>
        <w:t>Thirt</w:t>
      </w:r>
      <w:r w:rsidR="00D42B42">
        <w:rPr>
          <w:b/>
        </w:rPr>
        <w:t>y-</w:t>
      </w:r>
      <w:r w:rsidR="007C5E9C">
        <w:rPr>
          <w:b/>
        </w:rPr>
        <w:t>second</w:t>
      </w:r>
      <w:r w:rsidR="00674C17">
        <w:rPr>
          <w:b/>
        </w:rPr>
        <w:t xml:space="preserve"> </w:t>
      </w:r>
      <w:proofErr w:type="gramStart"/>
      <w:r w:rsidR="00EE2A77">
        <w:rPr>
          <w:b/>
        </w:rPr>
        <w:t>session</w:t>
      </w:r>
      <w:proofErr w:type="gramEnd"/>
    </w:p>
    <w:p w:rsidR="00EE2A77" w:rsidRDefault="00EE2A77" w:rsidP="00EE2A77">
      <w:r>
        <w:t>Agenda item 3</w:t>
      </w:r>
    </w:p>
    <w:p w:rsidR="002F006E" w:rsidRPr="00533C25" w:rsidRDefault="00EE2A77" w:rsidP="002F006E">
      <w:pPr>
        <w:rPr>
          <w:b/>
        </w:rPr>
      </w:pPr>
      <w:r w:rsidRPr="00533C25">
        <w:rPr>
          <w:b/>
        </w:rPr>
        <w:t>Promotion and</w:t>
      </w:r>
      <w:r w:rsidR="007B208E">
        <w:rPr>
          <w:b/>
        </w:rPr>
        <w:t xml:space="preserve"> protection of all human rights, civil</w:t>
      </w:r>
      <w:proofErr w:type="gramStart"/>
      <w:r w:rsidR="00BE00DE">
        <w:rPr>
          <w:b/>
        </w:rPr>
        <w:t>,</w:t>
      </w:r>
      <w:proofErr w:type="gramEnd"/>
      <w:r>
        <w:rPr>
          <w:b/>
        </w:rPr>
        <w:br/>
      </w:r>
      <w:r w:rsidRPr="00533C25">
        <w:rPr>
          <w:b/>
        </w:rPr>
        <w:t>political, economic,</w:t>
      </w:r>
      <w:r>
        <w:rPr>
          <w:b/>
        </w:rPr>
        <w:t xml:space="preserve"> </w:t>
      </w:r>
      <w:r w:rsidR="0054626B">
        <w:rPr>
          <w:b/>
        </w:rPr>
        <w:t>social and cultural rights,</w:t>
      </w:r>
      <w:r>
        <w:rPr>
          <w:b/>
        </w:rPr>
        <w:br/>
      </w:r>
      <w:r w:rsidRPr="00533C25">
        <w:rPr>
          <w:b/>
        </w:rPr>
        <w:t>including the right to development</w:t>
      </w:r>
    </w:p>
    <w:p w:rsidR="002F006E" w:rsidRPr="00612DD2" w:rsidRDefault="002F006E" w:rsidP="002F006E">
      <w:pPr>
        <w:pStyle w:val="H23G"/>
        <w:rPr>
          <w:lang w:val="es-ES"/>
        </w:rPr>
      </w:pPr>
      <w:r>
        <w:tab/>
      </w:r>
      <w:r>
        <w:tab/>
      </w:r>
      <w:r w:rsidR="00E56C86" w:rsidRPr="00612DD2">
        <w:rPr>
          <w:lang w:val="es-ES"/>
        </w:rPr>
        <w:t>Angola,</w:t>
      </w:r>
      <w:r w:rsidR="00E56C86" w:rsidRPr="00612DD2">
        <w:rPr>
          <w:rStyle w:val="FootnoteReference"/>
          <w:sz w:val="20"/>
          <w:vertAlign w:val="baseline"/>
          <w:lang w:val="es-ES"/>
        </w:rPr>
        <w:footnoteReference w:customMarkFollows="1" w:id="2"/>
        <w:t>*</w:t>
      </w:r>
      <w:r w:rsidR="00E56C86" w:rsidRPr="00612DD2">
        <w:rPr>
          <w:lang w:val="es-ES"/>
        </w:rPr>
        <w:t xml:space="preserve"> </w:t>
      </w:r>
      <w:r w:rsidR="00147180" w:rsidRPr="00612DD2">
        <w:rPr>
          <w:lang w:val="es-ES"/>
        </w:rPr>
        <w:t xml:space="preserve">Ecuador, </w:t>
      </w:r>
      <w:r w:rsidR="00CD63BD" w:rsidRPr="00612DD2">
        <w:rPr>
          <w:lang w:val="es-ES"/>
        </w:rPr>
        <w:t xml:space="preserve">El Salvador, </w:t>
      </w:r>
      <w:proofErr w:type="spellStart"/>
      <w:r w:rsidR="00CD63BD" w:rsidRPr="00612DD2">
        <w:rPr>
          <w:lang w:val="es-ES"/>
        </w:rPr>
        <w:t>Haiti</w:t>
      </w:r>
      <w:proofErr w:type="spellEnd"/>
      <w:r w:rsidR="00CD63BD" w:rsidRPr="00612DD2">
        <w:rPr>
          <w:lang w:val="es-ES"/>
        </w:rPr>
        <w:t>,</w:t>
      </w:r>
      <w:r w:rsidR="00CD63BD" w:rsidRPr="00612DD2">
        <w:rPr>
          <w:rStyle w:val="FootnoteReference"/>
          <w:sz w:val="20"/>
          <w:vertAlign w:val="baseline"/>
          <w:lang w:val="es-ES"/>
        </w:rPr>
        <w:footnoteReference w:customMarkFollows="1" w:id="3"/>
        <w:t>*</w:t>
      </w:r>
      <w:r w:rsidR="00CA75AA" w:rsidRPr="00612DD2">
        <w:rPr>
          <w:lang w:val="es-ES"/>
        </w:rPr>
        <w:t xml:space="preserve"> </w:t>
      </w:r>
      <w:r w:rsidR="00CD63BD" w:rsidRPr="00612DD2">
        <w:rPr>
          <w:lang w:val="es-ES"/>
        </w:rPr>
        <w:t>Honduras,</w:t>
      </w:r>
      <w:r w:rsidR="00CD63BD" w:rsidRPr="00612DD2">
        <w:rPr>
          <w:rStyle w:val="FootnoteReference"/>
          <w:sz w:val="20"/>
          <w:vertAlign w:val="baseline"/>
          <w:lang w:val="es-ES"/>
        </w:rPr>
        <w:footnoteReference w:customMarkFollows="1" w:id="4"/>
        <w:t>*</w:t>
      </w:r>
      <w:r w:rsidR="00CD63BD" w:rsidRPr="00612DD2">
        <w:rPr>
          <w:lang w:val="es-ES"/>
        </w:rPr>
        <w:t xml:space="preserve"> </w:t>
      </w:r>
      <w:proofErr w:type="spellStart"/>
      <w:r w:rsidR="00CD63BD" w:rsidRPr="00612DD2">
        <w:rPr>
          <w:lang w:val="es-ES"/>
        </w:rPr>
        <w:t>Palau</w:t>
      </w:r>
      <w:proofErr w:type="spellEnd"/>
      <w:r w:rsidR="00CD63BD" w:rsidRPr="00612DD2">
        <w:rPr>
          <w:lang w:val="es-ES"/>
        </w:rPr>
        <w:t>,</w:t>
      </w:r>
      <w:r w:rsidR="00CD63BD" w:rsidRPr="00612DD2">
        <w:rPr>
          <w:rStyle w:val="FootnoteReference"/>
          <w:sz w:val="20"/>
          <w:vertAlign w:val="baseline"/>
          <w:lang w:val="es-ES"/>
        </w:rPr>
        <w:footnoteReference w:customMarkFollows="1" w:id="5"/>
        <w:t>*</w:t>
      </w:r>
      <w:r w:rsidR="00CD63BD" w:rsidRPr="00612DD2">
        <w:rPr>
          <w:lang w:val="es-ES"/>
        </w:rPr>
        <w:t xml:space="preserve"> </w:t>
      </w:r>
      <w:proofErr w:type="spellStart"/>
      <w:r w:rsidR="00147180" w:rsidRPr="00612DD2">
        <w:rPr>
          <w:lang w:val="es-ES"/>
        </w:rPr>
        <w:t>Peru</w:t>
      </w:r>
      <w:proofErr w:type="spellEnd"/>
      <w:r w:rsidR="00CD63BD" w:rsidRPr="00612DD2">
        <w:rPr>
          <w:lang w:val="es-ES"/>
        </w:rPr>
        <w:t>,</w:t>
      </w:r>
      <w:r w:rsidR="00147180" w:rsidRPr="00612DD2">
        <w:rPr>
          <w:rStyle w:val="FootnoteReference"/>
          <w:sz w:val="20"/>
          <w:vertAlign w:val="baseline"/>
          <w:lang w:val="es-ES"/>
        </w:rPr>
        <w:footnoteReference w:customMarkFollows="1" w:id="6"/>
        <w:t>*</w:t>
      </w:r>
      <w:r w:rsidR="00CD63BD" w:rsidRPr="00612DD2">
        <w:rPr>
          <w:lang w:val="es-ES"/>
        </w:rPr>
        <w:t xml:space="preserve"> Sudan:</w:t>
      </w:r>
      <w:r w:rsidR="00CD63BD" w:rsidRPr="00612DD2">
        <w:rPr>
          <w:rStyle w:val="FootnoteReference"/>
          <w:sz w:val="20"/>
          <w:vertAlign w:val="baseline"/>
          <w:lang w:val="es-ES"/>
        </w:rPr>
        <w:footnoteReference w:customMarkFollows="1" w:id="7"/>
        <w:t>*</w:t>
      </w:r>
      <w:r w:rsidR="00CD63BD" w:rsidRPr="00612DD2">
        <w:rPr>
          <w:lang w:val="es-ES"/>
        </w:rPr>
        <w:t xml:space="preserve"> </w:t>
      </w:r>
      <w:proofErr w:type="spellStart"/>
      <w:r w:rsidRPr="00612DD2">
        <w:rPr>
          <w:lang w:val="es-ES"/>
        </w:rPr>
        <w:t>draft</w:t>
      </w:r>
      <w:proofErr w:type="spellEnd"/>
      <w:r w:rsidRPr="00612DD2">
        <w:rPr>
          <w:lang w:val="es-ES"/>
        </w:rPr>
        <w:t xml:space="preserve"> </w:t>
      </w:r>
      <w:proofErr w:type="spellStart"/>
      <w:r w:rsidRPr="00612DD2">
        <w:rPr>
          <w:lang w:val="es-ES"/>
        </w:rPr>
        <w:t>resolution</w:t>
      </w:r>
      <w:proofErr w:type="spellEnd"/>
    </w:p>
    <w:p w:rsidR="002F006E" w:rsidRPr="007A45D3" w:rsidRDefault="00944104" w:rsidP="00944104">
      <w:pPr>
        <w:pStyle w:val="H1G"/>
        <w:tabs>
          <w:tab w:val="clear" w:pos="851"/>
        </w:tabs>
        <w:ind w:left="1843" w:hanging="709"/>
      </w:pPr>
      <w:proofErr w:type="gramStart"/>
      <w:r>
        <w:t>3</w:t>
      </w:r>
      <w:r w:rsidR="007C5E9C">
        <w:t>2</w:t>
      </w:r>
      <w:r>
        <w:t>/…</w:t>
      </w:r>
      <w:proofErr w:type="gramEnd"/>
      <w:r>
        <w:tab/>
      </w:r>
      <w:r w:rsidR="00E43A8F" w:rsidRPr="00E43A8F">
        <w:rPr>
          <w:lang w:val="en-US"/>
        </w:rPr>
        <w:t>Impact of arms transfers on human rights</w:t>
      </w:r>
    </w:p>
    <w:p w:rsidR="002F006E" w:rsidRDefault="002F006E" w:rsidP="00402A2C">
      <w:pPr>
        <w:pStyle w:val="SingleTxtG"/>
      </w:pPr>
      <w:r>
        <w:tab/>
      </w:r>
      <w:r w:rsidRPr="00402A2C">
        <w:rPr>
          <w:i/>
        </w:rPr>
        <w:t>The Human Rights Council</w:t>
      </w:r>
      <w:r w:rsidRPr="00402A2C">
        <w:t>,</w:t>
      </w:r>
    </w:p>
    <w:p w:rsidR="00E43A8F" w:rsidRPr="00E43A8F" w:rsidRDefault="00E43A8F" w:rsidP="00E43A8F">
      <w:pPr>
        <w:pStyle w:val="SingleTxtG"/>
      </w:pPr>
      <w:r>
        <w:tab/>
      </w:r>
      <w:r w:rsidRPr="00E43A8F">
        <w:rPr>
          <w:i/>
        </w:rPr>
        <w:t xml:space="preserve">Guided </w:t>
      </w:r>
      <w:r w:rsidRPr="00E56C86">
        <w:rPr>
          <w:iCs/>
        </w:rPr>
        <w:t>by</w:t>
      </w:r>
      <w:r w:rsidRPr="00E43A8F">
        <w:t xml:space="preserve"> the Charter of the United Nations and the Universal Declaration of Human Rights,</w:t>
      </w:r>
    </w:p>
    <w:p w:rsidR="00E43A8F" w:rsidRPr="00E43A8F" w:rsidRDefault="00E43A8F">
      <w:pPr>
        <w:pStyle w:val="SingleTxtG"/>
      </w:pPr>
      <w:r>
        <w:tab/>
      </w:r>
      <w:r w:rsidRPr="00E43A8F">
        <w:rPr>
          <w:i/>
        </w:rPr>
        <w:t>Reaffirming</w:t>
      </w:r>
      <w:r w:rsidRPr="00E43A8F">
        <w:t xml:space="preserve"> that everyone has the right to life, liberty and security of person and is entitled to a social and international order, in which the rights and freedoms set forth in the Universal Declaration of Human Rights can be fully realized,</w:t>
      </w:r>
    </w:p>
    <w:p w:rsidR="00E43A8F" w:rsidRPr="00E43A8F" w:rsidRDefault="00E43A8F">
      <w:pPr>
        <w:pStyle w:val="SingleTxtG"/>
      </w:pPr>
      <w:r>
        <w:tab/>
      </w:r>
      <w:r w:rsidRPr="00E43A8F">
        <w:rPr>
          <w:i/>
        </w:rPr>
        <w:t>Recalling</w:t>
      </w:r>
      <w:r w:rsidRPr="00E43A8F">
        <w:t xml:space="preserve"> the right </w:t>
      </w:r>
      <w:r w:rsidR="0010794C">
        <w:t>to</w:t>
      </w:r>
      <w:r w:rsidR="0010794C" w:rsidRPr="00E43A8F">
        <w:t xml:space="preserve"> </w:t>
      </w:r>
      <w:r w:rsidRPr="00E43A8F">
        <w:t xml:space="preserve">self-defence of States and their duty to promote and protect the human rights of </w:t>
      </w:r>
      <w:r w:rsidR="00BD1B97">
        <w:t>their citizens,</w:t>
      </w:r>
    </w:p>
    <w:p w:rsidR="00E43A8F" w:rsidRPr="00E43A8F" w:rsidRDefault="00E43A8F" w:rsidP="00E43A8F">
      <w:pPr>
        <w:pStyle w:val="SingleTxtG"/>
      </w:pPr>
      <w:r>
        <w:tab/>
      </w:r>
      <w:r w:rsidRPr="00E43A8F">
        <w:rPr>
          <w:i/>
        </w:rPr>
        <w:t>Recalling</w:t>
      </w:r>
      <w:r w:rsidR="00CA75AA">
        <w:rPr>
          <w:i/>
        </w:rPr>
        <w:t xml:space="preserve"> also</w:t>
      </w:r>
      <w:r w:rsidRPr="00E43A8F">
        <w:t xml:space="preserve"> the International Covenant on Economic, Social and Cultural Rights, the International Covenant on Civil and Political Rights, the Convention on the Prevention and Punishment of the Crime of Genocide, the Geneva Conventions of 12 August 1949, the Additional Protocols thereto of 8 June 1977, other international human rights law and international humanitarian law instruments, and the Vienna Declaration and Programme of Action,</w:t>
      </w:r>
    </w:p>
    <w:p w:rsidR="00E43A8F" w:rsidRPr="00E43A8F" w:rsidRDefault="00E43A8F">
      <w:pPr>
        <w:pStyle w:val="SingleTxtG"/>
      </w:pPr>
      <w:r>
        <w:tab/>
      </w:r>
      <w:r w:rsidRPr="00E43A8F">
        <w:rPr>
          <w:i/>
        </w:rPr>
        <w:t xml:space="preserve">Recalling </w:t>
      </w:r>
      <w:r w:rsidR="00CA75AA">
        <w:rPr>
          <w:i/>
        </w:rPr>
        <w:t>further</w:t>
      </w:r>
      <w:r w:rsidR="00CA75AA" w:rsidRPr="00E43A8F">
        <w:t xml:space="preserve"> </w:t>
      </w:r>
      <w:r w:rsidRPr="00E43A8F">
        <w:t>General Assembly resolution 60/251 of 15 March 2006, and Human Rights Council resolutions 5/1 and 5/2 and decision 5/101 of 18 June 2007, and resolution 16/21 of 25 March 2011,</w:t>
      </w:r>
    </w:p>
    <w:p w:rsidR="00E43A8F" w:rsidRPr="00E43A8F" w:rsidRDefault="00E43A8F">
      <w:pPr>
        <w:pStyle w:val="SingleTxtG"/>
      </w:pPr>
      <w:r>
        <w:tab/>
      </w:r>
      <w:r w:rsidRPr="00E43A8F">
        <w:rPr>
          <w:i/>
        </w:rPr>
        <w:t xml:space="preserve">Recalling </w:t>
      </w:r>
      <w:r w:rsidRPr="00E43A8F">
        <w:t xml:space="preserve">its </w:t>
      </w:r>
      <w:r w:rsidR="00F67CCB">
        <w:t>r</w:t>
      </w:r>
      <w:r w:rsidRPr="00E43A8F">
        <w:t>esolution 24/35 of 27 September 2013,</w:t>
      </w:r>
    </w:p>
    <w:p w:rsidR="00E43A8F" w:rsidRPr="00E43A8F" w:rsidRDefault="00E43A8F" w:rsidP="00E43A8F">
      <w:pPr>
        <w:pStyle w:val="SingleTxtG"/>
      </w:pPr>
      <w:r>
        <w:lastRenderedPageBreak/>
        <w:tab/>
      </w:r>
      <w:r w:rsidRPr="00E43A8F">
        <w:rPr>
          <w:i/>
        </w:rPr>
        <w:t>Recalling in particular</w:t>
      </w:r>
      <w:r w:rsidRPr="00E43A8F">
        <w:t xml:space="preserve"> that the Human Rights Council has the mandate to, inter alia, serve as a forum for dialogue on thematic issues on all human rights,</w:t>
      </w:r>
    </w:p>
    <w:p w:rsidR="00E43A8F" w:rsidRPr="00E43A8F" w:rsidRDefault="00E43A8F">
      <w:pPr>
        <w:pStyle w:val="SingleTxtG"/>
      </w:pPr>
      <w:r>
        <w:tab/>
      </w:r>
      <w:r w:rsidRPr="00E43A8F">
        <w:rPr>
          <w:i/>
        </w:rPr>
        <w:t>Acknowledging</w:t>
      </w:r>
      <w:r w:rsidRPr="00E43A8F">
        <w:t xml:space="preserve"> that millions of people around the world are affected by serious human rights violations and abuses committed or facilitated by the irresponsible use of arms</w:t>
      </w:r>
      <w:r w:rsidR="00BD1B97">
        <w:t>,</w:t>
      </w:r>
    </w:p>
    <w:p w:rsidR="00E43A8F" w:rsidRPr="00E43A8F" w:rsidRDefault="00E43A8F" w:rsidP="00E43A8F">
      <w:pPr>
        <w:pStyle w:val="SingleTxtG"/>
      </w:pPr>
      <w:r>
        <w:tab/>
      </w:r>
      <w:r w:rsidRPr="00E43A8F">
        <w:rPr>
          <w:i/>
        </w:rPr>
        <w:t>Acknowledging also</w:t>
      </w:r>
      <w:r w:rsidRPr="00E43A8F">
        <w:t xml:space="preserve"> that human rights law and international humanitarian law are complementary and mutually reinforcing,</w:t>
      </w:r>
    </w:p>
    <w:p w:rsidR="00E43A8F" w:rsidRPr="00E43A8F" w:rsidRDefault="00E43A8F">
      <w:pPr>
        <w:pStyle w:val="SingleTxtG"/>
      </w:pPr>
      <w:r>
        <w:tab/>
      </w:r>
      <w:r w:rsidRPr="00E43A8F">
        <w:rPr>
          <w:i/>
        </w:rPr>
        <w:t>Recalling</w:t>
      </w:r>
      <w:r w:rsidRPr="00E43A8F">
        <w:t xml:space="preserve"> the principles and provisions related to international human rights law and international humanitarian law, and to the promotion of responsible action by States, as contained in the Arms Trade Treaty adopted by the General Assembly on 2 April 2013,</w:t>
      </w:r>
      <w:r w:rsidR="00096039">
        <w:rPr>
          <w:rStyle w:val="FootnoteReference"/>
        </w:rPr>
        <w:footnoteReference w:id="8"/>
      </w:r>
      <w:r w:rsidRPr="00E43A8F">
        <w:t xml:space="preserve"> which entered into force on 24 December 2014, as well as in other relevant instruments,</w:t>
      </w:r>
    </w:p>
    <w:p w:rsidR="00E43A8F" w:rsidRPr="00E43A8F" w:rsidRDefault="00E43A8F">
      <w:pPr>
        <w:pStyle w:val="SingleTxtG"/>
      </w:pPr>
      <w:r>
        <w:tab/>
      </w:r>
      <w:r w:rsidRPr="00E43A8F">
        <w:rPr>
          <w:i/>
        </w:rPr>
        <w:t>Reaffirming</w:t>
      </w:r>
      <w:r w:rsidRPr="00E43A8F">
        <w:t xml:space="preserve"> that all efforts should be made to ensure the cessation of all violations and abuses of, and the full respect for, international human rights law and international humanitarian law in armed conflicts and in peacetime,</w:t>
      </w:r>
    </w:p>
    <w:p w:rsidR="00E43A8F" w:rsidRPr="00E43A8F" w:rsidRDefault="00E43A8F">
      <w:pPr>
        <w:pStyle w:val="SingleTxtG"/>
      </w:pPr>
      <w:r>
        <w:tab/>
      </w:r>
      <w:r w:rsidRPr="00E43A8F">
        <w:rPr>
          <w:i/>
        </w:rPr>
        <w:t>Bearing in mind</w:t>
      </w:r>
      <w:r w:rsidRPr="00E43A8F">
        <w:t xml:space="preserve"> the adoption </w:t>
      </w:r>
      <w:r w:rsidR="00CF7632">
        <w:t xml:space="preserve">by the General Assembly </w:t>
      </w:r>
      <w:r w:rsidRPr="00E43A8F">
        <w:t>of the 2030 Agenda for Sustainable Development,</w:t>
      </w:r>
      <w:r w:rsidR="00CF7632">
        <w:rPr>
          <w:rStyle w:val="FootnoteReference"/>
        </w:rPr>
        <w:footnoteReference w:id="9"/>
      </w:r>
      <w:r w:rsidRPr="00E43A8F">
        <w:t xml:space="preserve"> </w:t>
      </w:r>
      <w:r w:rsidRPr="006505D9">
        <w:t xml:space="preserve">including </w:t>
      </w:r>
      <w:r w:rsidR="00CF7632" w:rsidRPr="006505D9">
        <w:t xml:space="preserve">target 16.4 of the </w:t>
      </w:r>
      <w:r w:rsidRPr="006505D9">
        <w:t>Sustainable Development Goal</w:t>
      </w:r>
      <w:r w:rsidR="00CF7632" w:rsidRPr="006505D9">
        <w:t>s</w:t>
      </w:r>
      <w:r w:rsidRPr="006505D9">
        <w:t xml:space="preserve">, </w:t>
      </w:r>
      <w:r w:rsidR="00C10F6C" w:rsidRPr="006505D9">
        <w:t>to</w:t>
      </w:r>
      <w:r w:rsidR="00CF7632" w:rsidRPr="006505D9">
        <w:t xml:space="preserve"> </w:t>
      </w:r>
      <w:r w:rsidRPr="006505D9">
        <w:t>significantly</w:t>
      </w:r>
      <w:r w:rsidRPr="00E43A8F">
        <w:t xml:space="preserve"> reduce illegal arms flows</w:t>
      </w:r>
      <w:r>
        <w:t>,</w:t>
      </w:r>
    </w:p>
    <w:p w:rsidR="00E43A8F" w:rsidRPr="00E43A8F" w:rsidRDefault="00E43A8F" w:rsidP="00E43A8F">
      <w:pPr>
        <w:pStyle w:val="SingleTxtG"/>
      </w:pPr>
      <w:r>
        <w:tab/>
      </w:r>
      <w:r w:rsidRPr="00E43A8F">
        <w:t>1.</w:t>
      </w:r>
      <w:r w:rsidRPr="00E43A8F">
        <w:tab/>
      </w:r>
      <w:r w:rsidRPr="00E43A8F">
        <w:rPr>
          <w:i/>
        </w:rPr>
        <w:t>Expresses its deep concern</w:t>
      </w:r>
      <w:r w:rsidRPr="00E43A8F">
        <w:t xml:space="preserve"> at the fact that arms transfers, particularly those that are illicit or unregulated, may seriously undermine the human rights of individuals, especially women, children, the elderly, persons with disabilities and other vulnerable groups;</w:t>
      </w:r>
    </w:p>
    <w:p w:rsidR="00E43A8F" w:rsidRPr="00E43A8F" w:rsidRDefault="00E43A8F">
      <w:pPr>
        <w:pStyle w:val="SingleTxtG"/>
      </w:pPr>
      <w:r>
        <w:tab/>
      </w:r>
      <w:r w:rsidRPr="00E43A8F">
        <w:t>2.</w:t>
      </w:r>
      <w:r w:rsidRPr="00E43A8F">
        <w:tab/>
      </w:r>
      <w:r w:rsidRPr="00E43A8F">
        <w:rPr>
          <w:i/>
        </w:rPr>
        <w:t>Notes with alarm</w:t>
      </w:r>
      <w:r w:rsidRPr="00E43A8F">
        <w:t xml:space="preserve"> that such arms transfers can have a seriously negative impact on the human rights of women and girls, who may be disproportionately affected by the widespread availability of arms, as it may increase the risk of sexual and gender-based violence, and of violence against children;</w:t>
      </w:r>
    </w:p>
    <w:p w:rsidR="00E43A8F" w:rsidRPr="00E43A8F" w:rsidRDefault="00E43A8F">
      <w:pPr>
        <w:pStyle w:val="SingleTxtG"/>
      </w:pPr>
      <w:r>
        <w:tab/>
      </w:r>
      <w:r w:rsidRPr="00E43A8F">
        <w:t>3.</w:t>
      </w:r>
      <w:r w:rsidRPr="00E43A8F">
        <w:tab/>
      </w:r>
      <w:r w:rsidRPr="00E43A8F">
        <w:rPr>
          <w:i/>
        </w:rPr>
        <w:t>Urges</w:t>
      </w:r>
      <w:r w:rsidRPr="00E43A8F">
        <w:t xml:space="preserve"> all States to </w:t>
      </w:r>
      <w:r w:rsidRPr="00951B11">
        <w:t xml:space="preserve">refrain from transferring arms when </w:t>
      </w:r>
      <w:r w:rsidR="00997BB1" w:rsidRPr="00951B11">
        <w:t xml:space="preserve">they </w:t>
      </w:r>
      <w:r w:rsidRPr="00951B11">
        <w:t>assess</w:t>
      </w:r>
      <w:r w:rsidR="009340D5" w:rsidRPr="00951B11">
        <w:t>,</w:t>
      </w:r>
      <w:r w:rsidRPr="00951B11">
        <w:t xml:space="preserve"> </w:t>
      </w:r>
      <w:r w:rsidR="009340D5" w:rsidRPr="00951B11">
        <w:t xml:space="preserve">in accordance with applicable national procedures and international obligations and standards, </w:t>
      </w:r>
      <w:r w:rsidRPr="00951B11">
        <w:t xml:space="preserve">that </w:t>
      </w:r>
      <w:r w:rsidR="009340D5">
        <w:t xml:space="preserve">such </w:t>
      </w:r>
      <w:r w:rsidRPr="00E43A8F">
        <w:t>arms are sufficiently likely to be used to commit or facilitate serious violations or abuses of international human rights law or international humanitarian law;</w:t>
      </w:r>
    </w:p>
    <w:p w:rsidR="00E43A8F" w:rsidRPr="00E43A8F" w:rsidRDefault="00E43A8F">
      <w:pPr>
        <w:pStyle w:val="SingleTxtG"/>
      </w:pPr>
      <w:r>
        <w:tab/>
      </w:r>
      <w:r w:rsidRPr="00E43A8F">
        <w:t>4.</w:t>
      </w:r>
      <w:r w:rsidRPr="00E43A8F">
        <w:tab/>
      </w:r>
      <w:r w:rsidRPr="00E43A8F">
        <w:rPr>
          <w:i/>
        </w:rPr>
        <w:t>Requests</w:t>
      </w:r>
      <w:r w:rsidRPr="00E43A8F">
        <w:t xml:space="preserve"> the Office of the </w:t>
      </w:r>
      <w:r w:rsidR="009340D5">
        <w:t xml:space="preserve">United Nations </w:t>
      </w:r>
      <w:r w:rsidRPr="00E43A8F">
        <w:t xml:space="preserve">High Commissioner for Human Rights to prepare a report, in consultation with States, United Nations agencies and other relevant stakeholders, on the impact of arms transfers on the enjoyment of human rights and </w:t>
      </w:r>
      <w:r w:rsidR="00997BB1">
        <w:t xml:space="preserve">to </w:t>
      </w:r>
      <w:r w:rsidRPr="00E43A8F">
        <w:t>present it to the Human Rights Council at its thirty</w:t>
      </w:r>
      <w:r w:rsidR="00997BB1">
        <w:t>-</w:t>
      </w:r>
      <w:r w:rsidRPr="00E43A8F">
        <w:t xml:space="preserve">fifth session, in order to provide States and other relevant stakeholders </w:t>
      </w:r>
      <w:r w:rsidR="009340D5">
        <w:t xml:space="preserve">with </w:t>
      </w:r>
      <w:r w:rsidRPr="00E43A8F">
        <w:t>elements to assess the relationship between arms transfers and human rights law that may guide them to strengthen efforts to effectively protect human rights;</w:t>
      </w:r>
    </w:p>
    <w:p w:rsidR="00E43A8F" w:rsidRPr="00E43A8F" w:rsidRDefault="00E43A8F" w:rsidP="00E43A8F">
      <w:pPr>
        <w:pStyle w:val="SingleTxtG"/>
      </w:pPr>
      <w:r>
        <w:tab/>
      </w:r>
      <w:r w:rsidRPr="00E43A8F">
        <w:t>5.</w:t>
      </w:r>
      <w:r w:rsidRPr="00E43A8F">
        <w:tab/>
      </w:r>
      <w:r w:rsidRPr="00E43A8F">
        <w:rPr>
          <w:i/>
        </w:rPr>
        <w:t>Invites</w:t>
      </w:r>
      <w:r w:rsidRPr="00E43A8F">
        <w:t xml:space="preserve"> all relevant special procedures, commissions of inquiry and human rights treaty bodies to bear the present resolution in mind, within the framework of their respective mandates;</w:t>
      </w:r>
    </w:p>
    <w:p w:rsidR="00E43A8F" w:rsidRPr="00E43A8F" w:rsidRDefault="00E43A8F" w:rsidP="00E43A8F">
      <w:pPr>
        <w:pStyle w:val="SingleTxtG"/>
      </w:pPr>
      <w:r>
        <w:tab/>
      </w:r>
      <w:r w:rsidRPr="00E43A8F">
        <w:t>6.</w:t>
      </w:r>
      <w:r w:rsidRPr="00E43A8F">
        <w:tab/>
      </w:r>
      <w:r w:rsidRPr="00E43A8F">
        <w:rPr>
          <w:i/>
        </w:rPr>
        <w:t>Decides</w:t>
      </w:r>
      <w:r w:rsidRPr="00E43A8F">
        <w:t xml:space="preserve"> to remain seized of this issue.</w:t>
      </w:r>
    </w:p>
    <w:p w:rsidR="002F006E" w:rsidRPr="003D206B" w:rsidRDefault="003D206B" w:rsidP="003D206B">
      <w:pPr>
        <w:pStyle w:val="SingleTxtG"/>
        <w:spacing w:before="240" w:after="0"/>
        <w:jc w:val="center"/>
        <w:rPr>
          <w:rFonts w:eastAsia="SimSun"/>
          <w:u w:val="single"/>
        </w:rPr>
      </w:pPr>
      <w:r>
        <w:rPr>
          <w:rFonts w:eastAsia="SimSun"/>
          <w:u w:val="single"/>
          <w:lang w:eastAsia="ar-SA"/>
        </w:rPr>
        <w:tab/>
      </w:r>
      <w:r>
        <w:rPr>
          <w:rFonts w:eastAsia="SimSun"/>
          <w:u w:val="single"/>
          <w:lang w:eastAsia="ar-SA"/>
        </w:rPr>
        <w:tab/>
      </w:r>
      <w:r>
        <w:rPr>
          <w:rFonts w:eastAsia="SimSun"/>
          <w:u w:val="single"/>
          <w:lang w:eastAsia="ar-SA"/>
        </w:rPr>
        <w:tab/>
      </w:r>
    </w:p>
    <w:sectPr w:rsidR="002F006E" w:rsidRPr="003D206B" w:rsidSect="00F225CB">
      <w:headerReference w:type="even" r:id="rId10"/>
      <w:headerReference w:type="default" r:id="rId11"/>
      <w:footerReference w:type="even" r:id="rId12"/>
      <w:footerReference w:type="default" r:id="rId13"/>
      <w:footerReference w:type="first" r:id="rId14"/>
      <w:endnotePr>
        <w:numFmt w:val="decimal"/>
      </w:endnotePr>
      <w:pgSz w:w="11907" w:h="16840" w:code="9"/>
      <w:pgMar w:top="1701" w:right="1134" w:bottom="2268" w:left="1134" w:header="1134" w:footer="141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745" w:rsidRDefault="00B84745"/>
  </w:endnote>
  <w:endnote w:type="continuationSeparator" w:id="0">
    <w:p w:rsidR="00B84745" w:rsidRDefault="00B84745"/>
  </w:endnote>
  <w:endnote w:type="continuationNotice" w:id="1">
    <w:p w:rsidR="00B84745" w:rsidRDefault="00B84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pPr>
    <w:r w:rsidRPr="00EE2A77">
      <w:rPr>
        <w:b/>
        <w:sz w:val="18"/>
      </w:rPr>
      <w:fldChar w:fldCharType="begin"/>
    </w:r>
    <w:r w:rsidRPr="00EE2A77">
      <w:rPr>
        <w:b/>
        <w:sz w:val="18"/>
      </w:rPr>
      <w:instrText xml:space="preserve"> PAGE  \* MERGEFORMAT </w:instrText>
    </w:r>
    <w:r w:rsidRPr="00EE2A77">
      <w:rPr>
        <w:b/>
        <w:sz w:val="18"/>
      </w:rPr>
      <w:fldChar w:fldCharType="separate"/>
    </w:r>
    <w:r w:rsidR="00642E8B">
      <w:rPr>
        <w:b/>
        <w:noProof/>
        <w:sz w:val="18"/>
      </w:rPr>
      <w:t>2</w:t>
    </w:r>
    <w:r w:rsidRPr="00EE2A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rsidP="00EE2A77">
    <w:pPr>
      <w:pStyle w:val="Footer"/>
      <w:tabs>
        <w:tab w:val="right" w:pos="9638"/>
      </w:tabs>
      <w:rPr>
        <w:b/>
        <w:sz w:val="18"/>
      </w:rPr>
    </w:pPr>
    <w:r>
      <w:tab/>
    </w:r>
    <w:r w:rsidRPr="00EE2A77">
      <w:rPr>
        <w:b/>
        <w:sz w:val="18"/>
      </w:rPr>
      <w:fldChar w:fldCharType="begin"/>
    </w:r>
    <w:r w:rsidRPr="00EE2A77">
      <w:rPr>
        <w:b/>
        <w:sz w:val="18"/>
      </w:rPr>
      <w:instrText xml:space="preserve"> PAGE  \* MERGEFORMAT </w:instrText>
    </w:r>
    <w:r w:rsidRPr="00EE2A77">
      <w:rPr>
        <w:b/>
        <w:sz w:val="18"/>
      </w:rPr>
      <w:fldChar w:fldCharType="separate"/>
    </w:r>
    <w:r w:rsidR="00E56C86">
      <w:rPr>
        <w:b/>
        <w:noProof/>
        <w:sz w:val="18"/>
      </w:rPr>
      <w:t>3</w:t>
    </w:r>
    <w:r w:rsidRPr="00EE2A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E8B" w:rsidRDefault="00642E8B" w:rsidP="00642E8B">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642E8B" w:rsidRDefault="00642E8B" w:rsidP="00642E8B">
    <w:pPr>
      <w:pStyle w:val="Footer"/>
      <w:ind w:right="1134"/>
      <w:rPr>
        <w:sz w:val="20"/>
      </w:rPr>
    </w:pPr>
    <w:r>
      <w:rPr>
        <w:sz w:val="20"/>
      </w:rPr>
      <w:t>GE.16-10855(E)</w:t>
    </w:r>
  </w:p>
  <w:p w:rsidR="00642E8B" w:rsidRPr="00642E8B" w:rsidRDefault="00642E8B" w:rsidP="00642E8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2" name="Picture 1" descr="http://undocs.org/m2/QRCode.ashx?DS=A/HRC/32/L.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L.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745" w:rsidRPr="000B175B" w:rsidRDefault="00B84745" w:rsidP="000B175B">
      <w:pPr>
        <w:tabs>
          <w:tab w:val="right" w:pos="2155"/>
        </w:tabs>
        <w:spacing w:after="80"/>
        <w:ind w:left="680"/>
        <w:rPr>
          <w:u w:val="single"/>
        </w:rPr>
      </w:pPr>
      <w:r>
        <w:rPr>
          <w:u w:val="single"/>
        </w:rPr>
        <w:tab/>
      </w:r>
    </w:p>
  </w:footnote>
  <w:footnote w:type="continuationSeparator" w:id="0">
    <w:p w:rsidR="00B84745" w:rsidRPr="00FC68B7" w:rsidRDefault="00B84745" w:rsidP="00FC68B7">
      <w:pPr>
        <w:tabs>
          <w:tab w:val="left" w:pos="2155"/>
        </w:tabs>
        <w:spacing w:after="80"/>
        <w:ind w:left="680"/>
        <w:rPr>
          <w:u w:val="single"/>
        </w:rPr>
      </w:pPr>
      <w:r>
        <w:rPr>
          <w:u w:val="single"/>
        </w:rPr>
        <w:tab/>
      </w:r>
    </w:p>
  </w:footnote>
  <w:footnote w:type="continuationNotice" w:id="1">
    <w:p w:rsidR="00B84745" w:rsidRDefault="00B84745"/>
  </w:footnote>
  <w:footnote w:id="2">
    <w:p w:rsidR="00E56C86" w:rsidRPr="00147180" w:rsidRDefault="00E56C86" w:rsidP="00E56C86">
      <w:pPr>
        <w:pStyle w:val="FootnoteText"/>
      </w:pPr>
      <w:r>
        <w:rPr>
          <w:rStyle w:val="FootnoteReference"/>
        </w:rPr>
        <w:tab/>
      </w:r>
      <w:r w:rsidRPr="00147180">
        <w:rPr>
          <w:rStyle w:val="FootnoteReference"/>
          <w:sz w:val="20"/>
          <w:vertAlign w:val="baseline"/>
        </w:rPr>
        <w:t>*</w:t>
      </w:r>
      <w:r>
        <w:rPr>
          <w:rStyle w:val="FootnoteReference"/>
          <w:sz w:val="20"/>
          <w:vertAlign w:val="baseline"/>
        </w:rPr>
        <w:tab/>
      </w:r>
      <w:r>
        <w:t>State not a member of the Human Rights Council.</w:t>
      </w:r>
    </w:p>
  </w:footnote>
  <w:footnote w:id="3">
    <w:p w:rsidR="00CD63BD" w:rsidRPr="00147180" w:rsidRDefault="00CD63BD" w:rsidP="005053EE">
      <w:pPr>
        <w:pStyle w:val="FootnoteText"/>
      </w:pPr>
      <w:r>
        <w:rPr>
          <w:rStyle w:val="FootnoteReference"/>
        </w:rPr>
        <w:tab/>
      </w:r>
      <w:r w:rsidRPr="00147180">
        <w:rPr>
          <w:rStyle w:val="FootnoteReference"/>
          <w:sz w:val="20"/>
          <w:vertAlign w:val="baseline"/>
        </w:rPr>
        <w:t>*</w:t>
      </w:r>
      <w:r>
        <w:rPr>
          <w:rStyle w:val="FootnoteReference"/>
          <w:sz w:val="20"/>
          <w:vertAlign w:val="baseline"/>
        </w:rPr>
        <w:tab/>
      </w:r>
      <w:r>
        <w:t>State not a member of the Human Rights Council.</w:t>
      </w:r>
    </w:p>
  </w:footnote>
  <w:footnote w:id="4">
    <w:p w:rsidR="00CD63BD" w:rsidRPr="00147180" w:rsidRDefault="00CD63BD" w:rsidP="00CD63BD">
      <w:pPr>
        <w:pStyle w:val="FootnoteText"/>
      </w:pPr>
    </w:p>
  </w:footnote>
  <w:footnote w:id="5">
    <w:p w:rsidR="00CD63BD" w:rsidRPr="00147180" w:rsidRDefault="00CD63BD" w:rsidP="00CD63BD">
      <w:pPr>
        <w:pStyle w:val="FootnoteText"/>
      </w:pPr>
    </w:p>
  </w:footnote>
  <w:footnote w:id="6">
    <w:p w:rsidR="00147180" w:rsidRPr="00147180" w:rsidRDefault="00147180">
      <w:pPr>
        <w:pStyle w:val="FootnoteText"/>
      </w:pPr>
    </w:p>
  </w:footnote>
  <w:footnote w:id="7">
    <w:p w:rsidR="00CD63BD" w:rsidRPr="00147180" w:rsidRDefault="00CD63BD" w:rsidP="00CD63BD">
      <w:pPr>
        <w:pStyle w:val="FootnoteText"/>
      </w:pPr>
    </w:p>
  </w:footnote>
  <w:footnote w:id="8">
    <w:p w:rsidR="00096039" w:rsidRPr="00936E31" w:rsidRDefault="00096039" w:rsidP="00096039">
      <w:pPr>
        <w:pStyle w:val="FootnoteText"/>
        <w:rPr>
          <w:lang w:val="en-US"/>
        </w:rPr>
      </w:pPr>
      <w:r>
        <w:tab/>
      </w:r>
      <w:r>
        <w:rPr>
          <w:rStyle w:val="FootnoteReference"/>
        </w:rPr>
        <w:footnoteRef/>
      </w:r>
      <w:r>
        <w:tab/>
      </w:r>
      <w:proofErr w:type="gramStart"/>
      <w:r>
        <w:t>General Assembly resolution 67/234 B.</w:t>
      </w:r>
      <w:proofErr w:type="gramEnd"/>
    </w:p>
  </w:footnote>
  <w:footnote w:id="9">
    <w:p w:rsidR="00CF7632" w:rsidRPr="00E56C86" w:rsidRDefault="00CF7632">
      <w:pPr>
        <w:pStyle w:val="FootnoteText"/>
        <w:rPr>
          <w:lang w:val="en-US"/>
        </w:rPr>
      </w:pPr>
      <w:r>
        <w:tab/>
      </w:r>
      <w:r>
        <w:rPr>
          <w:rStyle w:val="FootnoteReference"/>
        </w:rPr>
        <w:footnoteRef/>
      </w:r>
      <w:r>
        <w:tab/>
      </w:r>
      <w:proofErr w:type="gramStart"/>
      <w:r w:rsidR="00096039">
        <w:t>General Assembly r</w:t>
      </w:r>
      <w:proofErr w:type="spellStart"/>
      <w:r>
        <w:rPr>
          <w:lang w:val="en-US"/>
        </w:rPr>
        <w:t>esolution</w:t>
      </w:r>
      <w:proofErr w:type="spellEnd"/>
      <w:r>
        <w:rPr>
          <w:lang w:val="en-US"/>
        </w:rPr>
        <w:t xml:space="preserve"> 70/1.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C42278">
    <w:pPr>
      <w:pStyle w:val="Header"/>
    </w:pPr>
    <w:r>
      <w:t>A/HRC/</w:t>
    </w:r>
    <w:r w:rsidR="00402A2C">
      <w:t>3</w:t>
    </w:r>
    <w:r w:rsidR="00F714CA">
      <w:t>2</w:t>
    </w:r>
    <w:r w:rsidR="00E10083">
      <w:t>/L.</w:t>
    </w:r>
    <w:r w:rsidR="00625EC5">
      <w:t>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278" w:rsidRPr="00EE2A77" w:rsidRDefault="005A69B3" w:rsidP="00EE2A77">
    <w:pPr>
      <w:pStyle w:val="Header"/>
      <w:jc w:val="right"/>
    </w:pPr>
    <w:r>
      <w:t>A/HRC/</w:t>
    </w:r>
    <w:r w:rsidR="00402A2C">
      <w:t>3</w:t>
    </w:r>
    <w:r w:rsidR="00D42B42">
      <w:t>1</w:t>
    </w:r>
    <w:r w:rsidR="00E10083">
      <w:t>/L.</w:t>
    </w:r>
    <w:r w:rsidR="00154B0E">
      <w:t>24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
  </w:num>
  <w:num w:numId="2">
    <w:abstractNumId w:val="3"/>
  </w:num>
  <w:num w:numId="3">
    <w:abstractNumId w:val="6"/>
  </w:num>
  <w:num w:numId="4">
    <w:abstractNumId w:val="2"/>
  </w:num>
  <w:num w:numId="5">
    <w:abstractNumId w:val="0"/>
  </w:num>
  <w:num w:numId="6">
    <w:abstractNumId w:val="1"/>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77"/>
    <w:rsid w:val="00001D37"/>
    <w:rsid w:val="00007F7F"/>
    <w:rsid w:val="00022DB5"/>
    <w:rsid w:val="00032232"/>
    <w:rsid w:val="000403D1"/>
    <w:rsid w:val="00042566"/>
    <w:rsid w:val="000449AA"/>
    <w:rsid w:val="00050F6B"/>
    <w:rsid w:val="0005216E"/>
    <w:rsid w:val="00072C8C"/>
    <w:rsid w:val="00073E70"/>
    <w:rsid w:val="000876EB"/>
    <w:rsid w:val="00091419"/>
    <w:rsid w:val="000931C0"/>
    <w:rsid w:val="00096039"/>
    <w:rsid w:val="000A2AFE"/>
    <w:rsid w:val="000B175B"/>
    <w:rsid w:val="000B1E07"/>
    <w:rsid w:val="000B3A0F"/>
    <w:rsid w:val="000B4A3B"/>
    <w:rsid w:val="000D1851"/>
    <w:rsid w:val="000E0415"/>
    <w:rsid w:val="0010794C"/>
    <w:rsid w:val="00111F87"/>
    <w:rsid w:val="0011209E"/>
    <w:rsid w:val="00114904"/>
    <w:rsid w:val="00146D32"/>
    <w:rsid w:val="00147180"/>
    <w:rsid w:val="001509BA"/>
    <w:rsid w:val="00153FA2"/>
    <w:rsid w:val="00154B0E"/>
    <w:rsid w:val="0017738B"/>
    <w:rsid w:val="00190DA0"/>
    <w:rsid w:val="00195879"/>
    <w:rsid w:val="001B4B04"/>
    <w:rsid w:val="001C6663"/>
    <w:rsid w:val="001C7895"/>
    <w:rsid w:val="001D26DF"/>
    <w:rsid w:val="001E2790"/>
    <w:rsid w:val="00211E0B"/>
    <w:rsid w:val="00211E72"/>
    <w:rsid w:val="00214047"/>
    <w:rsid w:val="0022130F"/>
    <w:rsid w:val="00237785"/>
    <w:rsid w:val="002410DD"/>
    <w:rsid w:val="00241466"/>
    <w:rsid w:val="00253D58"/>
    <w:rsid w:val="0027725F"/>
    <w:rsid w:val="0028185A"/>
    <w:rsid w:val="002C21F0"/>
    <w:rsid w:val="002D4176"/>
    <w:rsid w:val="002E7C76"/>
    <w:rsid w:val="002F006E"/>
    <w:rsid w:val="003107FA"/>
    <w:rsid w:val="003229D8"/>
    <w:rsid w:val="003314D1"/>
    <w:rsid w:val="00335A2F"/>
    <w:rsid w:val="00341937"/>
    <w:rsid w:val="0036088C"/>
    <w:rsid w:val="00364A1C"/>
    <w:rsid w:val="00390052"/>
    <w:rsid w:val="0039277A"/>
    <w:rsid w:val="003972E0"/>
    <w:rsid w:val="003975ED"/>
    <w:rsid w:val="003C2CC4"/>
    <w:rsid w:val="003D206B"/>
    <w:rsid w:val="003D2765"/>
    <w:rsid w:val="003D4B23"/>
    <w:rsid w:val="003E7D53"/>
    <w:rsid w:val="00402A2C"/>
    <w:rsid w:val="00424C80"/>
    <w:rsid w:val="00427510"/>
    <w:rsid w:val="004325CB"/>
    <w:rsid w:val="004413C2"/>
    <w:rsid w:val="00443464"/>
    <w:rsid w:val="0044503A"/>
    <w:rsid w:val="004453BF"/>
    <w:rsid w:val="00446DE4"/>
    <w:rsid w:val="00447761"/>
    <w:rsid w:val="00451EC3"/>
    <w:rsid w:val="00456DD6"/>
    <w:rsid w:val="004721B1"/>
    <w:rsid w:val="00472982"/>
    <w:rsid w:val="004859EC"/>
    <w:rsid w:val="00487B50"/>
    <w:rsid w:val="004939B3"/>
    <w:rsid w:val="00493D3E"/>
    <w:rsid w:val="00496A15"/>
    <w:rsid w:val="004A6D3A"/>
    <w:rsid w:val="004B75D2"/>
    <w:rsid w:val="004C0361"/>
    <w:rsid w:val="004D0109"/>
    <w:rsid w:val="004D1140"/>
    <w:rsid w:val="004F55ED"/>
    <w:rsid w:val="005053EE"/>
    <w:rsid w:val="0052176C"/>
    <w:rsid w:val="005261E5"/>
    <w:rsid w:val="005420F2"/>
    <w:rsid w:val="00542574"/>
    <w:rsid w:val="005436AB"/>
    <w:rsid w:val="0054626B"/>
    <w:rsid w:val="00546DBF"/>
    <w:rsid w:val="00553D76"/>
    <w:rsid w:val="00554B96"/>
    <w:rsid w:val="005552B5"/>
    <w:rsid w:val="0056117B"/>
    <w:rsid w:val="00567613"/>
    <w:rsid w:val="00571365"/>
    <w:rsid w:val="00576396"/>
    <w:rsid w:val="00597B57"/>
    <w:rsid w:val="005A69B3"/>
    <w:rsid w:val="005B3DB3"/>
    <w:rsid w:val="005B4D83"/>
    <w:rsid w:val="005B6E48"/>
    <w:rsid w:val="005C2413"/>
    <w:rsid w:val="005C69BB"/>
    <w:rsid w:val="005E1712"/>
    <w:rsid w:val="005F52A9"/>
    <w:rsid w:val="0061165E"/>
    <w:rsid w:val="00611ABD"/>
    <w:rsid w:val="00611FC4"/>
    <w:rsid w:val="00612DD2"/>
    <w:rsid w:val="006176FB"/>
    <w:rsid w:val="00625EC5"/>
    <w:rsid w:val="00640B26"/>
    <w:rsid w:val="00642E8B"/>
    <w:rsid w:val="006505D9"/>
    <w:rsid w:val="00657FEF"/>
    <w:rsid w:val="006601B6"/>
    <w:rsid w:val="00670741"/>
    <w:rsid w:val="00674C17"/>
    <w:rsid w:val="006947AE"/>
    <w:rsid w:val="00696BD6"/>
    <w:rsid w:val="00697307"/>
    <w:rsid w:val="006A6B9D"/>
    <w:rsid w:val="006A7392"/>
    <w:rsid w:val="006B3189"/>
    <w:rsid w:val="006B7D65"/>
    <w:rsid w:val="006C28EE"/>
    <w:rsid w:val="006C35AD"/>
    <w:rsid w:val="006D4961"/>
    <w:rsid w:val="006D5F84"/>
    <w:rsid w:val="006D6DA6"/>
    <w:rsid w:val="006E564B"/>
    <w:rsid w:val="006E59E7"/>
    <w:rsid w:val="006F13F0"/>
    <w:rsid w:val="006F5035"/>
    <w:rsid w:val="0070635F"/>
    <w:rsid w:val="007065EB"/>
    <w:rsid w:val="0071701A"/>
    <w:rsid w:val="00720183"/>
    <w:rsid w:val="0072632A"/>
    <w:rsid w:val="0074200B"/>
    <w:rsid w:val="007A6296"/>
    <w:rsid w:val="007B208E"/>
    <w:rsid w:val="007B5706"/>
    <w:rsid w:val="007B6BA5"/>
    <w:rsid w:val="007B7C6F"/>
    <w:rsid w:val="007C1B62"/>
    <w:rsid w:val="007C3390"/>
    <w:rsid w:val="007C4F4B"/>
    <w:rsid w:val="007C5E9C"/>
    <w:rsid w:val="007D2CDC"/>
    <w:rsid w:val="007D5327"/>
    <w:rsid w:val="007E15F4"/>
    <w:rsid w:val="007F6611"/>
    <w:rsid w:val="008155C3"/>
    <w:rsid w:val="008175E9"/>
    <w:rsid w:val="0082243E"/>
    <w:rsid w:val="008242D7"/>
    <w:rsid w:val="008402E9"/>
    <w:rsid w:val="00856CD2"/>
    <w:rsid w:val="00861BC6"/>
    <w:rsid w:val="00871FD5"/>
    <w:rsid w:val="0087711F"/>
    <w:rsid w:val="008979B1"/>
    <w:rsid w:val="008A6B25"/>
    <w:rsid w:val="008A6C4F"/>
    <w:rsid w:val="008C1E4D"/>
    <w:rsid w:val="008E0E46"/>
    <w:rsid w:val="0090452C"/>
    <w:rsid w:val="00907C3F"/>
    <w:rsid w:val="0092237C"/>
    <w:rsid w:val="009340D5"/>
    <w:rsid w:val="0093707B"/>
    <w:rsid w:val="009400EB"/>
    <w:rsid w:val="009427E3"/>
    <w:rsid w:val="00944104"/>
    <w:rsid w:val="00951B11"/>
    <w:rsid w:val="00956D9B"/>
    <w:rsid w:val="00963CBA"/>
    <w:rsid w:val="009654B7"/>
    <w:rsid w:val="00976B90"/>
    <w:rsid w:val="00991261"/>
    <w:rsid w:val="00997BB1"/>
    <w:rsid w:val="009A0B83"/>
    <w:rsid w:val="009B019A"/>
    <w:rsid w:val="009B3800"/>
    <w:rsid w:val="009D22AC"/>
    <w:rsid w:val="009D50DB"/>
    <w:rsid w:val="009D663E"/>
    <w:rsid w:val="009E1C4E"/>
    <w:rsid w:val="009F34F1"/>
    <w:rsid w:val="009F58A8"/>
    <w:rsid w:val="00A003D2"/>
    <w:rsid w:val="00A02B35"/>
    <w:rsid w:val="00A05E0B"/>
    <w:rsid w:val="00A1427D"/>
    <w:rsid w:val="00A4634F"/>
    <w:rsid w:val="00A51CF3"/>
    <w:rsid w:val="00A72F22"/>
    <w:rsid w:val="00A748A6"/>
    <w:rsid w:val="00A879A4"/>
    <w:rsid w:val="00A87E95"/>
    <w:rsid w:val="00A92E29"/>
    <w:rsid w:val="00AB3CE4"/>
    <w:rsid w:val="00AB61A8"/>
    <w:rsid w:val="00AC2E56"/>
    <w:rsid w:val="00AD0613"/>
    <w:rsid w:val="00AD09E9"/>
    <w:rsid w:val="00AD7489"/>
    <w:rsid w:val="00AF0576"/>
    <w:rsid w:val="00AF3829"/>
    <w:rsid w:val="00B037F0"/>
    <w:rsid w:val="00B2327D"/>
    <w:rsid w:val="00B2715D"/>
    <w:rsid w:val="00B2718F"/>
    <w:rsid w:val="00B30179"/>
    <w:rsid w:val="00B3317B"/>
    <w:rsid w:val="00B334DC"/>
    <w:rsid w:val="00B3631A"/>
    <w:rsid w:val="00B4035F"/>
    <w:rsid w:val="00B53013"/>
    <w:rsid w:val="00B57EDB"/>
    <w:rsid w:val="00B67F5E"/>
    <w:rsid w:val="00B73E65"/>
    <w:rsid w:val="00B81E12"/>
    <w:rsid w:val="00B84745"/>
    <w:rsid w:val="00B87110"/>
    <w:rsid w:val="00B94B00"/>
    <w:rsid w:val="00B97FA8"/>
    <w:rsid w:val="00BB5313"/>
    <w:rsid w:val="00BC1385"/>
    <w:rsid w:val="00BC74E9"/>
    <w:rsid w:val="00BD1B97"/>
    <w:rsid w:val="00BE00DE"/>
    <w:rsid w:val="00BE618E"/>
    <w:rsid w:val="00C10F6C"/>
    <w:rsid w:val="00C24693"/>
    <w:rsid w:val="00C359A4"/>
    <w:rsid w:val="00C35F0B"/>
    <w:rsid w:val="00C42278"/>
    <w:rsid w:val="00C463DD"/>
    <w:rsid w:val="00C62C58"/>
    <w:rsid w:val="00C64458"/>
    <w:rsid w:val="00C745C3"/>
    <w:rsid w:val="00C86EEF"/>
    <w:rsid w:val="00C90F6E"/>
    <w:rsid w:val="00CA2A58"/>
    <w:rsid w:val="00CA75AA"/>
    <w:rsid w:val="00CB2CAE"/>
    <w:rsid w:val="00CC0B55"/>
    <w:rsid w:val="00CD1E06"/>
    <w:rsid w:val="00CD63BD"/>
    <w:rsid w:val="00CD6995"/>
    <w:rsid w:val="00CE4A8F"/>
    <w:rsid w:val="00CE5514"/>
    <w:rsid w:val="00CF0214"/>
    <w:rsid w:val="00CF0545"/>
    <w:rsid w:val="00CF3588"/>
    <w:rsid w:val="00CF586F"/>
    <w:rsid w:val="00CF7632"/>
    <w:rsid w:val="00CF7D43"/>
    <w:rsid w:val="00D11129"/>
    <w:rsid w:val="00D2031B"/>
    <w:rsid w:val="00D22332"/>
    <w:rsid w:val="00D25FE2"/>
    <w:rsid w:val="00D42B42"/>
    <w:rsid w:val="00D43252"/>
    <w:rsid w:val="00D550F9"/>
    <w:rsid w:val="00D572B0"/>
    <w:rsid w:val="00D62E90"/>
    <w:rsid w:val="00D76BE5"/>
    <w:rsid w:val="00D978C6"/>
    <w:rsid w:val="00DA5A30"/>
    <w:rsid w:val="00DA67AD"/>
    <w:rsid w:val="00DB18CE"/>
    <w:rsid w:val="00DE3EC0"/>
    <w:rsid w:val="00DF614B"/>
    <w:rsid w:val="00E051D8"/>
    <w:rsid w:val="00E10083"/>
    <w:rsid w:val="00E11593"/>
    <w:rsid w:val="00E12B6B"/>
    <w:rsid w:val="00E130AB"/>
    <w:rsid w:val="00E23BBC"/>
    <w:rsid w:val="00E438D9"/>
    <w:rsid w:val="00E43A8F"/>
    <w:rsid w:val="00E5536D"/>
    <w:rsid w:val="00E5644E"/>
    <w:rsid w:val="00E56C86"/>
    <w:rsid w:val="00E61A6C"/>
    <w:rsid w:val="00E7260F"/>
    <w:rsid w:val="00E73B40"/>
    <w:rsid w:val="00E806EE"/>
    <w:rsid w:val="00E84DFC"/>
    <w:rsid w:val="00E9471B"/>
    <w:rsid w:val="00E96630"/>
    <w:rsid w:val="00EA5EC1"/>
    <w:rsid w:val="00EB0C95"/>
    <w:rsid w:val="00EB0FB9"/>
    <w:rsid w:val="00EC250E"/>
    <w:rsid w:val="00ED0CA9"/>
    <w:rsid w:val="00ED7A2A"/>
    <w:rsid w:val="00EE2A77"/>
    <w:rsid w:val="00EE36FF"/>
    <w:rsid w:val="00EF1D7F"/>
    <w:rsid w:val="00EF5BDB"/>
    <w:rsid w:val="00F07FD9"/>
    <w:rsid w:val="00F15AA7"/>
    <w:rsid w:val="00F225CB"/>
    <w:rsid w:val="00F23933"/>
    <w:rsid w:val="00F24119"/>
    <w:rsid w:val="00F40E75"/>
    <w:rsid w:val="00F42CD9"/>
    <w:rsid w:val="00F44140"/>
    <w:rsid w:val="00F4793B"/>
    <w:rsid w:val="00F52936"/>
    <w:rsid w:val="00F674F3"/>
    <w:rsid w:val="00F677CB"/>
    <w:rsid w:val="00F67CCB"/>
    <w:rsid w:val="00F714CA"/>
    <w:rsid w:val="00F96A1E"/>
    <w:rsid w:val="00FA7DF3"/>
    <w:rsid w:val="00FC48F4"/>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Revision">
    <w:name w:val="Revision"/>
    <w:hidden/>
    <w:uiPriority w:val="99"/>
    <w:semiHidden/>
    <w:rsid w:val="00951B11"/>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21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qFormat/>
    <w:rsid w:val="00CF0214"/>
    <w:pPr>
      <w:spacing w:line="240" w:lineRule="auto"/>
      <w:outlineLvl w:val="1"/>
    </w:pPr>
  </w:style>
  <w:style w:type="paragraph" w:styleId="Heading3">
    <w:name w:val="heading 3"/>
    <w:basedOn w:val="Normal"/>
    <w:next w:val="Normal"/>
    <w:qFormat/>
    <w:rsid w:val="00CF0214"/>
    <w:pPr>
      <w:spacing w:line="240" w:lineRule="auto"/>
      <w:outlineLvl w:val="2"/>
    </w:pPr>
  </w:style>
  <w:style w:type="paragraph" w:styleId="Heading4">
    <w:name w:val="heading 4"/>
    <w:basedOn w:val="Normal"/>
    <w:next w:val="Normal"/>
    <w:qFormat/>
    <w:rsid w:val="00CF0214"/>
    <w:pPr>
      <w:spacing w:line="240" w:lineRule="auto"/>
      <w:outlineLvl w:val="3"/>
    </w:pPr>
  </w:style>
  <w:style w:type="paragraph" w:styleId="Heading5">
    <w:name w:val="heading 5"/>
    <w:basedOn w:val="Normal"/>
    <w:next w:val="Normal"/>
    <w:qFormat/>
    <w:rsid w:val="00CF0214"/>
    <w:pPr>
      <w:spacing w:line="240" w:lineRule="auto"/>
      <w:outlineLvl w:val="4"/>
    </w:pPr>
  </w:style>
  <w:style w:type="paragraph" w:styleId="Heading6">
    <w:name w:val="heading 6"/>
    <w:basedOn w:val="Normal"/>
    <w:next w:val="Normal"/>
    <w:qFormat/>
    <w:rsid w:val="00CF0214"/>
    <w:pPr>
      <w:spacing w:line="240" w:lineRule="auto"/>
      <w:outlineLvl w:val="5"/>
    </w:pPr>
  </w:style>
  <w:style w:type="paragraph" w:styleId="Heading7">
    <w:name w:val="heading 7"/>
    <w:basedOn w:val="Normal"/>
    <w:next w:val="Normal"/>
    <w:qFormat/>
    <w:rsid w:val="00CF0214"/>
    <w:pPr>
      <w:spacing w:line="240" w:lineRule="auto"/>
      <w:outlineLvl w:val="6"/>
    </w:pPr>
  </w:style>
  <w:style w:type="paragraph" w:styleId="Heading8">
    <w:name w:val="heading 8"/>
    <w:basedOn w:val="Normal"/>
    <w:next w:val="Normal"/>
    <w:qFormat/>
    <w:rsid w:val="00CF0214"/>
    <w:pPr>
      <w:spacing w:line="240" w:lineRule="auto"/>
      <w:outlineLvl w:val="7"/>
    </w:pPr>
  </w:style>
  <w:style w:type="paragraph" w:styleId="Heading9">
    <w:name w:val="heading 9"/>
    <w:basedOn w:val="Normal"/>
    <w:next w:val="Normal"/>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CF0214"/>
    <w:pPr>
      <w:spacing w:after="120"/>
      <w:ind w:left="1134" w:right="1134"/>
      <w:jc w:val="both"/>
    </w:pPr>
  </w:style>
  <w:style w:type="paragraph" w:customStyle="1" w:styleId="HMG">
    <w:name w:val="_ H __M_G"/>
    <w:basedOn w:val="Normal"/>
    <w:next w:val="Normal"/>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CF0214"/>
    <w:rPr>
      <w:rFonts w:ascii="Times New Roman" w:hAnsi="Times New Roman"/>
      <w:sz w:val="18"/>
      <w:vertAlign w:val="superscript"/>
    </w:rPr>
  </w:style>
  <w:style w:type="character" w:styleId="EndnoteReference">
    <w:name w:val="endnote reference"/>
    <w:aliases w:val="1_G"/>
    <w:basedOn w:val="FootnoteReference"/>
    <w:rsid w:val="00CF0214"/>
    <w:rPr>
      <w:rFonts w:ascii="Times New Roman" w:hAnsi="Times New Roman"/>
      <w:sz w:val="18"/>
      <w:vertAlign w:val="superscript"/>
    </w:rPr>
  </w:style>
  <w:style w:type="paragraph" w:styleId="Header">
    <w:name w:val="header"/>
    <w:aliases w:val="6_G"/>
    <w:basedOn w:val="Normal"/>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CF0214"/>
    <w:pPr>
      <w:tabs>
        <w:tab w:val="right" w:pos="1021"/>
      </w:tabs>
      <w:spacing w:line="220" w:lineRule="exact"/>
      <w:ind w:left="1134" w:right="1134" w:hanging="1134"/>
    </w:pPr>
    <w:rPr>
      <w:sz w:val="18"/>
    </w:rPr>
  </w:style>
  <w:style w:type="paragraph" w:styleId="EndnoteText">
    <w:name w:val="endnote text"/>
    <w:aliases w:val="2_G"/>
    <w:basedOn w:val="FootnoteText"/>
    <w:rsid w:val="00CF0214"/>
  </w:style>
  <w:style w:type="character" w:styleId="PageNumber">
    <w:name w:val="page number"/>
    <w:aliases w:val="7_G"/>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rsid w:val="00CF0214"/>
    <w:pPr>
      <w:numPr>
        <w:numId w:val="6"/>
      </w:numPr>
      <w:spacing w:after="120"/>
      <w:ind w:right="1134"/>
      <w:jc w:val="both"/>
    </w:pPr>
  </w:style>
  <w:style w:type="paragraph" w:styleId="Footer">
    <w:name w:val="footer"/>
    <w:aliases w:val="3_G"/>
    <w:basedOn w:val="Normal"/>
    <w:rsid w:val="00CF0214"/>
    <w:pPr>
      <w:spacing w:line="240" w:lineRule="auto"/>
    </w:pPr>
    <w:rPr>
      <w:sz w:val="16"/>
    </w:rPr>
  </w:style>
  <w:style w:type="paragraph" w:customStyle="1" w:styleId="Bullet2G">
    <w:name w:val="_Bullet 2_G"/>
    <w:basedOn w:val="Normal"/>
    <w:rsid w:val="00CF0214"/>
    <w:pPr>
      <w:numPr>
        <w:numId w:val="7"/>
      </w:numPr>
      <w:spacing w:after="120"/>
      <w:ind w:right="1134"/>
      <w:jc w:val="both"/>
    </w:pPr>
  </w:style>
  <w:style w:type="paragraph" w:customStyle="1" w:styleId="H1G">
    <w:name w:val="_ H_1_G"/>
    <w:basedOn w:val="Normal"/>
    <w:next w:val="Normal"/>
    <w:link w:val="H1GChar"/>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CF0214"/>
    <w:pPr>
      <w:keepNext/>
      <w:keepLines/>
      <w:tabs>
        <w:tab w:val="right" w:pos="851"/>
      </w:tabs>
      <w:spacing w:before="240" w:after="120" w:line="240" w:lineRule="exact"/>
      <w:ind w:left="1134" w:right="1134" w:hanging="1134"/>
    </w:pPr>
  </w:style>
  <w:style w:type="character" w:customStyle="1" w:styleId="SingleTxtGChar">
    <w:name w:val="_ Single Txt_G Char"/>
    <w:link w:val="SingleTxtG"/>
    <w:rsid w:val="002F006E"/>
    <w:rPr>
      <w:lang w:val="en-GB" w:eastAsia="en-US" w:bidi="ar-SA"/>
    </w:rPr>
  </w:style>
  <w:style w:type="character" w:customStyle="1" w:styleId="H1GChar">
    <w:name w:val="_ H_1_G Char"/>
    <w:link w:val="H1G"/>
    <w:rsid w:val="002F006E"/>
    <w:rPr>
      <w:b/>
      <w:sz w:val="24"/>
      <w:lang w:val="en-GB" w:eastAsia="en-US" w:bidi="ar-SA"/>
    </w:rPr>
  </w:style>
  <w:style w:type="paragraph" w:styleId="BalloonText">
    <w:name w:val="Balloon Text"/>
    <w:basedOn w:val="Normal"/>
    <w:link w:val="BalloonTextChar"/>
    <w:rsid w:val="00EB0C9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B0C95"/>
    <w:rPr>
      <w:rFonts w:ascii="Tahoma" w:hAnsi="Tahoma" w:cs="Tahoma"/>
      <w:sz w:val="16"/>
      <w:szCs w:val="16"/>
      <w:lang w:eastAsia="en-US"/>
    </w:rPr>
  </w:style>
  <w:style w:type="character" w:styleId="CommentReference">
    <w:name w:val="annotation reference"/>
    <w:basedOn w:val="DefaultParagraphFont"/>
    <w:rsid w:val="00EE36FF"/>
    <w:rPr>
      <w:sz w:val="16"/>
      <w:szCs w:val="16"/>
    </w:rPr>
  </w:style>
  <w:style w:type="paragraph" w:styleId="CommentText">
    <w:name w:val="annotation text"/>
    <w:basedOn w:val="Normal"/>
    <w:link w:val="CommentTextChar"/>
    <w:rsid w:val="00EE36FF"/>
    <w:pPr>
      <w:spacing w:line="240" w:lineRule="auto"/>
    </w:pPr>
  </w:style>
  <w:style w:type="character" w:customStyle="1" w:styleId="CommentTextChar">
    <w:name w:val="Comment Text Char"/>
    <w:basedOn w:val="DefaultParagraphFont"/>
    <w:link w:val="CommentText"/>
    <w:rsid w:val="00EE36FF"/>
    <w:rPr>
      <w:lang w:eastAsia="en-US"/>
    </w:rPr>
  </w:style>
  <w:style w:type="paragraph" w:styleId="CommentSubject">
    <w:name w:val="annotation subject"/>
    <w:basedOn w:val="CommentText"/>
    <w:next w:val="CommentText"/>
    <w:link w:val="CommentSubjectChar"/>
    <w:rsid w:val="00EE36FF"/>
    <w:rPr>
      <w:b/>
      <w:bCs/>
    </w:rPr>
  </w:style>
  <w:style w:type="character" w:customStyle="1" w:styleId="CommentSubjectChar">
    <w:name w:val="Comment Subject Char"/>
    <w:basedOn w:val="CommentTextChar"/>
    <w:link w:val="CommentSubject"/>
    <w:rsid w:val="00EE36FF"/>
    <w:rPr>
      <w:b/>
      <w:bCs/>
      <w:lang w:eastAsia="en-US"/>
    </w:rPr>
  </w:style>
  <w:style w:type="character" w:customStyle="1" w:styleId="FootnoteTextChar">
    <w:name w:val="Footnote Text Char"/>
    <w:aliases w:val="5_G Char"/>
    <w:basedOn w:val="DefaultParagraphFont"/>
    <w:link w:val="FootnoteText"/>
    <w:rsid w:val="00154B0E"/>
    <w:rPr>
      <w:sz w:val="18"/>
      <w:lang w:eastAsia="en-US"/>
    </w:rPr>
  </w:style>
  <w:style w:type="paragraph" w:customStyle="1" w:styleId="ecxmsonormal">
    <w:name w:val="ecxmsonormal"/>
    <w:basedOn w:val="Normal"/>
    <w:rsid w:val="00154B0E"/>
    <w:pPr>
      <w:suppressAutoHyphens w:val="0"/>
      <w:spacing w:before="100" w:beforeAutospacing="1" w:after="100" w:afterAutospacing="1" w:line="240" w:lineRule="auto"/>
    </w:pPr>
    <w:rPr>
      <w:sz w:val="24"/>
      <w:szCs w:val="24"/>
      <w:lang w:val="en-US"/>
    </w:rPr>
  </w:style>
  <w:style w:type="character" w:customStyle="1" w:styleId="apple-converted-space">
    <w:name w:val="apple-converted-space"/>
    <w:basedOn w:val="DefaultParagraphFont"/>
    <w:rsid w:val="00154B0E"/>
  </w:style>
  <w:style w:type="paragraph" w:styleId="Revision">
    <w:name w:val="Revision"/>
    <w:hidden/>
    <w:uiPriority w:val="99"/>
    <w:semiHidden/>
    <w:rsid w:val="00951B1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166829">
      <w:bodyDiv w:val="1"/>
      <w:marLeft w:val="0"/>
      <w:marRight w:val="0"/>
      <w:marTop w:val="0"/>
      <w:marBottom w:val="0"/>
      <w:divBdr>
        <w:top w:val="none" w:sz="0" w:space="0" w:color="auto"/>
        <w:left w:val="none" w:sz="0" w:space="0" w:color="auto"/>
        <w:bottom w:val="none" w:sz="0" w:space="0" w:color="auto"/>
        <w:right w:val="none" w:sz="0" w:space="0" w:color="auto"/>
      </w:divBdr>
    </w:div>
    <w:div w:id="159574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38DF3-40D3-4A4A-9DC1-171289E0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3827</Characters>
  <Application>Microsoft Office Word</Application>
  <DocSecurity>0</DocSecurity>
  <Lines>78</Lines>
  <Paragraphs>31</Paragraphs>
  <ScaleCrop>false</ScaleCrop>
  <HeadingPairs>
    <vt:vector size="2" baseType="variant">
      <vt:variant>
        <vt:lpstr>Title</vt:lpstr>
      </vt:variant>
      <vt:variant>
        <vt:i4>1</vt:i4>
      </vt:variant>
    </vt:vector>
  </HeadingPairs>
  <TitlesOfParts>
    <vt:vector size="1" baseType="lpstr">
      <vt:lpstr/>
    </vt:vector>
  </TitlesOfParts>
  <Company>CSD</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1610855</dc:title>
  <dc:subject>A/HRC/32/L.14</dc:subject>
  <dc:creator>Kiatsurayanon</dc:creator>
  <cp:keywords/>
  <dc:description/>
  <cp:lastModifiedBy>pdfeng</cp:lastModifiedBy>
  <cp:revision>2</cp:revision>
  <cp:lastPrinted>2015-09-29T06:28:00Z</cp:lastPrinted>
  <dcterms:created xsi:type="dcterms:W3CDTF">2016-06-28T06:11:00Z</dcterms:created>
  <dcterms:modified xsi:type="dcterms:W3CDTF">2016-06-28T06:11:00Z</dcterms:modified>
</cp:coreProperties>
</file>