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1758F3"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7F1F1E">
            <w:pPr>
              <w:jc w:val="right"/>
            </w:pPr>
            <w:r w:rsidRPr="001D18FE">
              <w:rPr>
                <w:sz w:val="40"/>
              </w:rPr>
              <w:t>A</w:t>
            </w:r>
            <w:r>
              <w:t>/HRC/</w:t>
            </w:r>
            <w:r w:rsidR="009142CB">
              <w:t>3</w:t>
            </w:r>
            <w:r w:rsidR="002900CA">
              <w:t>2</w:t>
            </w:r>
            <w:r>
              <w:t>/L.</w:t>
            </w:r>
            <w:r w:rsidR="007F1F1E">
              <w:t>21</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val="en-US" w:eastAsia="zh-CN"/>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7F1F1E" w:rsidP="00627187">
            <w:pPr>
              <w:spacing w:line="240" w:lineRule="exact"/>
            </w:pPr>
            <w:r>
              <w:t>2</w:t>
            </w:r>
            <w:r w:rsidR="003E2F92">
              <w:t>7</w:t>
            </w:r>
            <w:r>
              <w:t xml:space="preserve"> </w:t>
            </w:r>
            <w:r w:rsidR="002900CA">
              <w:t>June</w:t>
            </w:r>
            <w:r w:rsidR="00101F24">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2900CA" w:rsidP="00FE7BB7">
      <w:pPr>
        <w:rPr>
          <w:b/>
        </w:rPr>
      </w:pPr>
      <w:r>
        <w:rPr>
          <w:b/>
        </w:rPr>
        <w:t>Thirty-second</w:t>
      </w:r>
      <w:r w:rsidR="00AB6D2F">
        <w:rPr>
          <w:b/>
        </w:rPr>
        <w:t xml:space="preserve"> </w:t>
      </w:r>
      <w:proofErr w:type="gramStart"/>
      <w:r w:rsidR="00FE7BB7">
        <w:rPr>
          <w:b/>
        </w:rPr>
        <w:t>session</w:t>
      </w:r>
      <w:proofErr w:type="gramEnd"/>
    </w:p>
    <w:p w:rsidR="00FE7BB7" w:rsidRDefault="00447FCF" w:rsidP="00FE7BB7">
      <w:r>
        <w:t xml:space="preserve">Agenda item </w:t>
      </w:r>
      <w:r w:rsidR="007B690D">
        <w:t>10</w:t>
      </w:r>
    </w:p>
    <w:p w:rsidR="00FE7BB7" w:rsidRPr="00533C25" w:rsidRDefault="007B690D" w:rsidP="00FE7BB7">
      <w:pPr>
        <w:rPr>
          <w:b/>
        </w:rPr>
      </w:pPr>
      <w:bookmarkStart w:id="0" w:name="_GoBack"/>
      <w:r>
        <w:rPr>
          <w:b/>
        </w:rPr>
        <w:t>T</w:t>
      </w:r>
      <w:bookmarkEnd w:id="0"/>
      <w:r>
        <w:rPr>
          <w:b/>
        </w:rPr>
        <w:t>echnical assistance and capacity-building</w:t>
      </w:r>
    </w:p>
    <w:p w:rsidR="00FE7BB7" w:rsidRDefault="00FE7BB7" w:rsidP="0011700C">
      <w:pPr>
        <w:pStyle w:val="H23G"/>
      </w:pPr>
      <w:r>
        <w:tab/>
      </w:r>
      <w:r>
        <w:tab/>
      </w:r>
      <w:r w:rsidR="000D7E16">
        <w:t>Albania, Andorra,</w:t>
      </w:r>
      <w:r w:rsidR="000D7E16" w:rsidRPr="005F2DA7">
        <w:rPr>
          <w:b w:val="0"/>
          <w:sz w:val="18"/>
          <w:vertAlign w:val="superscript"/>
        </w:rPr>
        <w:t>*</w:t>
      </w:r>
      <w:r w:rsidR="000D7E16">
        <w:t xml:space="preserve"> Australia,</w:t>
      </w:r>
      <w:r w:rsidR="00450EBD" w:rsidRPr="00450EBD">
        <w:rPr>
          <w:b w:val="0"/>
          <w:sz w:val="18"/>
          <w:vertAlign w:val="superscript"/>
        </w:rPr>
        <w:t>*</w:t>
      </w:r>
      <w:r w:rsidR="000D7E16">
        <w:t xml:space="preserve"> Austria,</w:t>
      </w:r>
      <w:r w:rsidR="00450EBD" w:rsidRPr="00450EBD">
        <w:rPr>
          <w:b w:val="0"/>
          <w:sz w:val="18"/>
          <w:vertAlign w:val="superscript"/>
        </w:rPr>
        <w:t>*</w:t>
      </w:r>
      <w:r w:rsidR="000D7E16">
        <w:t xml:space="preserve"> Belgium, Bulgaria,</w:t>
      </w:r>
      <w:r w:rsidR="00450EBD" w:rsidRPr="00450EBD">
        <w:rPr>
          <w:b w:val="0"/>
          <w:sz w:val="18"/>
          <w:vertAlign w:val="superscript"/>
        </w:rPr>
        <w:t>*</w:t>
      </w:r>
      <w:r w:rsidR="000D7E16">
        <w:t xml:space="preserve"> Canada,</w:t>
      </w:r>
      <w:r w:rsidR="00450EBD" w:rsidRPr="00450EBD">
        <w:rPr>
          <w:b w:val="0"/>
          <w:sz w:val="18"/>
          <w:vertAlign w:val="superscript"/>
        </w:rPr>
        <w:t>*</w:t>
      </w:r>
      <w:r w:rsidR="000D7E16">
        <w:t xml:space="preserve"> Croatia,</w:t>
      </w:r>
      <w:r w:rsidR="00450EBD" w:rsidRPr="00450EBD">
        <w:rPr>
          <w:b w:val="0"/>
          <w:sz w:val="18"/>
          <w:vertAlign w:val="superscript"/>
        </w:rPr>
        <w:t>*</w:t>
      </w:r>
      <w:r w:rsidR="000D7E16">
        <w:t xml:space="preserve"> Cyprus,</w:t>
      </w:r>
      <w:r w:rsidR="00450EBD" w:rsidRPr="00450EBD">
        <w:rPr>
          <w:b w:val="0"/>
          <w:sz w:val="18"/>
          <w:vertAlign w:val="superscript"/>
        </w:rPr>
        <w:t>*</w:t>
      </w:r>
      <w:r w:rsidR="000D7E16">
        <w:t xml:space="preserve"> Czech Republic,</w:t>
      </w:r>
      <w:r w:rsidR="00450EBD" w:rsidRPr="00450EBD">
        <w:rPr>
          <w:b w:val="0"/>
          <w:sz w:val="18"/>
          <w:vertAlign w:val="superscript"/>
        </w:rPr>
        <w:t>*</w:t>
      </w:r>
      <w:r w:rsidR="000D7E16">
        <w:t xml:space="preserve"> Denmark,</w:t>
      </w:r>
      <w:r w:rsidR="00450EBD" w:rsidRPr="00450EBD">
        <w:rPr>
          <w:b w:val="0"/>
          <w:sz w:val="18"/>
          <w:vertAlign w:val="superscript"/>
        </w:rPr>
        <w:t>*</w:t>
      </w:r>
      <w:r w:rsidR="000D7E16">
        <w:t xml:space="preserve"> Estonia,</w:t>
      </w:r>
      <w:r w:rsidR="00450EBD" w:rsidRPr="00450EBD">
        <w:rPr>
          <w:b w:val="0"/>
          <w:sz w:val="18"/>
          <w:vertAlign w:val="superscript"/>
        </w:rPr>
        <w:t>*</w:t>
      </w:r>
      <w:r w:rsidR="000D7E16">
        <w:t xml:space="preserve"> Finland,</w:t>
      </w:r>
      <w:r w:rsidR="00450EBD" w:rsidRPr="00450EBD">
        <w:rPr>
          <w:b w:val="0"/>
          <w:sz w:val="18"/>
          <w:vertAlign w:val="superscript"/>
        </w:rPr>
        <w:t>*</w:t>
      </w:r>
      <w:r w:rsidR="000D7E16">
        <w:t xml:space="preserve"> France, Georgia, Germany, Greece,</w:t>
      </w:r>
      <w:r w:rsidR="00450EBD" w:rsidRPr="00450EBD">
        <w:rPr>
          <w:b w:val="0"/>
          <w:sz w:val="18"/>
          <w:vertAlign w:val="superscript"/>
        </w:rPr>
        <w:t>*</w:t>
      </w:r>
      <w:r w:rsidR="000D7E16">
        <w:t xml:space="preserve"> Hungary,</w:t>
      </w:r>
      <w:r w:rsidR="00450EBD" w:rsidRPr="00450EBD">
        <w:rPr>
          <w:b w:val="0"/>
          <w:sz w:val="18"/>
          <w:vertAlign w:val="superscript"/>
        </w:rPr>
        <w:t>*</w:t>
      </w:r>
      <w:r w:rsidR="000D7E16">
        <w:t xml:space="preserve"> Iceland,</w:t>
      </w:r>
      <w:r w:rsidR="00450EBD" w:rsidRPr="00450EBD">
        <w:rPr>
          <w:b w:val="0"/>
          <w:sz w:val="18"/>
          <w:vertAlign w:val="superscript"/>
        </w:rPr>
        <w:t>*</w:t>
      </w:r>
      <w:r w:rsidR="000D7E16">
        <w:t xml:space="preserve"> Ireland,</w:t>
      </w:r>
      <w:r w:rsidR="00450EBD" w:rsidRPr="00450EBD">
        <w:rPr>
          <w:b w:val="0"/>
          <w:sz w:val="18"/>
          <w:vertAlign w:val="superscript"/>
        </w:rPr>
        <w:t>*</w:t>
      </w:r>
      <w:r w:rsidR="000D7E16">
        <w:t xml:space="preserve"> Italy,</w:t>
      </w:r>
      <w:r w:rsidR="00450EBD" w:rsidRPr="00450EBD">
        <w:rPr>
          <w:b w:val="0"/>
          <w:sz w:val="18"/>
          <w:vertAlign w:val="superscript"/>
        </w:rPr>
        <w:t>*</w:t>
      </w:r>
      <w:r w:rsidR="000D7E16">
        <w:t xml:space="preserve"> Japan,</w:t>
      </w:r>
      <w:r w:rsidR="00450EBD" w:rsidRPr="00450EBD">
        <w:rPr>
          <w:b w:val="0"/>
          <w:sz w:val="18"/>
          <w:vertAlign w:val="superscript"/>
        </w:rPr>
        <w:t>*</w:t>
      </w:r>
      <w:r w:rsidR="005F2DA7">
        <w:t xml:space="preserve"> Latvia, </w:t>
      </w:r>
      <w:r w:rsidR="00D76115">
        <w:t>Lithuania,</w:t>
      </w:r>
      <w:r w:rsidR="00450EBD" w:rsidRPr="00450EBD">
        <w:rPr>
          <w:b w:val="0"/>
          <w:sz w:val="18"/>
          <w:vertAlign w:val="superscript"/>
        </w:rPr>
        <w:t>*</w:t>
      </w:r>
      <w:r w:rsidR="00D76115">
        <w:t xml:space="preserve"> </w:t>
      </w:r>
      <w:r w:rsidR="000D7E16">
        <w:t>Luxembourg,</w:t>
      </w:r>
      <w:r w:rsidR="00450EBD" w:rsidRPr="00450EBD">
        <w:rPr>
          <w:b w:val="0"/>
          <w:sz w:val="18"/>
          <w:vertAlign w:val="superscript"/>
        </w:rPr>
        <w:t>*</w:t>
      </w:r>
      <w:r w:rsidR="000D7E16">
        <w:t xml:space="preserve"> Malta,</w:t>
      </w:r>
      <w:r w:rsidR="00450EBD" w:rsidRPr="00450EBD">
        <w:rPr>
          <w:b w:val="0"/>
          <w:sz w:val="18"/>
          <w:vertAlign w:val="superscript"/>
        </w:rPr>
        <w:t>*</w:t>
      </w:r>
      <w:r w:rsidR="000D7E16">
        <w:t xml:space="preserve"> Montenegro,</w:t>
      </w:r>
      <w:r w:rsidR="00450EBD" w:rsidRPr="00450EBD">
        <w:rPr>
          <w:b w:val="0"/>
          <w:sz w:val="18"/>
          <w:vertAlign w:val="superscript"/>
        </w:rPr>
        <w:t>*</w:t>
      </w:r>
      <w:r w:rsidR="000D7E16">
        <w:t xml:space="preserve"> Netherlands, Norway,</w:t>
      </w:r>
      <w:r w:rsidR="00450EBD" w:rsidRPr="00450EBD">
        <w:rPr>
          <w:b w:val="0"/>
          <w:sz w:val="18"/>
          <w:vertAlign w:val="superscript"/>
        </w:rPr>
        <w:t>*</w:t>
      </w:r>
      <w:r w:rsidR="000D7E16">
        <w:t xml:space="preserve"> Poland,</w:t>
      </w:r>
      <w:r w:rsidR="00450EBD" w:rsidRPr="00450EBD">
        <w:rPr>
          <w:b w:val="0"/>
          <w:sz w:val="18"/>
          <w:vertAlign w:val="superscript"/>
        </w:rPr>
        <w:t>*</w:t>
      </w:r>
      <w:r w:rsidR="000D7E16">
        <w:t xml:space="preserve"> Portugal, Republic of Moldova,</w:t>
      </w:r>
      <w:r w:rsidR="00450EBD" w:rsidRPr="00450EBD">
        <w:rPr>
          <w:b w:val="0"/>
          <w:sz w:val="18"/>
          <w:vertAlign w:val="superscript"/>
        </w:rPr>
        <w:t>*</w:t>
      </w:r>
      <w:r w:rsidR="000D7E16">
        <w:t xml:space="preserve"> Romania,</w:t>
      </w:r>
      <w:r w:rsidR="00450EBD" w:rsidRPr="00450EBD">
        <w:rPr>
          <w:b w:val="0"/>
          <w:sz w:val="18"/>
          <w:vertAlign w:val="superscript"/>
        </w:rPr>
        <w:t>*</w:t>
      </w:r>
      <w:r w:rsidR="000D7E16">
        <w:t xml:space="preserve"> Slovakia,</w:t>
      </w:r>
      <w:r w:rsidR="00450EBD" w:rsidRPr="00450EBD">
        <w:rPr>
          <w:b w:val="0"/>
          <w:sz w:val="18"/>
          <w:vertAlign w:val="superscript"/>
        </w:rPr>
        <w:t>*</w:t>
      </w:r>
      <w:r w:rsidR="000D7E16">
        <w:t xml:space="preserve"> Slovenia, Spain,</w:t>
      </w:r>
      <w:r w:rsidR="00450EBD" w:rsidRPr="00450EBD">
        <w:rPr>
          <w:b w:val="0"/>
          <w:sz w:val="18"/>
          <w:vertAlign w:val="superscript"/>
        </w:rPr>
        <w:t>*</w:t>
      </w:r>
      <w:r w:rsidR="000D7E16">
        <w:t xml:space="preserve"> </w:t>
      </w:r>
      <w:r w:rsidR="000D7E16" w:rsidRPr="000D7E16">
        <w:t>Sweden,</w:t>
      </w:r>
      <w:r w:rsidR="00450EBD" w:rsidRPr="00450EBD">
        <w:rPr>
          <w:b w:val="0"/>
          <w:sz w:val="18"/>
          <w:vertAlign w:val="superscript"/>
        </w:rPr>
        <w:t>*</w:t>
      </w:r>
      <w:r w:rsidR="000D7E16" w:rsidRPr="000D7E16">
        <w:t xml:space="preserve"> </w:t>
      </w:r>
      <w:r w:rsidR="000D7E16">
        <w:t>Switzerland, the former Yugoslav Republic of Macedonia, Turkey,</w:t>
      </w:r>
      <w:r w:rsidR="00450EBD" w:rsidRPr="00450EBD">
        <w:rPr>
          <w:b w:val="0"/>
          <w:sz w:val="18"/>
          <w:vertAlign w:val="superscript"/>
        </w:rPr>
        <w:t>*</w:t>
      </w:r>
      <w:r w:rsidR="000D7E16">
        <w:t xml:space="preserve"> Ukraine,</w:t>
      </w:r>
      <w:r w:rsidR="00450EBD" w:rsidRPr="00450EBD">
        <w:rPr>
          <w:b w:val="0"/>
          <w:sz w:val="18"/>
          <w:vertAlign w:val="superscript"/>
        </w:rPr>
        <w:t>*</w:t>
      </w:r>
      <w:r w:rsidR="000D7E16" w:rsidRPr="000D7E16">
        <w:rPr>
          <w:rStyle w:val="FootnoteReference"/>
          <w:sz w:val="20"/>
          <w:vertAlign w:val="baseline"/>
        </w:rPr>
        <w:footnoteReference w:customMarkFollows="1" w:id="2"/>
        <w:t>*</w:t>
      </w:r>
      <w:r w:rsidR="000D7E16">
        <w:t xml:space="preserve"> United Kingdom of Great Britain and Northern Ireland, United States of America:</w:t>
      </w:r>
      <w:r w:rsidR="00450EBD" w:rsidRPr="00450EBD">
        <w:rPr>
          <w:b w:val="0"/>
          <w:sz w:val="18"/>
          <w:vertAlign w:val="superscript"/>
        </w:rPr>
        <w:t>*</w:t>
      </w:r>
      <w:r>
        <w:t xml:space="preserve"> draft resolution</w:t>
      </w:r>
    </w:p>
    <w:p w:rsidR="009142CB" w:rsidRPr="007A45D3" w:rsidRDefault="009142CB" w:rsidP="009142CB">
      <w:pPr>
        <w:pStyle w:val="H1G"/>
        <w:tabs>
          <w:tab w:val="clear" w:pos="851"/>
        </w:tabs>
        <w:ind w:left="1843" w:hanging="709"/>
      </w:pPr>
      <w:proofErr w:type="gramStart"/>
      <w:r>
        <w:t>3</w:t>
      </w:r>
      <w:r w:rsidR="002900CA">
        <w:t>2</w:t>
      </w:r>
      <w:r>
        <w:t>/…</w:t>
      </w:r>
      <w:proofErr w:type="gramEnd"/>
      <w:r>
        <w:tab/>
      </w:r>
      <w:r w:rsidR="007F1F1E" w:rsidRPr="007F1F1E">
        <w:t>Cooperation and assistance to Ukraine in the field of human rights</w:t>
      </w:r>
    </w:p>
    <w:p w:rsidR="00FE7BB7" w:rsidRDefault="00FE7BB7" w:rsidP="009142CB">
      <w:pPr>
        <w:pStyle w:val="SingleTxtG"/>
      </w:pPr>
      <w:r>
        <w:tab/>
      </w:r>
      <w:r w:rsidRPr="009142CB">
        <w:rPr>
          <w:i/>
        </w:rPr>
        <w:t>The Human Rights Council</w:t>
      </w:r>
      <w:r w:rsidRPr="00852165">
        <w:t>,</w:t>
      </w:r>
    </w:p>
    <w:p w:rsidR="007F1F1E" w:rsidRPr="007F1F1E" w:rsidRDefault="007F1F1E" w:rsidP="007F1F1E">
      <w:pPr>
        <w:pStyle w:val="SingleTxtG"/>
      </w:pPr>
      <w:r>
        <w:tab/>
      </w:r>
      <w:r w:rsidRPr="007F1F1E">
        <w:rPr>
          <w:i/>
        </w:rPr>
        <w:t xml:space="preserve">Guided </w:t>
      </w:r>
      <w:r w:rsidRPr="005F2DA7">
        <w:t>by</w:t>
      </w:r>
      <w:r w:rsidRPr="007F1F1E">
        <w:t xml:space="preserve"> the purposes and principles of the Charter of the United Nations,</w:t>
      </w:r>
    </w:p>
    <w:p w:rsidR="007F1F1E" w:rsidRPr="007F1F1E" w:rsidRDefault="007F1F1E" w:rsidP="007F1F1E">
      <w:pPr>
        <w:pStyle w:val="SingleTxtG"/>
      </w:pPr>
      <w:r>
        <w:tab/>
      </w:r>
      <w:r w:rsidRPr="007F1F1E">
        <w:rPr>
          <w:i/>
        </w:rPr>
        <w:t>Reaffirming</w:t>
      </w:r>
      <w:r w:rsidRPr="007F1F1E">
        <w:t xml:space="preserve"> the Universal Declaration of Human Rights and relevant international human rights treaties,</w:t>
      </w:r>
    </w:p>
    <w:p w:rsidR="007F1F1E" w:rsidRPr="007F1F1E" w:rsidRDefault="007F1F1E" w:rsidP="007F1F1E">
      <w:pPr>
        <w:pStyle w:val="SingleTxtG"/>
      </w:pPr>
      <w:r>
        <w:tab/>
      </w:r>
      <w:r w:rsidRPr="007F1F1E">
        <w:rPr>
          <w:i/>
        </w:rPr>
        <w:t>Confirming</w:t>
      </w:r>
      <w:r w:rsidRPr="007F1F1E">
        <w:t xml:space="preserve"> the primary responsibility of States to promote and protect human rights,</w:t>
      </w:r>
    </w:p>
    <w:p w:rsidR="007F1F1E" w:rsidRPr="007F1F1E" w:rsidRDefault="007F1F1E" w:rsidP="007F1F1E">
      <w:pPr>
        <w:pStyle w:val="SingleTxtG"/>
      </w:pPr>
      <w:r>
        <w:tab/>
      </w:r>
      <w:r w:rsidRPr="007F1F1E">
        <w:rPr>
          <w:i/>
        </w:rPr>
        <w:t>Recalling</w:t>
      </w:r>
      <w:r w:rsidRPr="007F1F1E">
        <w:t xml:space="preserve"> Human Rights Council resolutions 26/30 of 27 June 2014 and 29/23 of 3 July 2015 on cooperation and assistance to Ukraine in the field of human rights,</w:t>
      </w:r>
    </w:p>
    <w:p w:rsidR="007F1F1E" w:rsidRPr="007F1F1E" w:rsidRDefault="007F1F1E" w:rsidP="007F1F1E">
      <w:pPr>
        <w:pStyle w:val="SingleTxtG"/>
      </w:pPr>
      <w:r>
        <w:tab/>
      </w:r>
      <w:r w:rsidRPr="007F1F1E">
        <w:rPr>
          <w:i/>
        </w:rPr>
        <w:t>Acknowledging</w:t>
      </w:r>
      <w:r w:rsidRPr="007F1F1E">
        <w:t xml:space="preserve"> the efforts of the United Nations, the Organization for Security and Cooperation in Europe and other international and regional organizations to assist Ukraine in protecting the rights of all persons in Ukraine, as described by the General Assembly in its resolution 68/262 of 27 March 2014, and the progress achieved</w:t>
      </w:r>
      <w:r w:rsidR="00AC3628">
        <w:t>,</w:t>
      </w:r>
      <w:r w:rsidRPr="007F1F1E">
        <w:t xml:space="preserve"> as well as the challenges and obstacles remaining in this regard,</w:t>
      </w:r>
    </w:p>
    <w:p w:rsidR="007F1F1E" w:rsidRPr="007F1F1E" w:rsidRDefault="007F1F1E" w:rsidP="007F1F1E">
      <w:pPr>
        <w:pStyle w:val="SingleTxtG"/>
      </w:pPr>
      <w:r>
        <w:tab/>
      </w:r>
      <w:r w:rsidRPr="007F1F1E">
        <w:rPr>
          <w:i/>
        </w:rPr>
        <w:t>Welcoming</w:t>
      </w:r>
      <w:r w:rsidRPr="007F1F1E">
        <w:t xml:space="preserve"> the technical assistance to Ukraine in the field of human rights provided by the Office of the United Nations High Commissioner for Human Rights, and acknowledging the further need for such assistance with due regard to the commitment of the Government of Ukraine to promote and protect human rights on all its territory,</w:t>
      </w:r>
    </w:p>
    <w:p w:rsidR="007F1F1E" w:rsidRPr="007F1F1E" w:rsidRDefault="007F1F1E" w:rsidP="007F1F1E">
      <w:pPr>
        <w:pStyle w:val="SingleTxtG"/>
      </w:pPr>
      <w:r>
        <w:lastRenderedPageBreak/>
        <w:tab/>
      </w:r>
      <w:r w:rsidRPr="007F1F1E">
        <w:rPr>
          <w:i/>
        </w:rPr>
        <w:t>Welcoming also</w:t>
      </w:r>
      <w:r w:rsidRPr="007F1F1E">
        <w:t xml:space="preserve"> the cooperation of the Government of Ukraine with the Office of the High Commissioner, including its monitoring mission in Ukraine, and with other relevant international and regional human rights mechanisms,</w:t>
      </w:r>
    </w:p>
    <w:p w:rsidR="007F1F1E" w:rsidRPr="007F1F1E" w:rsidRDefault="007F1F1E" w:rsidP="007F1F1E">
      <w:pPr>
        <w:pStyle w:val="SingleTxtG"/>
      </w:pPr>
      <w:r>
        <w:tab/>
      </w:r>
      <w:r w:rsidRPr="007F1F1E">
        <w:rPr>
          <w:i/>
        </w:rPr>
        <w:t>Recognizing</w:t>
      </w:r>
      <w:r w:rsidRPr="007F1F1E">
        <w:t xml:space="preserve"> the importance of the reports of the Office of the High Commissioner based on the findings of the monitoring mission for the proper assessment of the situation of human rights in Ukraine and an evaluation of the needs for technical assistance to Ukraine in the field of human rights,</w:t>
      </w:r>
    </w:p>
    <w:p w:rsidR="007F1F1E" w:rsidRPr="007F1F1E" w:rsidRDefault="00AD6DA6" w:rsidP="007F1F1E">
      <w:pPr>
        <w:pStyle w:val="SingleTxtG"/>
      </w:pPr>
      <w:r>
        <w:tab/>
      </w:r>
      <w:r w:rsidR="007F1F1E" w:rsidRPr="00AD6DA6">
        <w:rPr>
          <w:i/>
        </w:rPr>
        <w:t>Recognizing also</w:t>
      </w:r>
      <w:r w:rsidR="007F1F1E" w:rsidRPr="007F1F1E">
        <w:t xml:space="preserve"> the continuing need for ongoing reporting, including on the most serious human rights problems within Ukraine and their root causes,</w:t>
      </w:r>
    </w:p>
    <w:p w:rsidR="007F1F1E" w:rsidRPr="007F1F1E" w:rsidRDefault="00AD6DA6" w:rsidP="007F1F1E">
      <w:pPr>
        <w:pStyle w:val="SingleTxtG"/>
      </w:pPr>
      <w:r>
        <w:tab/>
        <w:t>1.</w:t>
      </w:r>
      <w:r>
        <w:tab/>
      </w:r>
      <w:r w:rsidR="007F1F1E" w:rsidRPr="00AD6DA6">
        <w:rPr>
          <w:i/>
        </w:rPr>
        <w:t>Welcomes</w:t>
      </w:r>
      <w:r w:rsidR="007F1F1E" w:rsidRPr="007F1F1E">
        <w:t xml:space="preserve"> the oral presentations by the Office of the United Nations High Commissioner for Human Rights to the States Members of the Human Rights Council and observers of the findings of the reports of the Office of the High Commissioner on the situation of human rights in Ukraine held, in accordance with Council resolution 29/23, from the thirtieth until the thirty-second sessions of the Council;</w:t>
      </w:r>
    </w:p>
    <w:p w:rsidR="007F1F1E" w:rsidRPr="007F1F1E" w:rsidRDefault="00AD6DA6" w:rsidP="007F1F1E">
      <w:pPr>
        <w:pStyle w:val="SingleTxtG"/>
      </w:pPr>
      <w:r>
        <w:tab/>
      </w:r>
      <w:r w:rsidR="007F1F1E" w:rsidRPr="007F1F1E">
        <w:t>2.</w:t>
      </w:r>
      <w:r>
        <w:tab/>
      </w:r>
      <w:r w:rsidR="007F1F1E" w:rsidRPr="00AD6DA6">
        <w:rPr>
          <w:i/>
        </w:rPr>
        <w:t>Invites</w:t>
      </w:r>
      <w:r w:rsidR="007F1F1E" w:rsidRPr="007F1F1E">
        <w:t xml:space="preserve"> the High Commissioner to continue to present orally to the States Members of the Human Rights Council and observers the findings of each of the reports of the Office of the High Commissioner on the situation of human rights in Ukraine, as part of the interactive dialogues, and through the modalities of the Council, in accordance with its resolution 5/1 of 18 June 2007, until the thirty-fifth session of the Council.</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26" w:rsidRDefault="00945826"/>
  </w:endnote>
  <w:endnote w:type="continuationSeparator" w:id="0">
    <w:p w:rsidR="00945826" w:rsidRDefault="00945826"/>
  </w:endnote>
  <w:endnote w:type="continuationNotice" w:id="1">
    <w:p w:rsidR="00945826" w:rsidRDefault="00945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F2DA7" w:rsidP="001D18FE">
    <w:pPr>
      <w:pStyle w:val="Footer"/>
      <w:tabs>
        <w:tab w:val="right" w:pos="9638"/>
      </w:tabs>
    </w:pPr>
    <w:r>
      <w:fldChar w:fldCharType="begin"/>
    </w:r>
    <w:r>
      <w:instrText xml:space="preserve"> PAGE  \* MERGEFORMAT </w:instrText>
    </w:r>
    <w:r>
      <w:fldChar w:fldCharType="separate"/>
    </w:r>
    <w:r w:rsidR="00361B29" w:rsidRPr="00361B29">
      <w:rPr>
        <w:b/>
        <w:noProof/>
        <w:sz w:val="18"/>
      </w:rPr>
      <w:t>2</w:t>
    </w:r>
    <w:r>
      <w:rPr>
        <w:b/>
        <w:noProof/>
        <w:sz w:val="18"/>
      </w:rPr>
      <w:fldChar w:fldCharType="end"/>
    </w:r>
    <w:r w:rsidR="007B690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Footer"/>
      <w:tabs>
        <w:tab w:val="right" w:pos="9638"/>
      </w:tabs>
      <w:rPr>
        <w:b/>
        <w:sz w:val="18"/>
      </w:rPr>
    </w:pPr>
    <w:r>
      <w:tab/>
    </w:r>
    <w:r w:rsidR="005F2DA7">
      <w:fldChar w:fldCharType="begin"/>
    </w:r>
    <w:r w:rsidR="005F2DA7">
      <w:instrText xml:space="preserve"> PAGE  \* MERGEFORMAT </w:instrText>
    </w:r>
    <w:r w:rsidR="005F2DA7">
      <w:fldChar w:fldCharType="separate"/>
    </w:r>
    <w:r w:rsidR="007F1F1E">
      <w:rPr>
        <w:b/>
        <w:noProof/>
        <w:sz w:val="18"/>
      </w:rPr>
      <w:t>3</w:t>
    </w:r>
    <w:r w:rsidR="005F2DA7">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29" w:rsidRDefault="00361B29" w:rsidP="00361B29">
    <w:pPr>
      <w:pStyle w:val="Footer"/>
      <w:rPr>
        <w:sz w:val="20"/>
      </w:rPr>
    </w:pPr>
    <w:r>
      <w:rPr>
        <w:rFonts w:ascii="C39T30Lfz" w:hAnsi="C39T30Lfz"/>
        <w:noProof/>
        <w:sz w:val="56"/>
        <w:lang w:val="en-US" w:eastAsia="zh-CN"/>
      </w:rPr>
      <w:drawing>
        <wp:anchor distT="0" distB="0" distL="114300" distR="114300" simplePos="0" relativeHeight="251660288" behindDoc="0" locked="0" layoutInCell="1" allowOverlap="1" wp14:anchorId="067631C8" wp14:editId="7F60833E">
          <wp:simplePos x="0" y="0"/>
          <wp:positionH relativeFrom="column">
            <wp:posOffset>5473065</wp:posOffset>
          </wp:positionH>
          <wp:positionV relativeFrom="paragraph">
            <wp:posOffset>-3810</wp:posOffset>
          </wp:positionV>
          <wp:extent cx="638175" cy="638175"/>
          <wp:effectExtent l="0" t="0" r="9525" b="9525"/>
          <wp:wrapNone/>
          <wp:docPr id="3" name="Picture 2" descr="http://undocs.org/m2/QRCode.ashx?DS=A/HRC/32/L.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32/L.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GE.16-10806(E)</w:t>
    </w:r>
  </w:p>
  <w:p w:rsidR="00361B29" w:rsidRPr="00361B29" w:rsidRDefault="00361B29" w:rsidP="00361B29">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4AF6AA0E" wp14:editId="73E6A8C9">
          <wp:simplePos x="0" y="0"/>
          <wp:positionH relativeFrom="margin">
            <wp:posOffset>4340860</wp:posOffset>
          </wp:positionH>
          <wp:positionV relativeFrom="margin">
            <wp:posOffset>8397240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26" w:rsidRPr="000B175B" w:rsidRDefault="00945826" w:rsidP="000B175B">
      <w:pPr>
        <w:tabs>
          <w:tab w:val="right" w:pos="2155"/>
        </w:tabs>
        <w:spacing w:after="80"/>
        <w:ind w:left="680"/>
        <w:rPr>
          <w:u w:val="single"/>
        </w:rPr>
      </w:pPr>
      <w:r>
        <w:rPr>
          <w:u w:val="single"/>
        </w:rPr>
        <w:tab/>
      </w:r>
    </w:p>
  </w:footnote>
  <w:footnote w:type="continuationSeparator" w:id="0">
    <w:p w:rsidR="00945826" w:rsidRPr="00FC68B7" w:rsidRDefault="00945826" w:rsidP="00FC68B7">
      <w:pPr>
        <w:tabs>
          <w:tab w:val="left" w:pos="2155"/>
        </w:tabs>
        <w:spacing w:after="80"/>
        <w:ind w:left="680"/>
        <w:rPr>
          <w:u w:val="single"/>
        </w:rPr>
      </w:pPr>
      <w:r>
        <w:rPr>
          <w:u w:val="single"/>
        </w:rPr>
        <w:tab/>
      </w:r>
    </w:p>
  </w:footnote>
  <w:footnote w:type="continuationNotice" w:id="1">
    <w:p w:rsidR="00945826" w:rsidRDefault="00945826"/>
  </w:footnote>
  <w:footnote w:id="2">
    <w:p w:rsidR="000D7E16" w:rsidRPr="000D7E16" w:rsidRDefault="000D7E16">
      <w:pPr>
        <w:pStyle w:val="FootnoteText"/>
      </w:pPr>
      <w:r>
        <w:rPr>
          <w:rStyle w:val="FootnoteReference"/>
        </w:rPr>
        <w:tab/>
      </w:r>
      <w:r w:rsidRPr="000D7E16">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5B408F">
    <w:pPr>
      <w:pStyle w:val="Header"/>
    </w:pPr>
    <w:r>
      <w:t>A/HRC/</w:t>
    </w:r>
    <w:r w:rsidR="009142CB">
      <w:t>3</w:t>
    </w:r>
    <w:r w:rsidR="002900CA">
      <w:t>2</w:t>
    </w:r>
    <w:r w:rsidR="000F3302">
      <w:t>/L.</w:t>
    </w:r>
    <w:r w:rsidR="00AD6DA6">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0D" w:rsidRPr="001D18FE" w:rsidRDefault="007B690D" w:rsidP="001D18FE">
    <w:pPr>
      <w:pStyle w:val="Header"/>
      <w:jc w:val="right"/>
    </w:pPr>
    <w:r>
      <w:t>A/HRC/</w:t>
    </w:r>
    <w:r w:rsidR="009142CB">
      <w:t>3</w:t>
    </w:r>
    <w:r w:rsidR="00101F24">
      <w:t>1</w:t>
    </w:r>
    <w:r w:rsidR="000F3302">
      <w:t>/L.</w:t>
    </w:r>
    <w:r w:rsidR="00101F24">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403D1"/>
    <w:rsid w:val="000434CF"/>
    <w:rsid w:val="000449AA"/>
    <w:rsid w:val="00050F6B"/>
    <w:rsid w:val="00052CA5"/>
    <w:rsid w:val="00072C8C"/>
    <w:rsid w:val="00073E70"/>
    <w:rsid w:val="000876EB"/>
    <w:rsid w:val="00091419"/>
    <w:rsid w:val="000931C0"/>
    <w:rsid w:val="000A03F8"/>
    <w:rsid w:val="000B175B"/>
    <w:rsid w:val="000B3A0F"/>
    <w:rsid w:val="000B4A3B"/>
    <w:rsid w:val="000D1851"/>
    <w:rsid w:val="000D7E16"/>
    <w:rsid w:val="000E0415"/>
    <w:rsid w:val="000F3302"/>
    <w:rsid w:val="00101F24"/>
    <w:rsid w:val="001140EA"/>
    <w:rsid w:val="0011700C"/>
    <w:rsid w:val="001367F4"/>
    <w:rsid w:val="00146D32"/>
    <w:rsid w:val="001509BA"/>
    <w:rsid w:val="001758F3"/>
    <w:rsid w:val="00190FA7"/>
    <w:rsid w:val="00191CE1"/>
    <w:rsid w:val="001B4B04"/>
    <w:rsid w:val="001C506F"/>
    <w:rsid w:val="001C6663"/>
    <w:rsid w:val="001C70AA"/>
    <w:rsid w:val="001C7895"/>
    <w:rsid w:val="001D18FE"/>
    <w:rsid w:val="001D26DF"/>
    <w:rsid w:val="001E2790"/>
    <w:rsid w:val="00211E0B"/>
    <w:rsid w:val="00211E72"/>
    <w:rsid w:val="00214047"/>
    <w:rsid w:val="00217485"/>
    <w:rsid w:val="0022130F"/>
    <w:rsid w:val="00237785"/>
    <w:rsid w:val="002410DD"/>
    <w:rsid w:val="00241466"/>
    <w:rsid w:val="00253D58"/>
    <w:rsid w:val="00262A33"/>
    <w:rsid w:val="0027530E"/>
    <w:rsid w:val="0027725F"/>
    <w:rsid w:val="00277490"/>
    <w:rsid w:val="00281A12"/>
    <w:rsid w:val="00287D9C"/>
    <w:rsid w:val="002900CA"/>
    <w:rsid w:val="002C21F0"/>
    <w:rsid w:val="002C7FF5"/>
    <w:rsid w:val="002D07F6"/>
    <w:rsid w:val="002E145E"/>
    <w:rsid w:val="003101AA"/>
    <w:rsid w:val="003107FA"/>
    <w:rsid w:val="00322686"/>
    <w:rsid w:val="003229D8"/>
    <w:rsid w:val="00323453"/>
    <w:rsid w:val="003314D1"/>
    <w:rsid w:val="00335A2F"/>
    <w:rsid w:val="00341937"/>
    <w:rsid w:val="00361B29"/>
    <w:rsid w:val="00372AA9"/>
    <w:rsid w:val="00386016"/>
    <w:rsid w:val="0039277A"/>
    <w:rsid w:val="003972E0"/>
    <w:rsid w:val="003975ED"/>
    <w:rsid w:val="003A1852"/>
    <w:rsid w:val="003C2CC4"/>
    <w:rsid w:val="003D4B23"/>
    <w:rsid w:val="003E2F92"/>
    <w:rsid w:val="00404C8D"/>
    <w:rsid w:val="004248E6"/>
    <w:rsid w:val="00424C80"/>
    <w:rsid w:val="004250CF"/>
    <w:rsid w:val="004325CB"/>
    <w:rsid w:val="0044022F"/>
    <w:rsid w:val="0044503A"/>
    <w:rsid w:val="00446DE4"/>
    <w:rsid w:val="00447761"/>
    <w:rsid w:val="00447FCF"/>
    <w:rsid w:val="00450EBD"/>
    <w:rsid w:val="00451EC3"/>
    <w:rsid w:val="00455C08"/>
    <w:rsid w:val="004721B1"/>
    <w:rsid w:val="004859EC"/>
    <w:rsid w:val="00496A15"/>
    <w:rsid w:val="004B75D2"/>
    <w:rsid w:val="004D1140"/>
    <w:rsid w:val="004E16E9"/>
    <w:rsid w:val="004F55ED"/>
    <w:rsid w:val="00505EEC"/>
    <w:rsid w:val="00506882"/>
    <w:rsid w:val="0052176C"/>
    <w:rsid w:val="005261E5"/>
    <w:rsid w:val="005420F2"/>
    <w:rsid w:val="00542574"/>
    <w:rsid w:val="005436AB"/>
    <w:rsid w:val="00546DBF"/>
    <w:rsid w:val="00552E7C"/>
    <w:rsid w:val="00553D76"/>
    <w:rsid w:val="005552B5"/>
    <w:rsid w:val="0056117B"/>
    <w:rsid w:val="00567B4E"/>
    <w:rsid w:val="00571365"/>
    <w:rsid w:val="005B3DB3"/>
    <w:rsid w:val="005B408F"/>
    <w:rsid w:val="005B6E48"/>
    <w:rsid w:val="005E170E"/>
    <w:rsid w:val="005E1712"/>
    <w:rsid w:val="005F2DA7"/>
    <w:rsid w:val="00611FC4"/>
    <w:rsid w:val="006176FB"/>
    <w:rsid w:val="00627187"/>
    <w:rsid w:val="00640B26"/>
    <w:rsid w:val="006477DD"/>
    <w:rsid w:val="00670741"/>
    <w:rsid w:val="00671700"/>
    <w:rsid w:val="00690F34"/>
    <w:rsid w:val="00696BD6"/>
    <w:rsid w:val="006A6B9D"/>
    <w:rsid w:val="006A7392"/>
    <w:rsid w:val="006B3189"/>
    <w:rsid w:val="006B7D65"/>
    <w:rsid w:val="006D46DC"/>
    <w:rsid w:val="006D53FC"/>
    <w:rsid w:val="006D6DA6"/>
    <w:rsid w:val="006E564B"/>
    <w:rsid w:val="006F13F0"/>
    <w:rsid w:val="006F5035"/>
    <w:rsid w:val="006F5874"/>
    <w:rsid w:val="007065EB"/>
    <w:rsid w:val="00720183"/>
    <w:rsid w:val="00724AA6"/>
    <w:rsid w:val="0072632A"/>
    <w:rsid w:val="0074200B"/>
    <w:rsid w:val="00755322"/>
    <w:rsid w:val="00756FB4"/>
    <w:rsid w:val="0077346B"/>
    <w:rsid w:val="007808C0"/>
    <w:rsid w:val="007912B8"/>
    <w:rsid w:val="0079216F"/>
    <w:rsid w:val="007A6296"/>
    <w:rsid w:val="007B690D"/>
    <w:rsid w:val="007B6BA5"/>
    <w:rsid w:val="007C1B62"/>
    <w:rsid w:val="007C3390"/>
    <w:rsid w:val="007C4F4B"/>
    <w:rsid w:val="007C6739"/>
    <w:rsid w:val="007C7275"/>
    <w:rsid w:val="007D2CDC"/>
    <w:rsid w:val="007D5327"/>
    <w:rsid w:val="007F1F1E"/>
    <w:rsid w:val="007F6611"/>
    <w:rsid w:val="008155C3"/>
    <w:rsid w:val="008175E9"/>
    <w:rsid w:val="00822338"/>
    <w:rsid w:val="0082243E"/>
    <w:rsid w:val="008242D7"/>
    <w:rsid w:val="008440D8"/>
    <w:rsid w:val="00856CD2"/>
    <w:rsid w:val="00861BC6"/>
    <w:rsid w:val="00871FD5"/>
    <w:rsid w:val="008979B1"/>
    <w:rsid w:val="008A6B25"/>
    <w:rsid w:val="008A6C4F"/>
    <w:rsid w:val="008C1E4D"/>
    <w:rsid w:val="008E0E46"/>
    <w:rsid w:val="008F377D"/>
    <w:rsid w:val="0090452C"/>
    <w:rsid w:val="00907C3F"/>
    <w:rsid w:val="009142CB"/>
    <w:rsid w:val="00915F4E"/>
    <w:rsid w:val="0092237C"/>
    <w:rsid w:val="0093707B"/>
    <w:rsid w:val="009400EB"/>
    <w:rsid w:val="009427E3"/>
    <w:rsid w:val="00945826"/>
    <w:rsid w:val="00956D9B"/>
    <w:rsid w:val="00963CBA"/>
    <w:rsid w:val="009654B7"/>
    <w:rsid w:val="009847C4"/>
    <w:rsid w:val="00991261"/>
    <w:rsid w:val="009A0B83"/>
    <w:rsid w:val="009B3800"/>
    <w:rsid w:val="009D22AC"/>
    <w:rsid w:val="009D2705"/>
    <w:rsid w:val="009D50DB"/>
    <w:rsid w:val="009E1C4E"/>
    <w:rsid w:val="009E5238"/>
    <w:rsid w:val="00A05E0B"/>
    <w:rsid w:val="00A1427D"/>
    <w:rsid w:val="00A4634F"/>
    <w:rsid w:val="00A51CF3"/>
    <w:rsid w:val="00A64F79"/>
    <w:rsid w:val="00A72F22"/>
    <w:rsid w:val="00A748A6"/>
    <w:rsid w:val="00A854EA"/>
    <w:rsid w:val="00A879A4"/>
    <w:rsid w:val="00A87E95"/>
    <w:rsid w:val="00A92E29"/>
    <w:rsid w:val="00AA3896"/>
    <w:rsid w:val="00AB6D2F"/>
    <w:rsid w:val="00AC3628"/>
    <w:rsid w:val="00AD09E9"/>
    <w:rsid w:val="00AD6DA6"/>
    <w:rsid w:val="00AF0576"/>
    <w:rsid w:val="00AF3829"/>
    <w:rsid w:val="00B037F0"/>
    <w:rsid w:val="00B2327D"/>
    <w:rsid w:val="00B2718F"/>
    <w:rsid w:val="00B30179"/>
    <w:rsid w:val="00B32C6E"/>
    <w:rsid w:val="00B3317B"/>
    <w:rsid w:val="00B334DC"/>
    <w:rsid w:val="00B3631A"/>
    <w:rsid w:val="00B53013"/>
    <w:rsid w:val="00B577DB"/>
    <w:rsid w:val="00B67F5E"/>
    <w:rsid w:val="00B73E65"/>
    <w:rsid w:val="00B81E12"/>
    <w:rsid w:val="00B87110"/>
    <w:rsid w:val="00B97FA8"/>
    <w:rsid w:val="00BB3D09"/>
    <w:rsid w:val="00BB41D2"/>
    <w:rsid w:val="00BC0829"/>
    <w:rsid w:val="00BC1385"/>
    <w:rsid w:val="00BC74E9"/>
    <w:rsid w:val="00BE618E"/>
    <w:rsid w:val="00C24693"/>
    <w:rsid w:val="00C35F0B"/>
    <w:rsid w:val="00C463DD"/>
    <w:rsid w:val="00C64458"/>
    <w:rsid w:val="00C745C3"/>
    <w:rsid w:val="00C82E1D"/>
    <w:rsid w:val="00CA2A58"/>
    <w:rsid w:val="00CC0B55"/>
    <w:rsid w:val="00CD6995"/>
    <w:rsid w:val="00CE4A8F"/>
    <w:rsid w:val="00CF0214"/>
    <w:rsid w:val="00CF586F"/>
    <w:rsid w:val="00CF7D43"/>
    <w:rsid w:val="00D0350F"/>
    <w:rsid w:val="00D11129"/>
    <w:rsid w:val="00D2031B"/>
    <w:rsid w:val="00D22332"/>
    <w:rsid w:val="00D25FE2"/>
    <w:rsid w:val="00D429FD"/>
    <w:rsid w:val="00D43252"/>
    <w:rsid w:val="00D51CF8"/>
    <w:rsid w:val="00D550F9"/>
    <w:rsid w:val="00D57265"/>
    <w:rsid w:val="00D572B0"/>
    <w:rsid w:val="00D62E90"/>
    <w:rsid w:val="00D76115"/>
    <w:rsid w:val="00D764F0"/>
    <w:rsid w:val="00D76BE5"/>
    <w:rsid w:val="00D771FD"/>
    <w:rsid w:val="00D85542"/>
    <w:rsid w:val="00D978C6"/>
    <w:rsid w:val="00DA67AD"/>
    <w:rsid w:val="00DB18CE"/>
    <w:rsid w:val="00DD39E5"/>
    <w:rsid w:val="00DE3EC0"/>
    <w:rsid w:val="00E11593"/>
    <w:rsid w:val="00E12B6B"/>
    <w:rsid w:val="00E130AB"/>
    <w:rsid w:val="00E438D9"/>
    <w:rsid w:val="00E5644E"/>
    <w:rsid w:val="00E7260F"/>
    <w:rsid w:val="00E806EE"/>
    <w:rsid w:val="00E857F8"/>
    <w:rsid w:val="00E96630"/>
    <w:rsid w:val="00EB0FB9"/>
    <w:rsid w:val="00ED0CA9"/>
    <w:rsid w:val="00ED7A2A"/>
    <w:rsid w:val="00EE00F5"/>
    <w:rsid w:val="00EF1D7F"/>
    <w:rsid w:val="00EF506B"/>
    <w:rsid w:val="00EF5BDB"/>
    <w:rsid w:val="00F07FD9"/>
    <w:rsid w:val="00F20B77"/>
    <w:rsid w:val="00F22266"/>
    <w:rsid w:val="00F23933"/>
    <w:rsid w:val="00F24119"/>
    <w:rsid w:val="00F40E75"/>
    <w:rsid w:val="00F42CD9"/>
    <w:rsid w:val="00F52936"/>
    <w:rsid w:val="00F677CB"/>
    <w:rsid w:val="00F76B4E"/>
    <w:rsid w:val="00FA7DF3"/>
    <w:rsid w:val="00FB349E"/>
    <w:rsid w:val="00FB5FBD"/>
    <w:rsid w:val="00FC1EDA"/>
    <w:rsid w:val="00FC68B7"/>
    <w:rsid w:val="00FD570F"/>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A1D1-BD74-48FF-BB2C-19E241F4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2979</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1610806</dc:title>
  <dc:subject>A/HRC/32/L.21</dc:subject>
  <dc:creator>Kiatsurayanon</dc:creator>
  <cp:keywords/>
  <dc:description/>
  <cp:lastModifiedBy>pdfeng</cp:lastModifiedBy>
  <cp:revision>2</cp:revision>
  <cp:lastPrinted>2016-06-27T06:56:00Z</cp:lastPrinted>
  <dcterms:created xsi:type="dcterms:W3CDTF">2016-06-27T08:16:00Z</dcterms:created>
  <dcterms:modified xsi:type="dcterms:W3CDTF">2016-06-27T08:16:00Z</dcterms:modified>
</cp:coreProperties>
</file>