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1C2702">
            <w:pPr>
              <w:jc w:val="right"/>
            </w:pPr>
            <w:r w:rsidRPr="00EE2A77">
              <w:rPr>
                <w:sz w:val="40"/>
              </w:rPr>
              <w:t>A</w:t>
            </w:r>
            <w:r>
              <w:t>/HRC/</w:t>
            </w:r>
            <w:r w:rsidR="00944104">
              <w:t>3</w:t>
            </w:r>
            <w:r w:rsidR="007C5E9C">
              <w:t>2</w:t>
            </w:r>
            <w:r>
              <w:t>/L</w:t>
            </w:r>
            <w:r w:rsidR="0036088C">
              <w:t>.</w:t>
            </w:r>
            <w:r w:rsidR="001C2702">
              <w:t>25</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70906A01" wp14:editId="6F3FA3FE">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5A0CBD" w:rsidP="0018278A">
            <w:pPr>
              <w:spacing w:line="240" w:lineRule="exact"/>
            </w:pPr>
            <w:r w:rsidRPr="00776E5F">
              <w:t>2</w:t>
            </w:r>
            <w:r w:rsidR="003F7F8C">
              <w:t>8</w:t>
            </w:r>
            <w:r w:rsidR="0018278A" w:rsidRPr="005A0CBD">
              <w:t xml:space="preserve"> </w:t>
            </w:r>
            <w:r w:rsidR="007C5E9C" w:rsidRPr="005A0CBD">
              <w:t>June</w:t>
            </w:r>
            <w:r w:rsidR="00D42B42" w:rsidRPr="005A0CBD">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71528E">
        <w:t xml:space="preserve">Angola,* </w:t>
      </w:r>
      <w:r w:rsidR="001C2702">
        <w:t xml:space="preserve">Argentina,* Belgium, Brazil,* </w:t>
      </w:r>
      <w:r w:rsidR="00997F3E">
        <w:t xml:space="preserve">Bulgaria,* </w:t>
      </w:r>
      <w:r w:rsidR="001C2702">
        <w:t xml:space="preserve">Colombia,* </w:t>
      </w:r>
      <w:r w:rsidR="00997F3E">
        <w:t xml:space="preserve">Cyprus,* Denmark,* </w:t>
      </w:r>
      <w:r w:rsidR="001C2702">
        <w:t xml:space="preserve">France, Haiti,* Honduras,* Hungary,* </w:t>
      </w:r>
      <w:r w:rsidR="00997F3E">
        <w:t xml:space="preserve">Luxembourg,* </w:t>
      </w:r>
      <w:r w:rsidR="00CD3E04">
        <w:t xml:space="preserve">Panama, </w:t>
      </w:r>
      <w:r w:rsidR="001C2702">
        <w:t>Paraguay, Peru,* Portugal, Spain,* Turkey,* Uruguay:</w:t>
      </w:r>
      <w:r w:rsidR="001C2702" w:rsidRPr="001C2702">
        <w:rPr>
          <w:rStyle w:val="FootnoteReference"/>
          <w:sz w:val="20"/>
          <w:vertAlign w:val="baseline"/>
        </w:rPr>
        <w:footnoteReference w:customMarkFollows="1" w:id="2"/>
        <w:t>*</w:t>
      </w:r>
      <w:r>
        <w:t xml:space="preserve"> draft resolution</w:t>
      </w:r>
    </w:p>
    <w:p w:rsidR="002F006E" w:rsidRPr="007A45D3" w:rsidRDefault="00944104" w:rsidP="00944104">
      <w:pPr>
        <w:pStyle w:val="H1G"/>
        <w:tabs>
          <w:tab w:val="clear" w:pos="851"/>
        </w:tabs>
        <w:ind w:left="1843" w:hanging="709"/>
      </w:pPr>
      <w:proofErr w:type="gramStart"/>
      <w:r>
        <w:t>3</w:t>
      </w:r>
      <w:r w:rsidR="007C5E9C">
        <w:t>2</w:t>
      </w:r>
      <w:r>
        <w:t>/…</w:t>
      </w:r>
      <w:proofErr w:type="gramEnd"/>
      <w:r>
        <w:tab/>
      </w:r>
      <w:r w:rsidR="001C2702" w:rsidRPr="001C2702">
        <w:rPr>
          <w:lang w:val="en-US"/>
        </w:rPr>
        <w:t>Addressing the impact of multiple and intersecting forms of discrimination and violence in the context of racism, racial discrimination, xenophobia and related intolerance on the full enjoyment of all human rights by women and girls</w:t>
      </w:r>
    </w:p>
    <w:p w:rsidR="002F006E" w:rsidRDefault="002F006E" w:rsidP="00402A2C">
      <w:pPr>
        <w:pStyle w:val="SingleTxtG"/>
      </w:pPr>
      <w:r>
        <w:tab/>
      </w:r>
      <w:r w:rsidRPr="00402A2C">
        <w:rPr>
          <w:i/>
        </w:rPr>
        <w:t>The Human Rights Council</w:t>
      </w:r>
      <w:r w:rsidRPr="00402A2C">
        <w:t>,</w:t>
      </w:r>
    </w:p>
    <w:p w:rsidR="001C2702" w:rsidRPr="001C2702" w:rsidRDefault="001C2702" w:rsidP="001C2702">
      <w:pPr>
        <w:pStyle w:val="SingleTxtG"/>
        <w:rPr>
          <w:lang w:val="en-US"/>
        </w:rPr>
      </w:pPr>
      <w:r>
        <w:rPr>
          <w:i/>
          <w:lang w:val="en-US"/>
        </w:rPr>
        <w:tab/>
      </w:r>
      <w:r w:rsidRPr="001C2702">
        <w:rPr>
          <w:i/>
          <w:lang w:val="en-US"/>
        </w:rPr>
        <w:t>Guided</w:t>
      </w:r>
      <w:r w:rsidRPr="001C2702">
        <w:rPr>
          <w:lang w:val="en-US"/>
        </w:rPr>
        <w:t xml:space="preserve"> </w:t>
      </w:r>
      <w:r w:rsidRPr="00776E5F">
        <w:rPr>
          <w:iCs/>
          <w:lang w:val="en-US"/>
        </w:rPr>
        <w:t>by</w:t>
      </w:r>
      <w:r w:rsidRPr="001C2702">
        <w:rPr>
          <w:lang w:val="en-US"/>
        </w:rPr>
        <w:t xml:space="preserve"> the purposes and principles of the Charter of the United Nations,</w:t>
      </w:r>
    </w:p>
    <w:p w:rsidR="001C2702" w:rsidRPr="001C2702" w:rsidRDefault="001C2702" w:rsidP="001C2702">
      <w:pPr>
        <w:pStyle w:val="SingleTxtG"/>
        <w:rPr>
          <w:lang w:val="en-US"/>
        </w:rPr>
      </w:pPr>
      <w:r>
        <w:rPr>
          <w:i/>
          <w:lang w:val="en-US"/>
        </w:rPr>
        <w:tab/>
      </w:r>
      <w:r w:rsidRPr="001C2702">
        <w:rPr>
          <w:i/>
          <w:lang w:val="en-US"/>
        </w:rPr>
        <w:t>Reaffirming</w:t>
      </w:r>
      <w:r w:rsidRPr="001C2702">
        <w:rPr>
          <w:lang w:val="en-US"/>
        </w:rPr>
        <w:t xml:space="preserve"> the Universal Declaration of Human Rights,</w:t>
      </w:r>
    </w:p>
    <w:p w:rsidR="001C2702" w:rsidRPr="001C2702" w:rsidRDefault="001C2702">
      <w:pPr>
        <w:pStyle w:val="SingleTxtG"/>
        <w:rPr>
          <w:lang w:val="en-US"/>
        </w:rPr>
      </w:pPr>
      <w:r>
        <w:rPr>
          <w:i/>
          <w:lang w:val="en-US"/>
        </w:rPr>
        <w:tab/>
      </w:r>
      <w:r w:rsidRPr="001C2702">
        <w:rPr>
          <w:i/>
          <w:lang w:val="en-US"/>
        </w:rPr>
        <w:t>Recalling</w:t>
      </w:r>
      <w:r w:rsidRPr="001C2702">
        <w:rPr>
          <w:lang w:val="en-US"/>
        </w:rPr>
        <w:t xml:space="preserve"> the International Covenant on Economic, Social and Cultural Rights, the International Covenant on Civil and Political Rights, the Convention on the Elimination of All Forms of Discrimination </w:t>
      </w:r>
      <w:r w:rsidR="008B5526">
        <w:rPr>
          <w:lang w:val="en-US"/>
        </w:rPr>
        <w:t>a</w:t>
      </w:r>
      <w:r w:rsidRPr="001C2702">
        <w:rPr>
          <w:lang w:val="en-US"/>
        </w:rPr>
        <w:t>gainst Women, the Convention on the Rights of the Child, the International Convention on the Elimination of All Forms of Racial Discrimination and other relevant human rights instruments,</w:t>
      </w:r>
    </w:p>
    <w:p w:rsidR="001C2702" w:rsidRPr="001C2702" w:rsidRDefault="001C2702" w:rsidP="001C2702">
      <w:pPr>
        <w:pStyle w:val="SingleTxtG"/>
        <w:rPr>
          <w:lang w:val="en-US"/>
        </w:rPr>
      </w:pPr>
      <w:r>
        <w:rPr>
          <w:i/>
          <w:lang w:val="en-US"/>
        </w:rPr>
        <w:tab/>
      </w:r>
      <w:r w:rsidRPr="001C2702">
        <w:rPr>
          <w:i/>
          <w:lang w:val="en-US"/>
        </w:rPr>
        <w:t xml:space="preserve">Reaffirming </w:t>
      </w:r>
      <w:r w:rsidRPr="001C2702">
        <w:rPr>
          <w:lang w:val="en-US"/>
        </w:rPr>
        <w:t xml:space="preserve">the Vienna Declaration and </w:t>
      </w:r>
      <w:proofErr w:type="spellStart"/>
      <w:r w:rsidRPr="001C2702">
        <w:rPr>
          <w:lang w:val="en-US"/>
        </w:rPr>
        <w:t>Program</w:t>
      </w:r>
      <w:r w:rsidR="009A35E6">
        <w:rPr>
          <w:lang w:val="en-US"/>
        </w:rPr>
        <w:t>me</w:t>
      </w:r>
      <w:proofErr w:type="spellEnd"/>
      <w:r w:rsidRPr="001C2702">
        <w:rPr>
          <w:lang w:val="en-US"/>
        </w:rPr>
        <w:t xml:space="preserve"> of Action, which recognized that all human rights are universal, indivisible, interdependent and interrelated,</w:t>
      </w:r>
    </w:p>
    <w:p w:rsidR="001C2702" w:rsidRPr="001C2702" w:rsidRDefault="001C2702">
      <w:pPr>
        <w:pStyle w:val="SingleTxtG"/>
        <w:rPr>
          <w:lang w:val="en-US"/>
        </w:rPr>
      </w:pPr>
      <w:r>
        <w:rPr>
          <w:i/>
          <w:lang w:val="en-US"/>
        </w:rPr>
        <w:tab/>
      </w:r>
      <w:r w:rsidRPr="001C2702">
        <w:rPr>
          <w:i/>
          <w:lang w:val="en-US"/>
        </w:rPr>
        <w:t>Reaffirming also</w:t>
      </w:r>
      <w:r w:rsidRPr="001C2702">
        <w:rPr>
          <w:lang w:val="en-US"/>
        </w:rPr>
        <w:t xml:space="preserve"> </w:t>
      </w:r>
      <w:r w:rsidR="009A35E6">
        <w:rPr>
          <w:lang w:val="en-US"/>
        </w:rPr>
        <w:t xml:space="preserve">the </w:t>
      </w:r>
      <w:r w:rsidRPr="001C2702">
        <w:rPr>
          <w:lang w:val="en-US"/>
        </w:rPr>
        <w:t xml:space="preserve">commitments of States concerning the elimination of racism, racial discrimination, xenophobia and related intolerance, </w:t>
      </w:r>
      <w:r w:rsidR="009A35E6">
        <w:rPr>
          <w:lang w:val="en-US"/>
        </w:rPr>
        <w:t xml:space="preserve">and </w:t>
      </w:r>
      <w:r w:rsidRPr="001C2702">
        <w:rPr>
          <w:lang w:val="en-US"/>
        </w:rPr>
        <w:t xml:space="preserve">the recognition that the human rights of women and girls are an inalienable, integral and indivisible part of universal human rights and that the eradication of all forms of discrimination on </w:t>
      </w:r>
      <w:r w:rsidR="009A35E6">
        <w:rPr>
          <w:lang w:val="en-US"/>
        </w:rPr>
        <w:t xml:space="preserve">the </w:t>
      </w:r>
      <w:r w:rsidRPr="001C2702">
        <w:rPr>
          <w:lang w:val="en-US"/>
        </w:rPr>
        <w:t>grounds of sex are priority objectives of the international community,</w:t>
      </w:r>
    </w:p>
    <w:p w:rsidR="001C2702" w:rsidRPr="001C2702" w:rsidRDefault="001C2702">
      <w:pPr>
        <w:pStyle w:val="SingleTxtG"/>
        <w:rPr>
          <w:i/>
          <w:lang w:val="en-US"/>
        </w:rPr>
      </w:pPr>
      <w:r>
        <w:rPr>
          <w:i/>
          <w:lang w:val="en-US"/>
        </w:rPr>
        <w:tab/>
      </w:r>
      <w:r w:rsidRPr="001C2702">
        <w:rPr>
          <w:i/>
          <w:lang w:val="en-US"/>
        </w:rPr>
        <w:t>Recalling</w:t>
      </w:r>
      <w:r w:rsidRPr="001C2702">
        <w:rPr>
          <w:lang w:val="en-US"/>
        </w:rPr>
        <w:t xml:space="preserve"> the Beijing Declaration and Platform for Action and the outcome documents of their review conferences, by which </w:t>
      </w:r>
      <w:r w:rsidR="009A35E6">
        <w:rPr>
          <w:lang w:val="en-US"/>
        </w:rPr>
        <w:t>G</w:t>
      </w:r>
      <w:r w:rsidRPr="001C2702">
        <w:rPr>
          <w:lang w:val="en-US"/>
        </w:rPr>
        <w:t xml:space="preserve">overnments expressed their determination to intensify efforts to ensure equal enjoyment of all human rights and </w:t>
      </w:r>
      <w:r w:rsidRPr="001C2702">
        <w:rPr>
          <w:lang w:val="en-US"/>
        </w:rPr>
        <w:lastRenderedPageBreak/>
        <w:t>fundamental freedoms for all women and girls who face multiple barriers to their empowerment and advancement because of such factors as their race, age, language, ethnicity, culture, religion or disability, or because they are indigenous people,</w:t>
      </w:r>
    </w:p>
    <w:p w:rsidR="001C2702" w:rsidRPr="001C2702" w:rsidRDefault="001C2702">
      <w:pPr>
        <w:pStyle w:val="SingleTxtG"/>
        <w:rPr>
          <w:i/>
          <w:lang w:val="en-US"/>
        </w:rPr>
      </w:pPr>
      <w:r>
        <w:rPr>
          <w:i/>
          <w:lang w:val="en-US"/>
        </w:rPr>
        <w:tab/>
      </w:r>
      <w:r w:rsidRPr="001C2702">
        <w:rPr>
          <w:i/>
          <w:lang w:val="en-US"/>
        </w:rPr>
        <w:t xml:space="preserve">Stressing </w:t>
      </w:r>
      <w:r w:rsidRPr="001C2702">
        <w:rPr>
          <w:lang w:val="en-US"/>
        </w:rPr>
        <w:t xml:space="preserve">the importance of the Durban Declaration and </w:t>
      </w:r>
      <w:proofErr w:type="spellStart"/>
      <w:r w:rsidRPr="001C2702">
        <w:rPr>
          <w:lang w:val="en-US"/>
        </w:rPr>
        <w:t>Programme</w:t>
      </w:r>
      <w:proofErr w:type="spellEnd"/>
      <w:r w:rsidRPr="001C2702">
        <w:rPr>
          <w:lang w:val="en-US"/>
        </w:rPr>
        <w:t xml:space="preserve"> of Action, which recognized that racism, racial discrimination, xenophobia and related intolerance reveal themselves in a differentiated manner for women and girls and can be among the factors leading to a deterioration in their living conditions, poverty, violence, multiple forms of discrimination and the limitation or denial of their human rights,</w:t>
      </w:r>
    </w:p>
    <w:p w:rsidR="001C2702" w:rsidRPr="001C2702" w:rsidRDefault="001C2702" w:rsidP="009A35E6">
      <w:pPr>
        <w:pStyle w:val="SingleTxtG"/>
        <w:rPr>
          <w:i/>
          <w:lang w:val="en-US"/>
        </w:rPr>
      </w:pPr>
      <w:r>
        <w:rPr>
          <w:i/>
          <w:lang w:val="en-US"/>
        </w:rPr>
        <w:tab/>
      </w:r>
      <w:r w:rsidRPr="001C2702">
        <w:rPr>
          <w:i/>
          <w:lang w:val="en-US"/>
        </w:rPr>
        <w:t>Bearing</w:t>
      </w:r>
      <w:r w:rsidRPr="001C2702">
        <w:rPr>
          <w:lang w:val="en-US"/>
        </w:rPr>
        <w:t xml:space="preserve"> </w:t>
      </w:r>
      <w:r w:rsidRPr="001C2702">
        <w:rPr>
          <w:i/>
          <w:lang w:val="en-US"/>
        </w:rPr>
        <w:t>in mind</w:t>
      </w:r>
      <w:r w:rsidRPr="001C2702">
        <w:rPr>
          <w:lang w:val="en-US"/>
        </w:rPr>
        <w:t xml:space="preserve"> that the General Assembly proclaimed 2015-2024 as the International Decade for People of African Descent and the commitments undertaken by States to mainstream a gender perspective when designing and monitoring public policies, taking into account the specific needs and realities of women and girls of African descent,</w:t>
      </w:r>
    </w:p>
    <w:p w:rsidR="001C2702" w:rsidRPr="001C2702" w:rsidRDefault="001C2702">
      <w:pPr>
        <w:pStyle w:val="SingleTxtG"/>
        <w:rPr>
          <w:lang w:val="en-US"/>
        </w:rPr>
      </w:pPr>
      <w:r>
        <w:rPr>
          <w:i/>
          <w:lang w:val="en-US"/>
        </w:rPr>
        <w:tab/>
      </w:r>
      <w:r w:rsidRPr="001C2702">
        <w:rPr>
          <w:i/>
          <w:lang w:val="en-US"/>
        </w:rPr>
        <w:t>Recognizing</w:t>
      </w:r>
      <w:r w:rsidRPr="001C2702">
        <w:rPr>
          <w:lang w:val="en-US"/>
        </w:rPr>
        <w:t xml:space="preserve"> </w:t>
      </w:r>
      <w:r w:rsidRPr="001C2702">
        <w:rPr>
          <w:i/>
          <w:lang w:val="en-US"/>
        </w:rPr>
        <w:t>and</w:t>
      </w:r>
      <w:r w:rsidRPr="001C2702">
        <w:rPr>
          <w:lang w:val="en-US"/>
        </w:rPr>
        <w:t xml:space="preserve"> </w:t>
      </w:r>
      <w:r w:rsidRPr="001C2702">
        <w:rPr>
          <w:i/>
          <w:lang w:val="en-US"/>
        </w:rPr>
        <w:t>deeply regretting</w:t>
      </w:r>
      <w:r w:rsidRPr="001C2702">
        <w:rPr>
          <w:lang w:val="en-US"/>
        </w:rPr>
        <w:t xml:space="preserve"> that many women and girls, including those belonging to national or ethnic, religious and linguistic minorities, face multiple and intersecting forms of discrimination and are disproportionally affected by aggravated forms of racism, racial discrimination, xenophobia and related intolerance,</w:t>
      </w:r>
    </w:p>
    <w:p w:rsidR="001C2702" w:rsidRPr="001C2702" w:rsidRDefault="001C2702" w:rsidP="001C2702">
      <w:pPr>
        <w:pStyle w:val="SingleTxtG"/>
        <w:rPr>
          <w:lang w:val="en-US"/>
        </w:rPr>
      </w:pPr>
      <w:r>
        <w:rPr>
          <w:i/>
          <w:lang w:val="en-US"/>
        </w:rPr>
        <w:tab/>
      </w:r>
      <w:r w:rsidRPr="001C2702">
        <w:rPr>
          <w:i/>
          <w:lang w:val="en-US"/>
        </w:rPr>
        <w:t>Acknowledging</w:t>
      </w:r>
      <w:r w:rsidRPr="001C2702">
        <w:rPr>
          <w:lang w:val="en-US"/>
        </w:rPr>
        <w:t xml:space="preserve"> the persistence of the challenges faced by all countries throughout the world to overcome inequality between men and women</w:t>
      </w:r>
      <w:r w:rsidRPr="001C2702">
        <w:rPr>
          <w:i/>
          <w:lang w:val="en-US"/>
        </w:rPr>
        <w:t xml:space="preserve"> </w:t>
      </w:r>
      <w:r w:rsidRPr="001C2702">
        <w:rPr>
          <w:lang w:val="en-US"/>
        </w:rPr>
        <w:t>and to integrate a comprehensive approach that properly addresses the needs of women and girls affected by racism, racial discrimination, xenophobia and related intolerance in the design of public policies,</w:t>
      </w:r>
    </w:p>
    <w:p w:rsidR="001C2702" w:rsidRPr="001C2702" w:rsidRDefault="001C2702" w:rsidP="001C2702">
      <w:pPr>
        <w:pStyle w:val="SingleTxtG"/>
        <w:rPr>
          <w:lang w:val="en-US"/>
        </w:rPr>
      </w:pPr>
      <w:r>
        <w:rPr>
          <w:i/>
          <w:lang w:val="en-US"/>
        </w:rPr>
        <w:tab/>
      </w:r>
      <w:r w:rsidRPr="001C2702">
        <w:rPr>
          <w:i/>
          <w:lang w:val="en-US"/>
        </w:rPr>
        <w:t>Mindful</w:t>
      </w:r>
      <w:r w:rsidRPr="001C2702">
        <w:rPr>
          <w:lang w:val="en-US"/>
        </w:rPr>
        <w:t xml:space="preserve"> of the fact that the elimination of all </w:t>
      </w:r>
      <w:r w:rsidRPr="009A35E6">
        <w:rPr>
          <w:lang w:val="en-US"/>
        </w:rPr>
        <w:t>forms of discrimination</w:t>
      </w:r>
      <w:r w:rsidRPr="001C2702">
        <w:rPr>
          <w:lang w:val="en-US"/>
        </w:rPr>
        <w:t xml:space="preserve"> against women and girls requires the consideration of their specific socioeconomic context, including their increased vulnerability to certain patterns of racism, racial discrimination, xenophobia and related intolerance, and that the non-participation of all women and girls in decision-making contributes to the feminization of poverty and hampers sustainable development and economic growth,</w:t>
      </w:r>
    </w:p>
    <w:p w:rsidR="001C2702" w:rsidRPr="001C2702" w:rsidRDefault="001C2702" w:rsidP="001C2702">
      <w:pPr>
        <w:pStyle w:val="SingleTxtG"/>
        <w:rPr>
          <w:lang w:val="en-US"/>
        </w:rPr>
      </w:pPr>
      <w:r>
        <w:rPr>
          <w:i/>
          <w:lang w:val="en-US"/>
        </w:rPr>
        <w:tab/>
      </w:r>
      <w:r w:rsidRPr="001C2702">
        <w:rPr>
          <w:i/>
          <w:lang w:val="en-US"/>
        </w:rPr>
        <w:t>Emphasizing</w:t>
      </w:r>
      <w:r w:rsidRPr="001C2702">
        <w:rPr>
          <w:lang w:val="en-US"/>
        </w:rPr>
        <w:t xml:space="preserve"> the importance and the need that States take measures to protect all women and girls from discrimination and violence in the context of racism, racial discrimination, xenophobia and related intolerance, and to ensure their meaningful participation in decision-making at all levels,</w:t>
      </w:r>
    </w:p>
    <w:p w:rsidR="001C2702" w:rsidRPr="001C2702" w:rsidRDefault="001C2702">
      <w:pPr>
        <w:pStyle w:val="SingleTxtG"/>
        <w:rPr>
          <w:lang w:val="en-US"/>
        </w:rPr>
      </w:pPr>
      <w:r>
        <w:rPr>
          <w:i/>
          <w:lang w:val="en-US"/>
        </w:rPr>
        <w:tab/>
      </w:r>
      <w:r w:rsidRPr="001C2702">
        <w:rPr>
          <w:i/>
          <w:lang w:val="en-US"/>
        </w:rPr>
        <w:t>Emphasizing also</w:t>
      </w:r>
      <w:r w:rsidRPr="001C2702">
        <w:rPr>
          <w:lang w:val="en-US"/>
        </w:rPr>
        <w:t xml:space="preserve"> the need for States and all segments of society, including civil society organizations, women’s groups and networks and other non-governmental organizations and community-based organizations, the private sector, media and other relevant stakeholders</w:t>
      </w:r>
      <w:r w:rsidR="009A35E6">
        <w:rPr>
          <w:lang w:val="en-US"/>
        </w:rPr>
        <w:t>,</w:t>
      </w:r>
      <w:r w:rsidRPr="001C2702">
        <w:rPr>
          <w:lang w:val="en-US"/>
        </w:rPr>
        <w:t xml:space="preserve"> to take meaningful steps to promote the empowerment of all women and girls in order to achieve gender and racial equality and to strongly condemn and address attitudes and behaviors that perpetuate multiple and intersecting forms of gender discrimination, racism, racial discrimination, xenophobia and related intolerance, and related violence,</w:t>
      </w:r>
    </w:p>
    <w:p w:rsidR="001C2702" w:rsidRPr="001C2702" w:rsidRDefault="001C2702">
      <w:pPr>
        <w:pStyle w:val="SingleTxtG"/>
        <w:rPr>
          <w:lang w:val="en-US"/>
        </w:rPr>
      </w:pPr>
      <w:r>
        <w:rPr>
          <w:i/>
          <w:lang w:val="en-US"/>
        </w:rPr>
        <w:tab/>
      </w:r>
      <w:r w:rsidRPr="001C2702">
        <w:rPr>
          <w:i/>
          <w:lang w:val="en-US"/>
        </w:rPr>
        <w:t>Deeply concerned</w:t>
      </w:r>
      <w:r w:rsidRPr="001C2702">
        <w:rPr>
          <w:lang w:val="en-US"/>
        </w:rPr>
        <w:t xml:space="preserve"> by the multiple and intersecting forms of discrimination and violence to which all women and girls continue to be exposed all over the world</w:t>
      </w:r>
      <w:r w:rsidR="009A35E6">
        <w:rPr>
          <w:lang w:val="en-US"/>
        </w:rPr>
        <w:t>,</w:t>
      </w:r>
    </w:p>
    <w:p w:rsidR="001C2702" w:rsidRPr="001C2702" w:rsidRDefault="001C2702" w:rsidP="001C2702">
      <w:pPr>
        <w:pStyle w:val="SingleTxtG"/>
      </w:pPr>
      <w:r>
        <w:tab/>
        <w:t>1.</w:t>
      </w:r>
      <w:r>
        <w:tab/>
      </w:r>
      <w:r w:rsidRPr="001C2702">
        <w:rPr>
          <w:i/>
        </w:rPr>
        <w:t>Expresses grave concern</w:t>
      </w:r>
      <w:r w:rsidRPr="001C2702">
        <w:t xml:space="preserve"> about the impact of multiple and intersecting forms of discrimination and violence in the context of racism, racial discrimination, xenophobia and related intolerance on the full enjoyment of all human rights by women and girls;</w:t>
      </w:r>
    </w:p>
    <w:p w:rsidR="001C2702" w:rsidRPr="001C2702" w:rsidRDefault="001C2702" w:rsidP="001C2702">
      <w:pPr>
        <w:pStyle w:val="SingleTxtG"/>
      </w:pPr>
      <w:r>
        <w:tab/>
        <w:t>2.</w:t>
      </w:r>
      <w:r>
        <w:tab/>
      </w:r>
      <w:r w:rsidRPr="001C2702">
        <w:rPr>
          <w:i/>
        </w:rPr>
        <w:t xml:space="preserve">Recognizes </w:t>
      </w:r>
      <w:r w:rsidRPr="001C2702">
        <w:t>the need to integrate and mainstream a gender perspective into relevant policies, strategies and programmes of action against racism, racial discrimination, xenophobia and related intolerance in order to address multiple and intersecting forms of discrimination suffered by women and girls;</w:t>
      </w:r>
    </w:p>
    <w:p w:rsidR="001C2702" w:rsidRPr="001C2702" w:rsidRDefault="001C2702">
      <w:pPr>
        <w:pStyle w:val="SingleTxtG"/>
      </w:pPr>
      <w:r>
        <w:lastRenderedPageBreak/>
        <w:tab/>
        <w:t>3.</w:t>
      </w:r>
      <w:r>
        <w:tab/>
      </w:r>
      <w:r w:rsidRPr="001C2702">
        <w:rPr>
          <w:i/>
        </w:rPr>
        <w:t>Calls upon</w:t>
      </w:r>
      <w:r w:rsidRPr="001C2702">
        <w:t xml:space="preserve"> States to develop and strengthen comprehensive gender-responsive, </w:t>
      </w:r>
      <w:proofErr w:type="spellStart"/>
      <w:r w:rsidRPr="001C2702">
        <w:t>multisectorial</w:t>
      </w:r>
      <w:proofErr w:type="spellEnd"/>
      <w:r w:rsidRPr="001C2702">
        <w:t xml:space="preserve"> policies and programmes involving relevant authorities, in sectors such as justice, health, social services, education and child protection services, as well as relevant non-State actors, with a view to promoting the human rights of women and girls affected by multiple and intersecting forms of racism, racial discrimination, xenophobia and related intolerance, and related violence;</w:t>
      </w:r>
    </w:p>
    <w:p w:rsidR="001C2702" w:rsidRPr="001C2702" w:rsidRDefault="001C2702">
      <w:pPr>
        <w:pStyle w:val="SingleTxtG"/>
      </w:pPr>
      <w:r>
        <w:tab/>
        <w:t>4.</w:t>
      </w:r>
      <w:r>
        <w:tab/>
      </w:r>
      <w:r w:rsidRPr="001C2702">
        <w:rPr>
          <w:i/>
        </w:rPr>
        <w:t>Requests</w:t>
      </w:r>
      <w:r w:rsidRPr="001C2702">
        <w:t xml:space="preserve"> the </w:t>
      </w:r>
      <w:r w:rsidR="009A35E6" w:rsidRPr="001C2702">
        <w:t xml:space="preserve">United Nations High Commissioner for Human Rights </w:t>
      </w:r>
      <w:r w:rsidRPr="001C2702">
        <w:t xml:space="preserve">to prepare a report on the impact of multiple and intersecting forms of discrimination and violence in the context of racism, racial discrimination, xenophobia and related intolerance on the full enjoyment of all human rights by women and girls, with a view to identifying challenges and good practices, including, as appropriate, the contributions of the </w:t>
      </w:r>
      <w:r w:rsidR="00796E44">
        <w:t>u</w:t>
      </w:r>
      <w:r w:rsidRPr="001C2702">
        <w:t xml:space="preserve">niversal </w:t>
      </w:r>
      <w:r w:rsidR="00796E44">
        <w:t>p</w:t>
      </w:r>
      <w:r w:rsidRPr="001C2702">
        <w:t xml:space="preserve">eriodic </w:t>
      </w:r>
      <w:r w:rsidR="00796E44">
        <w:t>r</w:t>
      </w:r>
      <w:r w:rsidRPr="001C2702">
        <w:t xml:space="preserve">eview, </w:t>
      </w:r>
      <w:r w:rsidR="00796E44">
        <w:t xml:space="preserve">and to present it to the Council at </w:t>
      </w:r>
      <w:r w:rsidRPr="001C2702">
        <w:t>its thirty-fifth session;</w:t>
      </w:r>
    </w:p>
    <w:p w:rsidR="001C2702" w:rsidRPr="001C2702" w:rsidRDefault="001C2702" w:rsidP="001C2702">
      <w:pPr>
        <w:pStyle w:val="SingleTxtG"/>
      </w:pPr>
      <w:r>
        <w:tab/>
        <w:t>5.</w:t>
      </w:r>
      <w:r>
        <w:tab/>
      </w:r>
      <w:r w:rsidRPr="001C2702">
        <w:rPr>
          <w:i/>
        </w:rPr>
        <w:t>Decides</w:t>
      </w:r>
      <w:r w:rsidRPr="001C2702">
        <w:t xml:space="preserve"> to convene, at its thirty-sixth session, a panel discussion in order to discuss, inter alia, the findings of the report and examine possible recommendations;</w:t>
      </w:r>
    </w:p>
    <w:p w:rsidR="001C2702" w:rsidRPr="001C2702" w:rsidRDefault="001C2702">
      <w:pPr>
        <w:pStyle w:val="SingleTxtG"/>
      </w:pPr>
      <w:r>
        <w:tab/>
        <w:t>6.</w:t>
      </w:r>
      <w:r>
        <w:tab/>
      </w:r>
      <w:r w:rsidRPr="001C2702">
        <w:rPr>
          <w:i/>
        </w:rPr>
        <w:t>Requests</w:t>
      </w:r>
      <w:r w:rsidRPr="001C2702">
        <w:t xml:space="preserve"> the High Commissioner to organize the </w:t>
      </w:r>
      <w:r w:rsidR="00796E44" w:rsidRPr="001C2702">
        <w:t>above</w:t>
      </w:r>
      <w:r w:rsidR="00796E44">
        <w:t>-</w:t>
      </w:r>
      <w:r w:rsidR="00796E44" w:rsidRPr="001C2702">
        <w:t xml:space="preserve">mentioned </w:t>
      </w:r>
      <w:r w:rsidRPr="001C2702">
        <w:t>panel discussion in consultation with States, relevant United Nations bodies, funds and programmes, treaty bodies, special procedures and regional human rights mechanisms, as well as with civil society, non-governmental organizations, national human rights institutions and specialized national equality bodies</w:t>
      </w:r>
      <w:r w:rsidR="00796E44">
        <w:t>,</w:t>
      </w:r>
      <w:r w:rsidRPr="001C2702">
        <w:t xml:space="preserve"> as appropriate, with a view to ensuring their participation in the panel discussion; </w:t>
      </w:r>
    </w:p>
    <w:p w:rsidR="001C2702" w:rsidRPr="001C2702" w:rsidRDefault="001C2702">
      <w:pPr>
        <w:pStyle w:val="SingleTxtG"/>
      </w:pPr>
      <w:r>
        <w:tab/>
        <w:t>7.</w:t>
      </w:r>
      <w:r>
        <w:tab/>
      </w:r>
      <w:r w:rsidRPr="001C2702">
        <w:rPr>
          <w:i/>
        </w:rPr>
        <w:t>Also requests</w:t>
      </w:r>
      <w:r w:rsidRPr="001C2702">
        <w:t xml:space="preserve"> the High Commissioner to prepare a summary report on the panel discussion </w:t>
      </w:r>
      <w:r w:rsidR="00796E44">
        <w:t xml:space="preserve">and to submit it to the </w:t>
      </w:r>
      <w:r w:rsidRPr="001C2702">
        <w:t>Council at its thirty-seventh session.</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A8" w:rsidRDefault="002B5BA8"/>
  </w:endnote>
  <w:endnote w:type="continuationSeparator" w:id="0">
    <w:p w:rsidR="002B5BA8" w:rsidRDefault="002B5BA8"/>
  </w:endnote>
  <w:endnote w:type="continuationNotice" w:id="1">
    <w:p w:rsidR="002B5BA8" w:rsidRDefault="002B5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D20BBB">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D20BBB">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BB" w:rsidRDefault="00D20BBB" w:rsidP="00D20BBB">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20BBB" w:rsidRDefault="00D20BBB" w:rsidP="00D20BBB">
    <w:pPr>
      <w:pStyle w:val="Footer"/>
      <w:ind w:right="1134"/>
      <w:rPr>
        <w:sz w:val="20"/>
      </w:rPr>
    </w:pPr>
    <w:r>
      <w:rPr>
        <w:sz w:val="20"/>
      </w:rPr>
      <w:t>GE.16-10954(E)</w:t>
    </w:r>
  </w:p>
  <w:p w:rsidR="00D20BBB" w:rsidRPr="00D20BBB" w:rsidRDefault="00D20BBB" w:rsidP="00D20BB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A8" w:rsidRPr="000B175B" w:rsidRDefault="002B5BA8" w:rsidP="000B175B">
      <w:pPr>
        <w:tabs>
          <w:tab w:val="right" w:pos="2155"/>
        </w:tabs>
        <w:spacing w:after="80"/>
        <w:ind w:left="680"/>
        <w:rPr>
          <w:u w:val="single"/>
        </w:rPr>
      </w:pPr>
      <w:r>
        <w:rPr>
          <w:u w:val="single"/>
        </w:rPr>
        <w:tab/>
      </w:r>
    </w:p>
  </w:footnote>
  <w:footnote w:type="continuationSeparator" w:id="0">
    <w:p w:rsidR="002B5BA8" w:rsidRPr="00FC68B7" w:rsidRDefault="002B5BA8" w:rsidP="00FC68B7">
      <w:pPr>
        <w:tabs>
          <w:tab w:val="left" w:pos="2155"/>
        </w:tabs>
        <w:spacing w:after="80"/>
        <w:ind w:left="680"/>
        <w:rPr>
          <w:u w:val="single"/>
        </w:rPr>
      </w:pPr>
      <w:r>
        <w:rPr>
          <w:u w:val="single"/>
        </w:rPr>
        <w:tab/>
      </w:r>
    </w:p>
  </w:footnote>
  <w:footnote w:type="continuationNotice" w:id="1">
    <w:p w:rsidR="002B5BA8" w:rsidRDefault="002B5BA8"/>
  </w:footnote>
  <w:footnote w:id="2">
    <w:p w:rsidR="001C2702" w:rsidRPr="001C2702" w:rsidRDefault="001C2702">
      <w:pPr>
        <w:pStyle w:val="FootnoteText"/>
      </w:pPr>
      <w:r>
        <w:rPr>
          <w:rStyle w:val="FootnoteReference"/>
        </w:rPr>
        <w:tab/>
      </w:r>
      <w:r w:rsidRPr="001C2702">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r w:rsidR="001C2702">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1C2702">
      <w:t>2</w:t>
    </w:r>
    <w:r w:rsidR="00E10083">
      <w:t>/L.</w:t>
    </w:r>
    <w:r w:rsidR="001C2702">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B642547"/>
    <w:multiLevelType w:val="hybridMultilevel"/>
    <w:tmpl w:val="2B6C331E"/>
    <w:lvl w:ilvl="0" w:tplc="FB96598A">
      <w:start w:val="1"/>
      <w:numFmt w:val="decimal"/>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8BB26">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32566C">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805516">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029B94">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EA3D36">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8A6FF6">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504AAC">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1A3EA6">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46D32"/>
    <w:rsid w:val="001509BA"/>
    <w:rsid w:val="00153FA2"/>
    <w:rsid w:val="00154B0E"/>
    <w:rsid w:val="0018278A"/>
    <w:rsid w:val="00190DA0"/>
    <w:rsid w:val="00195879"/>
    <w:rsid w:val="001B4B04"/>
    <w:rsid w:val="001C2702"/>
    <w:rsid w:val="001C6663"/>
    <w:rsid w:val="001C7895"/>
    <w:rsid w:val="001D26DF"/>
    <w:rsid w:val="001E2790"/>
    <w:rsid w:val="00211E0B"/>
    <w:rsid w:val="00211E72"/>
    <w:rsid w:val="00214047"/>
    <w:rsid w:val="0022130F"/>
    <w:rsid w:val="00237785"/>
    <w:rsid w:val="002410DD"/>
    <w:rsid w:val="00241466"/>
    <w:rsid w:val="00253D58"/>
    <w:rsid w:val="00257DA3"/>
    <w:rsid w:val="0027725F"/>
    <w:rsid w:val="0028185A"/>
    <w:rsid w:val="002B5BA8"/>
    <w:rsid w:val="002C21F0"/>
    <w:rsid w:val="002D4176"/>
    <w:rsid w:val="002E0F9E"/>
    <w:rsid w:val="002E7C76"/>
    <w:rsid w:val="002F006E"/>
    <w:rsid w:val="003107FA"/>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3F7F8C"/>
    <w:rsid w:val="00402A2C"/>
    <w:rsid w:val="00424C80"/>
    <w:rsid w:val="00427510"/>
    <w:rsid w:val="004325CB"/>
    <w:rsid w:val="004413C2"/>
    <w:rsid w:val="00443464"/>
    <w:rsid w:val="0044503A"/>
    <w:rsid w:val="004453BF"/>
    <w:rsid w:val="00446DE4"/>
    <w:rsid w:val="00447761"/>
    <w:rsid w:val="00451EC3"/>
    <w:rsid w:val="00456DD6"/>
    <w:rsid w:val="004640A6"/>
    <w:rsid w:val="004721B1"/>
    <w:rsid w:val="00472982"/>
    <w:rsid w:val="004846DF"/>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0CBD"/>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528E"/>
    <w:rsid w:val="0071701A"/>
    <w:rsid w:val="00720183"/>
    <w:rsid w:val="0072632A"/>
    <w:rsid w:val="0074200B"/>
    <w:rsid w:val="00776E5F"/>
    <w:rsid w:val="00796E44"/>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B5526"/>
    <w:rsid w:val="008C1E4D"/>
    <w:rsid w:val="008E0E46"/>
    <w:rsid w:val="0090452C"/>
    <w:rsid w:val="00907C3F"/>
    <w:rsid w:val="0092237C"/>
    <w:rsid w:val="0093707B"/>
    <w:rsid w:val="009400EB"/>
    <w:rsid w:val="009427E3"/>
    <w:rsid w:val="00944104"/>
    <w:rsid w:val="00956D9B"/>
    <w:rsid w:val="00963CBA"/>
    <w:rsid w:val="009654B7"/>
    <w:rsid w:val="00976B90"/>
    <w:rsid w:val="00991261"/>
    <w:rsid w:val="00997F3E"/>
    <w:rsid w:val="009A0B83"/>
    <w:rsid w:val="009A35E6"/>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D55AE"/>
    <w:rsid w:val="00BE00DE"/>
    <w:rsid w:val="00BE4033"/>
    <w:rsid w:val="00BE618E"/>
    <w:rsid w:val="00C24693"/>
    <w:rsid w:val="00C359A4"/>
    <w:rsid w:val="00C35F0B"/>
    <w:rsid w:val="00C42278"/>
    <w:rsid w:val="00C463DD"/>
    <w:rsid w:val="00C62C58"/>
    <w:rsid w:val="00C64458"/>
    <w:rsid w:val="00C745C3"/>
    <w:rsid w:val="00C86EEF"/>
    <w:rsid w:val="00CA2A58"/>
    <w:rsid w:val="00CC0B55"/>
    <w:rsid w:val="00CD1E06"/>
    <w:rsid w:val="00CD3E04"/>
    <w:rsid w:val="00CD6995"/>
    <w:rsid w:val="00CE4A8F"/>
    <w:rsid w:val="00CE5514"/>
    <w:rsid w:val="00CF0214"/>
    <w:rsid w:val="00CF0545"/>
    <w:rsid w:val="00CF3588"/>
    <w:rsid w:val="00CF586F"/>
    <w:rsid w:val="00CF7D43"/>
    <w:rsid w:val="00D11129"/>
    <w:rsid w:val="00D13454"/>
    <w:rsid w:val="00D2031B"/>
    <w:rsid w:val="00D20BBB"/>
    <w:rsid w:val="00D2233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6547</Characters>
  <Application>Microsoft Office Word</Application>
  <DocSecurity>0</DocSecurity>
  <Lines>112</Lines>
  <Paragraphs>34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1610954</dc:title>
  <dc:subject>A/HRC/32/L.25</dc:subject>
  <dc:creator>Kiatsurayanon</dc:creator>
  <cp:keywords/>
  <dc:description/>
  <cp:lastModifiedBy>pdfeng</cp:lastModifiedBy>
  <cp:revision>2</cp:revision>
  <cp:lastPrinted>2016-06-28T08:44:00Z</cp:lastPrinted>
  <dcterms:created xsi:type="dcterms:W3CDTF">2016-06-28T11:23:00Z</dcterms:created>
  <dcterms:modified xsi:type="dcterms:W3CDTF">2016-06-28T11:23:00Z</dcterms:modified>
</cp:coreProperties>
</file>