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1758F3" w:rsidRDefault="00446DE4" w:rsidP="001758F3">
            <w:pPr>
              <w:tabs>
                <w:tab w:val="right" w:pos="850"/>
                <w:tab w:val="left" w:pos="1134"/>
                <w:tab w:val="right" w:leader="dot" w:pos="8504"/>
              </w:tabs>
              <w:spacing w:line="20" w:lineRule="exact"/>
              <w:rPr>
                <w:sz w:val="2"/>
              </w:rPr>
            </w:pPr>
          </w:p>
          <w:p w:rsidR="001758F3" w:rsidRPr="00E806EE" w:rsidRDefault="001758F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7E344B">
            <w:pPr>
              <w:jc w:val="right"/>
            </w:pPr>
            <w:r w:rsidRPr="001D18FE">
              <w:rPr>
                <w:sz w:val="40"/>
              </w:rPr>
              <w:t>A</w:t>
            </w:r>
            <w:r>
              <w:t>/HRC/</w:t>
            </w:r>
            <w:r w:rsidR="009142CB">
              <w:t>3</w:t>
            </w:r>
            <w:r w:rsidR="008E5187">
              <w:t>3</w:t>
            </w:r>
            <w:r>
              <w:t>/L.</w:t>
            </w:r>
            <w:r w:rsidR="007E344B">
              <w:t>11</w:t>
            </w:r>
            <w:r w:rsidR="007617D9">
              <w:t>/Rev.1</w:t>
            </w:r>
          </w:p>
        </w:tc>
      </w:tr>
      <w:tr w:rsidR="003107FA">
        <w:trPr>
          <w:trHeight w:val="2835"/>
        </w:trPr>
        <w:tc>
          <w:tcPr>
            <w:tcW w:w="1259" w:type="dxa"/>
            <w:tcBorders>
              <w:top w:val="single" w:sz="4" w:space="0" w:color="auto"/>
              <w:left w:val="nil"/>
              <w:bottom w:val="single" w:sz="12" w:space="0" w:color="auto"/>
              <w:right w:val="nil"/>
            </w:tcBorders>
          </w:tcPr>
          <w:p w:rsidR="003107FA" w:rsidRDefault="00505EEC" w:rsidP="00956D9B">
            <w:pPr>
              <w:spacing w:before="120"/>
              <w:jc w:val="center"/>
            </w:pPr>
            <w:r>
              <w:rPr>
                <w:noProof/>
                <w:lang w:eastAsia="zh-CN"/>
              </w:rPr>
              <w:drawing>
                <wp:inline distT="0" distB="0" distL="0" distR="0" wp14:anchorId="023598B0" wp14:editId="5D2F553A">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27187" w:rsidRDefault="007E344B" w:rsidP="00627187">
            <w:pPr>
              <w:spacing w:line="240" w:lineRule="exact"/>
            </w:pPr>
            <w:r>
              <w:t>2</w:t>
            </w:r>
            <w:r w:rsidR="00C846EF">
              <w:t>8</w:t>
            </w:r>
            <w:r>
              <w:t xml:space="preserve"> </w:t>
            </w:r>
            <w:r w:rsidR="008E5187">
              <w:t>September</w:t>
            </w:r>
            <w:r w:rsidR="00101F24">
              <w:t xml:space="preserve"> 2016</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8E5187" w:rsidP="00FE7BB7">
      <w:pPr>
        <w:rPr>
          <w:b/>
        </w:rPr>
      </w:pPr>
      <w:r>
        <w:rPr>
          <w:b/>
        </w:rPr>
        <w:t>Thirty-third</w:t>
      </w:r>
      <w:r w:rsidR="00AB6D2F">
        <w:rPr>
          <w:b/>
        </w:rPr>
        <w:t xml:space="preserve"> </w:t>
      </w:r>
      <w:proofErr w:type="gramStart"/>
      <w:r w:rsidR="00FE7BB7">
        <w:rPr>
          <w:b/>
        </w:rPr>
        <w:t>session</w:t>
      </w:r>
      <w:proofErr w:type="gramEnd"/>
    </w:p>
    <w:p w:rsidR="00FE7BB7" w:rsidRDefault="00447FCF" w:rsidP="00FE7BB7">
      <w:r>
        <w:t xml:space="preserve">Agenda item </w:t>
      </w:r>
      <w:r w:rsidR="007B690D">
        <w:t>10</w:t>
      </w:r>
    </w:p>
    <w:p w:rsidR="00FE7BB7" w:rsidRPr="00533C25" w:rsidRDefault="007B690D" w:rsidP="00FE7BB7">
      <w:pPr>
        <w:rPr>
          <w:b/>
        </w:rPr>
      </w:pPr>
      <w:r>
        <w:rPr>
          <w:b/>
        </w:rPr>
        <w:t>Technical assistance and capacity-building</w:t>
      </w:r>
    </w:p>
    <w:p w:rsidR="00FE7BB7" w:rsidRDefault="00FE7BB7" w:rsidP="00FE7BB7">
      <w:pPr>
        <w:pStyle w:val="H23G"/>
      </w:pPr>
      <w:r>
        <w:tab/>
      </w:r>
      <w:r>
        <w:tab/>
      </w:r>
      <w:r w:rsidR="00B06DB2">
        <w:t>Australia,</w:t>
      </w:r>
      <w:r w:rsidR="00B06DB2" w:rsidRPr="008B74EB">
        <w:rPr>
          <w:rStyle w:val="FootnoteReference"/>
          <w:b w:val="0"/>
          <w:sz w:val="20"/>
          <w:vertAlign w:val="baseline"/>
        </w:rPr>
        <w:footnoteReference w:customMarkFollows="1" w:id="2"/>
        <w:t>*</w:t>
      </w:r>
      <w:r w:rsidR="00B06DB2">
        <w:t xml:space="preserve"> </w:t>
      </w:r>
      <w:r w:rsidR="006A358D">
        <w:t xml:space="preserve">Croatia,* </w:t>
      </w:r>
      <w:r w:rsidR="00B06DB2">
        <w:t>Italy,</w:t>
      </w:r>
      <w:r w:rsidR="00B06DB2" w:rsidRPr="008B74EB">
        <w:rPr>
          <w:b w:val="0"/>
        </w:rPr>
        <w:t>*</w:t>
      </w:r>
      <w:r w:rsidR="00B06DB2">
        <w:t xml:space="preserve"> South Africa,</w:t>
      </w:r>
      <w:r w:rsidR="00B06DB2" w:rsidRPr="008B74EB">
        <w:rPr>
          <w:rStyle w:val="FootnoteReference"/>
          <w:b w:val="0"/>
        </w:rPr>
        <w:footnoteReference w:customMarkFollows="1" w:id="3"/>
        <w:t>†</w:t>
      </w:r>
      <w:r w:rsidR="00B06DB2">
        <w:rPr>
          <w:rStyle w:val="FootnoteReference"/>
        </w:rPr>
        <w:t xml:space="preserve"> </w:t>
      </w:r>
      <w:r w:rsidR="00B06DB2">
        <w:t>Turkey,</w:t>
      </w:r>
      <w:r w:rsidR="00B06DB2" w:rsidRPr="008B74EB">
        <w:rPr>
          <w:b w:val="0"/>
        </w:rPr>
        <w:t>*</w:t>
      </w:r>
      <w:r w:rsidR="00B06DB2">
        <w:t xml:space="preserve"> United Kingdom of Great Britain and Northern Ireland, United States of America</w:t>
      </w:r>
      <w:r>
        <w:t>:</w:t>
      </w:r>
      <w:r w:rsidR="00B06DB2" w:rsidRPr="008B74EB">
        <w:rPr>
          <w:b w:val="0"/>
        </w:rPr>
        <w:t>*</w:t>
      </w:r>
      <w:r>
        <w:t xml:space="preserve"> draft resolution</w:t>
      </w:r>
    </w:p>
    <w:p w:rsidR="009142CB" w:rsidRPr="007A45D3" w:rsidRDefault="009142CB" w:rsidP="009142CB">
      <w:pPr>
        <w:pStyle w:val="H1G"/>
        <w:tabs>
          <w:tab w:val="clear" w:pos="851"/>
        </w:tabs>
        <w:ind w:left="1843" w:hanging="709"/>
      </w:pPr>
      <w:r>
        <w:t>3</w:t>
      </w:r>
      <w:r w:rsidR="008E5187">
        <w:t>3</w:t>
      </w:r>
      <w:r>
        <w:t>/…</w:t>
      </w:r>
      <w:r>
        <w:tab/>
      </w:r>
      <w:r w:rsidR="007E344B" w:rsidRPr="007E344B">
        <w:t>Assistance to Somali</w:t>
      </w:r>
      <w:bookmarkStart w:id="0" w:name="_GoBack"/>
      <w:bookmarkEnd w:id="0"/>
      <w:r w:rsidR="007E344B" w:rsidRPr="007E344B">
        <w:t>a in the field of human rights</w:t>
      </w:r>
    </w:p>
    <w:p w:rsidR="00FE7BB7" w:rsidRDefault="00FE7BB7" w:rsidP="009142CB">
      <w:pPr>
        <w:pStyle w:val="SingleTxtG"/>
      </w:pPr>
      <w:r>
        <w:tab/>
      </w:r>
      <w:r w:rsidRPr="009142CB">
        <w:rPr>
          <w:i/>
        </w:rPr>
        <w:t>The Human Rights Council</w:t>
      </w:r>
      <w:r w:rsidRPr="00852165">
        <w:t>,</w:t>
      </w:r>
    </w:p>
    <w:p w:rsidR="007E344B" w:rsidRPr="007E344B" w:rsidRDefault="007E344B" w:rsidP="007E344B">
      <w:pPr>
        <w:pStyle w:val="SingleTxtG"/>
      </w:pPr>
      <w:r>
        <w:rPr>
          <w:i/>
        </w:rPr>
        <w:tab/>
      </w:r>
      <w:r w:rsidRPr="007E344B">
        <w:rPr>
          <w:i/>
        </w:rPr>
        <w:t>Guided</w:t>
      </w:r>
      <w:r w:rsidRPr="007E344B">
        <w:t xml:space="preserve"> by the Charter of the United Nations</w:t>
      </w:r>
      <w:r>
        <w:t>,</w:t>
      </w:r>
    </w:p>
    <w:p w:rsidR="007E344B" w:rsidRPr="007E344B" w:rsidRDefault="007E344B" w:rsidP="007E344B">
      <w:pPr>
        <w:pStyle w:val="SingleTxtG"/>
      </w:pPr>
      <w:r>
        <w:rPr>
          <w:i/>
        </w:rPr>
        <w:tab/>
      </w:r>
      <w:r w:rsidRPr="007E344B">
        <w:rPr>
          <w:i/>
        </w:rPr>
        <w:t xml:space="preserve">Reaffirming </w:t>
      </w:r>
      <w:r w:rsidRPr="007E344B">
        <w:t>the Univer</w:t>
      </w:r>
      <w:r>
        <w:t>sal Declaration of Human Rights,</w:t>
      </w:r>
    </w:p>
    <w:p w:rsidR="007E344B" w:rsidRPr="007E344B" w:rsidRDefault="007E344B" w:rsidP="007E344B">
      <w:pPr>
        <w:pStyle w:val="SingleTxtG"/>
      </w:pPr>
      <w:r>
        <w:rPr>
          <w:i/>
        </w:rPr>
        <w:tab/>
      </w:r>
      <w:r w:rsidRPr="007E344B">
        <w:rPr>
          <w:i/>
        </w:rPr>
        <w:t>Acknowledging</w:t>
      </w:r>
      <w:r w:rsidRPr="007E344B">
        <w:t xml:space="preserve"> that peace and security, development and human rights are the pillars of the United Nations system,</w:t>
      </w:r>
    </w:p>
    <w:p w:rsidR="007E344B" w:rsidRPr="007E344B" w:rsidRDefault="007E344B" w:rsidP="007E344B">
      <w:pPr>
        <w:pStyle w:val="SingleTxtG"/>
      </w:pPr>
      <w:r>
        <w:rPr>
          <w:i/>
        </w:rPr>
        <w:tab/>
      </w:r>
      <w:r w:rsidRPr="007E344B">
        <w:rPr>
          <w:i/>
        </w:rPr>
        <w:t>Reaffirming</w:t>
      </w:r>
      <w:r w:rsidRPr="007E344B">
        <w:t xml:space="preserve"> its respect for the sovereignty, territorial integrity, political independence and unity of Somalia,</w:t>
      </w:r>
    </w:p>
    <w:p w:rsidR="007E344B" w:rsidRPr="007E344B" w:rsidRDefault="007E344B" w:rsidP="007E344B">
      <w:pPr>
        <w:pStyle w:val="SingleTxtG"/>
      </w:pPr>
      <w:r>
        <w:rPr>
          <w:i/>
        </w:rPr>
        <w:tab/>
      </w:r>
      <w:r w:rsidRPr="007E344B">
        <w:rPr>
          <w:i/>
        </w:rPr>
        <w:t>Reaffirming also</w:t>
      </w:r>
      <w:r w:rsidRPr="007E344B">
        <w:t xml:space="preserve"> its previous resolutions on Somalia,</w:t>
      </w:r>
    </w:p>
    <w:p w:rsidR="007E344B" w:rsidRPr="007E344B" w:rsidRDefault="007E344B" w:rsidP="007E344B">
      <w:pPr>
        <w:pStyle w:val="SingleTxtG"/>
      </w:pPr>
      <w:r>
        <w:rPr>
          <w:i/>
        </w:rPr>
        <w:tab/>
      </w:r>
      <w:r w:rsidRPr="007E344B">
        <w:rPr>
          <w:i/>
        </w:rPr>
        <w:t>Recalling</w:t>
      </w:r>
      <w:r w:rsidRPr="007E344B">
        <w:t xml:space="preserve"> its resolutions 5/1 and 5/2 of 18 June 2007,</w:t>
      </w:r>
    </w:p>
    <w:p w:rsidR="007E344B" w:rsidRPr="007E344B" w:rsidRDefault="007E344B" w:rsidP="007E344B">
      <w:pPr>
        <w:pStyle w:val="SingleTxtG"/>
      </w:pPr>
      <w:r>
        <w:rPr>
          <w:i/>
        </w:rPr>
        <w:tab/>
      </w:r>
      <w:r w:rsidRPr="007E344B">
        <w:rPr>
          <w:i/>
        </w:rPr>
        <w:t>Recognizing</w:t>
      </w:r>
      <w:r w:rsidRPr="007E344B">
        <w:t xml:space="preserve"> the continued urgent need to step up the scale, coherence and quality of all capacity development in and technical assistance to Somalia in the field of human rights, and in that re</w:t>
      </w:r>
      <w:r w:rsidR="00152BB0">
        <w:t>gard</w:t>
      </w:r>
      <w:r w:rsidRPr="007E344B">
        <w:t xml:space="preserve"> welcom</w:t>
      </w:r>
      <w:r w:rsidR="00152BB0">
        <w:t>ing</w:t>
      </w:r>
      <w:r w:rsidRPr="007E344B">
        <w:t xml:space="preserve"> the participation </w:t>
      </w:r>
      <w:r w:rsidR="00152BB0">
        <w:t xml:space="preserve">of States </w:t>
      </w:r>
      <w:r w:rsidRPr="007E344B">
        <w:t>in the universal periodic review of Somalia,</w:t>
      </w:r>
    </w:p>
    <w:p w:rsidR="007E344B" w:rsidRPr="007E344B" w:rsidRDefault="007E344B" w:rsidP="007E344B">
      <w:pPr>
        <w:pStyle w:val="SingleTxtG"/>
      </w:pPr>
      <w:r>
        <w:rPr>
          <w:i/>
        </w:rPr>
        <w:tab/>
      </w:r>
      <w:r w:rsidRPr="007E344B">
        <w:rPr>
          <w:i/>
        </w:rPr>
        <w:t>Recognizing also</w:t>
      </w:r>
      <w:r w:rsidRPr="007E344B">
        <w:t xml:space="preserve"> the role that women have played and will continue to play in community mobilization and peacebuilding in Somali society</w:t>
      </w:r>
      <w:r w:rsidR="00152BB0">
        <w:t>,</w:t>
      </w:r>
      <w:r w:rsidRPr="007E344B">
        <w:t xml:space="preserve"> and the importance of promoting their economic empowerment and participation in political and public decision-making processes, including within Parliament and all levels of government</w:t>
      </w:r>
      <w:r w:rsidR="00152BB0">
        <w:t>,</w:t>
      </w:r>
      <w:r w:rsidRPr="007E344B">
        <w:t xml:space="preserve"> in line with </w:t>
      </w:r>
      <w:r w:rsidR="00152BB0">
        <w:t xml:space="preserve">Security Council resolution </w:t>
      </w:r>
      <w:r w:rsidRPr="007E344B">
        <w:t>1325</w:t>
      </w:r>
      <w:r>
        <w:t xml:space="preserve"> </w:t>
      </w:r>
      <w:r w:rsidR="00152BB0">
        <w:t xml:space="preserve">(2000) of 31 October 2000 </w:t>
      </w:r>
      <w:r>
        <w:t xml:space="preserve">on </w:t>
      </w:r>
      <w:r w:rsidR="00152BB0">
        <w:t>w</w:t>
      </w:r>
      <w:r>
        <w:t xml:space="preserve">omen, </w:t>
      </w:r>
      <w:r w:rsidR="00152BB0">
        <w:t>p</w:t>
      </w:r>
      <w:r>
        <w:t xml:space="preserve">eace and </w:t>
      </w:r>
      <w:r w:rsidR="00152BB0">
        <w:t>s</w:t>
      </w:r>
      <w:r>
        <w:t>ecurity,</w:t>
      </w:r>
    </w:p>
    <w:p w:rsidR="007E344B" w:rsidRPr="007E344B" w:rsidRDefault="007E344B" w:rsidP="007E344B">
      <w:pPr>
        <w:pStyle w:val="SingleTxtG"/>
      </w:pPr>
      <w:r>
        <w:rPr>
          <w:i/>
        </w:rPr>
        <w:tab/>
      </w:r>
      <w:r w:rsidRPr="00BD1720">
        <w:t>1.</w:t>
      </w:r>
      <w:r w:rsidRPr="007E344B">
        <w:rPr>
          <w:i/>
        </w:rPr>
        <w:tab/>
        <w:t>Welcomes</w:t>
      </w:r>
      <w:r w:rsidRPr="007E344B">
        <w:t xml:space="preserve"> the commitment of the Federal Government of Somalia to improve human rights in Somalia, and in that </w:t>
      </w:r>
      <w:r w:rsidR="00152BB0">
        <w:t>regard</w:t>
      </w:r>
      <w:r w:rsidR="00152BB0" w:rsidRPr="007E344B">
        <w:t xml:space="preserve"> </w:t>
      </w:r>
      <w:r w:rsidRPr="007E344B">
        <w:t>also welcomes:</w:t>
      </w:r>
    </w:p>
    <w:p w:rsidR="007E344B" w:rsidRPr="007E344B" w:rsidRDefault="007E344B" w:rsidP="007E344B">
      <w:pPr>
        <w:pStyle w:val="SingleTxtG"/>
      </w:pPr>
      <w:r>
        <w:lastRenderedPageBreak/>
        <w:tab/>
      </w:r>
      <w:r w:rsidRPr="007E344B">
        <w:t>(</w:t>
      </w:r>
      <w:r w:rsidRPr="007E344B">
        <w:rPr>
          <w:i/>
        </w:rPr>
        <w:t>a</w:t>
      </w:r>
      <w:r w:rsidRPr="007E344B">
        <w:t>)</w:t>
      </w:r>
      <w:r w:rsidRPr="007E344B">
        <w:tab/>
        <w:t>The passing and ratification of the bill to establish a national human rights commission</w:t>
      </w:r>
      <w:r>
        <w:t>;</w:t>
      </w:r>
    </w:p>
    <w:p w:rsidR="007E344B" w:rsidRPr="007E344B" w:rsidRDefault="007E344B" w:rsidP="007E344B">
      <w:pPr>
        <w:pStyle w:val="SingleTxtG"/>
      </w:pPr>
      <w:r>
        <w:tab/>
      </w:r>
      <w:r w:rsidRPr="007E344B">
        <w:t>(</w:t>
      </w:r>
      <w:r w:rsidRPr="007E344B">
        <w:rPr>
          <w:i/>
        </w:rPr>
        <w:t>b</w:t>
      </w:r>
      <w:r w:rsidRPr="007E344B">
        <w:t>)</w:t>
      </w:r>
      <w:r w:rsidRPr="007E344B">
        <w:tab/>
        <w:t>The ratification by the Federal Government of the Conven</w:t>
      </w:r>
      <w:r>
        <w:t>tion on the Rights of the Child;</w:t>
      </w:r>
    </w:p>
    <w:p w:rsidR="007E344B" w:rsidRPr="007E344B" w:rsidRDefault="007E344B" w:rsidP="007E344B">
      <w:pPr>
        <w:pStyle w:val="SingleTxtG"/>
      </w:pPr>
      <w:r>
        <w:tab/>
      </w:r>
      <w:r w:rsidRPr="007E344B">
        <w:t>(</w:t>
      </w:r>
      <w:r w:rsidRPr="007E344B">
        <w:rPr>
          <w:i/>
        </w:rPr>
        <w:t>c</w:t>
      </w:r>
      <w:r w:rsidRPr="007E344B">
        <w:t>)</w:t>
      </w:r>
      <w:r w:rsidRPr="007E344B">
        <w:tab/>
        <w:t xml:space="preserve">The progress </w:t>
      </w:r>
      <w:r w:rsidR="00152BB0">
        <w:t xml:space="preserve">made in </w:t>
      </w:r>
      <w:r w:rsidRPr="007E344B">
        <w:t xml:space="preserve">adopting a </w:t>
      </w:r>
      <w:r w:rsidR="00152BB0">
        <w:t>b</w:t>
      </w:r>
      <w:r w:rsidRPr="007E344B">
        <w:t xml:space="preserve">ill on </w:t>
      </w:r>
      <w:r w:rsidR="00152BB0">
        <w:t>s</w:t>
      </w:r>
      <w:r w:rsidRPr="007E344B">
        <w:t xml:space="preserve">exual </w:t>
      </w:r>
      <w:r w:rsidR="00152BB0">
        <w:t>o</w:t>
      </w:r>
      <w:r w:rsidRPr="007E344B">
        <w:t>ffences;</w:t>
      </w:r>
    </w:p>
    <w:p w:rsidR="007E344B" w:rsidRPr="007E344B" w:rsidRDefault="007E344B" w:rsidP="007E344B">
      <w:pPr>
        <w:pStyle w:val="SingleTxtG"/>
      </w:pPr>
      <w:r>
        <w:tab/>
      </w:r>
      <w:r w:rsidRPr="007E344B">
        <w:t>(</w:t>
      </w:r>
      <w:r w:rsidRPr="007E344B">
        <w:rPr>
          <w:i/>
        </w:rPr>
        <w:t>d</w:t>
      </w:r>
      <w:r w:rsidRPr="007E344B">
        <w:t>)</w:t>
      </w:r>
      <w:r w:rsidRPr="007E344B">
        <w:tab/>
        <w:t xml:space="preserve">The agreement and publication of a national </w:t>
      </w:r>
      <w:r w:rsidR="00152BB0" w:rsidRPr="007E344B">
        <w:t xml:space="preserve">plan </w:t>
      </w:r>
      <w:r w:rsidR="00152BB0">
        <w:t xml:space="preserve">of </w:t>
      </w:r>
      <w:r w:rsidRPr="007E344B">
        <w:t>action on eradicating sexual violence in conflict;</w:t>
      </w:r>
    </w:p>
    <w:p w:rsidR="007E344B" w:rsidRPr="007E344B" w:rsidRDefault="007E344B" w:rsidP="007E344B">
      <w:pPr>
        <w:pStyle w:val="SingleTxtG"/>
      </w:pPr>
      <w:r>
        <w:tab/>
      </w:r>
      <w:r w:rsidRPr="007E344B">
        <w:t>(</w:t>
      </w:r>
      <w:r w:rsidRPr="007E344B">
        <w:rPr>
          <w:i/>
        </w:rPr>
        <w:t>e</w:t>
      </w:r>
      <w:r>
        <w:t>)</w:t>
      </w:r>
      <w:r>
        <w:tab/>
      </w:r>
      <w:r w:rsidRPr="007E344B">
        <w:t xml:space="preserve">The ongoing efforts </w:t>
      </w:r>
      <w:r w:rsidR="00152BB0">
        <w:t>of</w:t>
      </w:r>
      <w:r w:rsidR="00152BB0" w:rsidRPr="007E344B">
        <w:t xml:space="preserve"> </w:t>
      </w:r>
      <w:r w:rsidRPr="007E344B">
        <w:t xml:space="preserve">the Federal Government of Somalia to produce the </w:t>
      </w:r>
      <w:r w:rsidR="00152BB0">
        <w:t>State’s</w:t>
      </w:r>
      <w:r w:rsidR="00152BB0" w:rsidRPr="007E344B">
        <w:t xml:space="preserve"> </w:t>
      </w:r>
      <w:r w:rsidRPr="007E344B">
        <w:t xml:space="preserve">first </w:t>
      </w:r>
      <w:r w:rsidR="00152BB0">
        <w:t>n</w:t>
      </w:r>
      <w:r w:rsidRPr="007E344B">
        <w:t xml:space="preserve">ational </w:t>
      </w:r>
      <w:r w:rsidR="00152BB0">
        <w:t>d</w:t>
      </w:r>
      <w:r w:rsidRPr="007E344B">
        <w:t xml:space="preserve">evelopment </w:t>
      </w:r>
      <w:r w:rsidR="00152BB0">
        <w:t>p</w:t>
      </w:r>
      <w:r w:rsidRPr="007E344B">
        <w:t>lan in 30 years</w:t>
      </w:r>
      <w:r w:rsidR="00152BB0">
        <w:t>,</w:t>
      </w:r>
      <w:r w:rsidRPr="007E344B">
        <w:t xml:space="preserve"> and the commitments made </w:t>
      </w:r>
      <w:r w:rsidR="00152BB0">
        <w:t>therein</w:t>
      </w:r>
      <w:r w:rsidRPr="007E344B">
        <w:t xml:space="preserve"> to protect human rights and to promote gender equality and women’s empowerment;</w:t>
      </w:r>
    </w:p>
    <w:p w:rsidR="007E344B" w:rsidRPr="007E344B" w:rsidRDefault="007E344B" w:rsidP="007E344B">
      <w:pPr>
        <w:pStyle w:val="SingleTxtG"/>
      </w:pPr>
      <w:r>
        <w:tab/>
      </w:r>
      <w:r w:rsidRPr="007E344B">
        <w:t>(</w:t>
      </w:r>
      <w:r w:rsidRPr="007E344B">
        <w:rPr>
          <w:i/>
        </w:rPr>
        <w:t>f</w:t>
      </w:r>
      <w:r w:rsidRPr="007E344B">
        <w:t>)</w:t>
      </w:r>
      <w:r w:rsidRPr="007E344B">
        <w:tab/>
        <w:t xml:space="preserve">The promotion of </w:t>
      </w:r>
      <w:r w:rsidR="004950CE">
        <w:t xml:space="preserve">and adherence to </w:t>
      </w:r>
      <w:r w:rsidR="00152BB0">
        <w:t>a</w:t>
      </w:r>
      <w:r w:rsidR="00152BB0" w:rsidRPr="007E344B">
        <w:t xml:space="preserve"> </w:t>
      </w:r>
      <w:r w:rsidRPr="007E344B">
        <w:t xml:space="preserve">post-transition human rights road map, which </w:t>
      </w:r>
      <w:r w:rsidR="00152BB0">
        <w:t xml:space="preserve">has </w:t>
      </w:r>
      <w:r w:rsidRPr="007E344B">
        <w:t xml:space="preserve">included consultations with civil society and </w:t>
      </w:r>
      <w:r w:rsidR="004950CE">
        <w:t xml:space="preserve">existing and </w:t>
      </w:r>
      <w:r w:rsidRPr="007E344B">
        <w:t>emerging regional administrations</w:t>
      </w:r>
      <w:r w:rsidR="00BC37A2">
        <w:t>,</w:t>
      </w:r>
      <w:r w:rsidRPr="007E344B">
        <w:t xml:space="preserve"> and </w:t>
      </w:r>
      <w:r w:rsidR="00BC37A2">
        <w:t xml:space="preserve">in this regard </w:t>
      </w:r>
      <w:r w:rsidRPr="007E344B">
        <w:t>encourage</w:t>
      </w:r>
      <w:r w:rsidR="00BC37A2">
        <w:t>s</w:t>
      </w:r>
      <w:r w:rsidRPr="007E344B">
        <w:t xml:space="preserve"> support from the international community;</w:t>
      </w:r>
    </w:p>
    <w:p w:rsidR="007E344B" w:rsidRPr="007E344B" w:rsidRDefault="007E344B" w:rsidP="007E344B">
      <w:pPr>
        <w:pStyle w:val="SingleTxtG"/>
      </w:pPr>
      <w:r>
        <w:tab/>
      </w:r>
      <w:r w:rsidRPr="007E344B">
        <w:t>(</w:t>
      </w:r>
      <w:r w:rsidRPr="007E344B">
        <w:rPr>
          <w:i/>
        </w:rPr>
        <w:t>g</w:t>
      </w:r>
      <w:r>
        <w:t>)</w:t>
      </w:r>
      <w:r>
        <w:tab/>
      </w:r>
      <w:r w:rsidRPr="007E344B">
        <w:t xml:space="preserve">The work undertaken by the Ministry of Women and Human Rights Development as the lead federal government body to advance the human rights agenda in Somalia, such as the </w:t>
      </w:r>
      <w:r w:rsidR="00152BB0">
        <w:t>g</w:t>
      </w:r>
      <w:r w:rsidRPr="007E344B">
        <w:t xml:space="preserve">ender </w:t>
      </w:r>
      <w:r w:rsidR="00152BB0">
        <w:t>s</w:t>
      </w:r>
      <w:r w:rsidRPr="007E344B">
        <w:t>trategy, working alongside the Ministry of Justice and Religious Affairs and other departments;</w:t>
      </w:r>
    </w:p>
    <w:p w:rsidR="007E344B" w:rsidRPr="007E344B" w:rsidRDefault="007E344B" w:rsidP="007E344B">
      <w:pPr>
        <w:pStyle w:val="SingleTxtG"/>
      </w:pPr>
      <w:r>
        <w:tab/>
      </w:r>
      <w:r w:rsidRPr="007E344B">
        <w:t>(</w:t>
      </w:r>
      <w:r w:rsidRPr="007E344B">
        <w:rPr>
          <w:i/>
        </w:rPr>
        <w:t>h</w:t>
      </w:r>
      <w:r w:rsidRPr="007E344B">
        <w:t>)</w:t>
      </w:r>
      <w:r>
        <w:tab/>
      </w:r>
      <w:r w:rsidRPr="005B355D">
        <w:t xml:space="preserve">The </w:t>
      </w:r>
      <w:r w:rsidR="00B00706" w:rsidRPr="005B355D">
        <w:t>n</w:t>
      </w:r>
      <w:r w:rsidRPr="005B355D">
        <w:t xml:space="preserve">ational </w:t>
      </w:r>
      <w:r w:rsidR="00B00706" w:rsidRPr="005B355D">
        <w:t>s</w:t>
      </w:r>
      <w:r w:rsidRPr="005B355D">
        <w:t xml:space="preserve">ecurity </w:t>
      </w:r>
      <w:r w:rsidR="00B00706" w:rsidRPr="005B355D">
        <w:t>p</w:t>
      </w:r>
      <w:r w:rsidRPr="005B355D">
        <w:t>olicy,</w:t>
      </w:r>
      <w:r w:rsidRPr="007E344B">
        <w:t xml:space="preserve"> as agreed by the National Leadership Forum, as a further important step on </w:t>
      </w:r>
      <w:r w:rsidR="00FF3D4B">
        <w:t>s</w:t>
      </w:r>
      <w:r w:rsidRPr="007E344B">
        <w:t xml:space="preserve">ecurity </w:t>
      </w:r>
      <w:r w:rsidR="00FF3D4B">
        <w:t>s</w:t>
      </w:r>
      <w:r w:rsidRPr="007E344B">
        <w:t xml:space="preserve">ector </w:t>
      </w:r>
      <w:r w:rsidR="00FF3D4B">
        <w:t>r</w:t>
      </w:r>
      <w:r w:rsidRPr="007E344B">
        <w:t>eform, towards the Federal Government of Somalia being able to provide security to the people of Somalia;</w:t>
      </w:r>
    </w:p>
    <w:p w:rsidR="007E344B" w:rsidRPr="007E344B" w:rsidRDefault="007E344B" w:rsidP="007E344B">
      <w:pPr>
        <w:pStyle w:val="SingleTxtG"/>
      </w:pPr>
      <w:r>
        <w:tab/>
      </w:r>
      <w:r w:rsidRPr="007E344B">
        <w:t>(</w:t>
      </w:r>
      <w:proofErr w:type="spellStart"/>
      <w:r w:rsidRPr="007E344B">
        <w:rPr>
          <w:i/>
        </w:rPr>
        <w:t>i</w:t>
      </w:r>
      <w:proofErr w:type="spellEnd"/>
      <w:r>
        <w:t>)</w:t>
      </w:r>
      <w:r>
        <w:tab/>
      </w:r>
      <w:r w:rsidRPr="007E344B">
        <w:t>The continuing institutionalization of the promotion and protection of human rights in Somalia, including efforts to incorporate protection for civilians, internally displaced persons and returning refugees, and to promote human rights in the reform plans of the security and justice sectors;</w:t>
      </w:r>
    </w:p>
    <w:p w:rsidR="007E344B" w:rsidRPr="007E344B" w:rsidRDefault="007E344B" w:rsidP="007E344B">
      <w:pPr>
        <w:pStyle w:val="SingleTxtG"/>
      </w:pPr>
      <w:r>
        <w:tab/>
      </w:r>
      <w:r w:rsidRPr="007E344B">
        <w:t>2.</w:t>
      </w:r>
      <w:r>
        <w:tab/>
      </w:r>
      <w:r w:rsidR="00FF3D4B" w:rsidRPr="00CE67F2">
        <w:rPr>
          <w:i/>
        </w:rPr>
        <w:t>Also</w:t>
      </w:r>
      <w:r w:rsidR="00FF3D4B">
        <w:t xml:space="preserve"> </w:t>
      </w:r>
      <w:r w:rsidR="00FF3D4B">
        <w:rPr>
          <w:i/>
        </w:rPr>
        <w:t>w</w:t>
      </w:r>
      <w:r w:rsidRPr="007E344B">
        <w:rPr>
          <w:i/>
        </w:rPr>
        <w:t>elcomes</w:t>
      </w:r>
      <w:r w:rsidRPr="007E344B">
        <w:t xml:space="preserve"> the continued commitment of the Federal Government of Somalia to the </w:t>
      </w:r>
      <w:r w:rsidR="00FF3D4B">
        <w:t>u</w:t>
      </w:r>
      <w:r w:rsidRPr="007E344B">
        <w:t xml:space="preserve">niversal </w:t>
      </w:r>
      <w:r w:rsidR="00FF3D4B">
        <w:t>p</w:t>
      </w:r>
      <w:r w:rsidRPr="007E344B">
        <w:t xml:space="preserve">eriodic </w:t>
      </w:r>
      <w:r w:rsidR="00FF3D4B">
        <w:t>r</w:t>
      </w:r>
      <w:r w:rsidRPr="007E344B">
        <w:t>eview process, in this regard</w:t>
      </w:r>
      <w:r w:rsidR="00FF3D4B">
        <w:t xml:space="preserve"> </w:t>
      </w:r>
      <w:r>
        <w:tab/>
      </w:r>
      <w:r w:rsidRPr="007E344B">
        <w:t xml:space="preserve">welcomes </w:t>
      </w:r>
      <w:r w:rsidR="00FF3D4B">
        <w:t>its</w:t>
      </w:r>
      <w:r w:rsidR="00FF3D4B" w:rsidRPr="007E344B">
        <w:t xml:space="preserve"> acceptance </w:t>
      </w:r>
      <w:r w:rsidRPr="007E344B">
        <w:t xml:space="preserve">of recommendations made during the </w:t>
      </w:r>
      <w:r w:rsidR="00FF3D4B">
        <w:t xml:space="preserve">review, </w:t>
      </w:r>
      <w:r w:rsidRPr="007E344B">
        <w:t xml:space="preserve">including to ratify the Convention on the Elimination of </w:t>
      </w:r>
      <w:r w:rsidR="00FF3D4B">
        <w:t xml:space="preserve">All Forms of </w:t>
      </w:r>
      <w:r w:rsidRPr="007E344B">
        <w:t>Discrimination against Women</w:t>
      </w:r>
      <w:r w:rsidR="00FF3D4B">
        <w:t xml:space="preserve"> and</w:t>
      </w:r>
      <w:r w:rsidRPr="007E344B">
        <w:t xml:space="preserve"> </w:t>
      </w:r>
      <w:r w:rsidRPr="005B355D">
        <w:t>the Africa</w:t>
      </w:r>
      <w:r w:rsidR="00FA518E" w:rsidRPr="005B355D">
        <w:t>n</w:t>
      </w:r>
      <w:r w:rsidRPr="007E344B">
        <w:t xml:space="preserve"> Charter on Human and People</w:t>
      </w:r>
      <w:r w:rsidR="00FF3D4B">
        <w:t>s</w:t>
      </w:r>
      <w:r w:rsidRPr="007E344B">
        <w:t xml:space="preserve">’ Rights, to establish a </w:t>
      </w:r>
      <w:r w:rsidR="00FF3D4B">
        <w:t>n</w:t>
      </w:r>
      <w:r w:rsidRPr="007E344B">
        <w:t xml:space="preserve">ational </w:t>
      </w:r>
      <w:r w:rsidR="00FF3D4B">
        <w:t>h</w:t>
      </w:r>
      <w:r w:rsidRPr="007E344B">
        <w:t xml:space="preserve">uman </w:t>
      </w:r>
      <w:r w:rsidR="00FF3D4B">
        <w:t>r</w:t>
      </w:r>
      <w:r w:rsidRPr="007E344B">
        <w:t xml:space="preserve">ights </w:t>
      </w:r>
      <w:r w:rsidR="00FF3D4B">
        <w:t>i</w:t>
      </w:r>
      <w:r w:rsidRPr="007E344B">
        <w:t xml:space="preserve">nstitution in </w:t>
      </w:r>
      <w:r w:rsidR="00FF3D4B">
        <w:t>accordance</w:t>
      </w:r>
      <w:r w:rsidRPr="007E344B">
        <w:t xml:space="preserve"> with Paris Principles, to extend a standing invitation to special procedure mandate holders to conduct investigations, to endeavour to protect civilians from attack and to prevent the recruitment and use of child soldiers;</w:t>
      </w:r>
    </w:p>
    <w:p w:rsidR="007E344B" w:rsidRPr="007E344B" w:rsidRDefault="007E344B" w:rsidP="007E344B">
      <w:pPr>
        <w:pStyle w:val="SingleTxtG"/>
      </w:pPr>
      <w:r>
        <w:tab/>
      </w:r>
      <w:r w:rsidRPr="007E344B">
        <w:t>3.</w:t>
      </w:r>
      <w:r w:rsidRPr="007E344B">
        <w:tab/>
      </w:r>
      <w:r w:rsidRPr="007E344B">
        <w:rPr>
          <w:i/>
        </w:rPr>
        <w:t>Expresses concern</w:t>
      </w:r>
      <w:r w:rsidRPr="007E344B">
        <w:t xml:space="preserve"> at reports of violations and abuses of human rights in Somalia, and underscores the need to end the culture of impunity, uphold human rights for all and hold accountable all those who commit any such related crimes;</w:t>
      </w:r>
    </w:p>
    <w:p w:rsidR="007E344B" w:rsidRPr="007E344B" w:rsidRDefault="007E344B" w:rsidP="007E344B">
      <w:pPr>
        <w:pStyle w:val="SingleTxtG"/>
      </w:pPr>
      <w:r>
        <w:tab/>
      </w:r>
      <w:r w:rsidRPr="007E344B">
        <w:t>4.</w:t>
      </w:r>
      <w:r w:rsidRPr="007E344B">
        <w:tab/>
      </w:r>
      <w:r w:rsidRPr="007E344B">
        <w:rPr>
          <w:i/>
        </w:rPr>
        <w:t>Also expresses concern</w:t>
      </w:r>
      <w:r w:rsidRPr="007E344B">
        <w:t xml:space="preserve"> at the abuses and violations perpetrated against girls and women, including sexual and gender</w:t>
      </w:r>
      <w:r w:rsidR="00FF3D4B">
        <w:t>-</w:t>
      </w:r>
      <w:r w:rsidRPr="007E344B">
        <w:t>based violence, child early and forced marriage and female genital mutilation, and abuses and violations committed against children, including the unlawful recruitment and use of child soldiers, killing and maiming, rape and other sexual and gender</w:t>
      </w:r>
      <w:r w:rsidR="00FF3D4B">
        <w:t>-</w:t>
      </w:r>
      <w:r w:rsidRPr="007E344B">
        <w:t>based violence</w:t>
      </w:r>
      <w:r w:rsidR="00FF3D4B">
        <w:t>,</w:t>
      </w:r>
      <w:r w:rsidRPr="007E344B">
        <w:t xml:space="preserve"> and abductions, and emphasizes the need for accountability and justice for all such violations and abuses;</w:t>
      </w:r>
    </w:p>
    <w:p w:rsidR="006A358D" w:rsidRPr="007E344B" w:rsidRDefault="007E344B" w:rsidP="007E344B">
      <w:pPr>
        <w:pStyle w:val="SingleTxtG"/>
      </w:pPr>
      <w:r>
        <w:tab/>
      </w:r>
      <w:r w:rsidRPr="007E344B">
        <w:t>5.</w:t>
      </w:r>
      <w:r w:rsidRPr="007E344B">
        <w:tab/>
      </w:r>
      <w:r w:rsidR="00FF3D4B" w:rsidRPr="00CE67F2">
        <w:rPr>
          <w:i/>
        </w:rPr>
        <w:t>Further</w:t>
      </w:r>
      <w:r w:rsidR="00FF3D4B">
        <w:t xml:space="preserve"> </w:t>
      </w:r>
      <w:r w:rsidR="00FF3D4B">
        <w:rPr>
          <w:i/>
        </w:rPr>
        <w:t>e</w:t>
      </w:r>
      <w:r w:rsidRPr="007E344B">
        <w:rPr>
          <w:i/>
        </w:rPr>
        <w:t>xpresses concern</w:t>
      </w:r>
      <w:r w:rsidRPr="007E344B">
        <w:t xml:space="preserve"> that internally displaced persons</w:t>
      </w:r>
      <w:r w:rsidR="00C44117">
        <w:t xml:space="preserve">, </w:t>
      </w:r>
      <w:r w:rsidR="000E3322">
        <w:t>and</w:t>
      </w:r>
      <w:r w:rsidR="00C44117">
        <w:t xml:space="preserve"> </w:t>
      </w:r>
      <w:r w:rsidR="00C44117" w:rsidRPr="007E344B">
        <w:t>the most marginalized and vulnerable</w:t>
      </w:r>
      <w:r w:rsidR="00C44117">
        <w:t xml:space="preserve"> persons, </w:t>
      </w:r>
      <w:r w:rsidR="00C44117" w:rsidRPr="007E344B">
        <w:t>which may include women, children and persons belonging to minorities</w:t>
      </w:r>
      <w:r w:rsidR="000E3322">
        <w:t>,</w:t>
      </w:r>
      <w:r w:rsidR="00C44117">
        <w:t xml:space="preserve"> being the most at risk,</w:t>
      </w:r>
      <w:r w:rsidR="004950CE">
        <w:t xml:space="preserve"> bear the brunt of violence</w:t>
      </w:r>
      <w:r w:rsidR="00BC37A2">
        <w:t>,</w:t>
      </w:r>
      <w:r w:rsidR="004950CE">
        <w:t xml:space="preserve"> abuses and violations</w:t>
      </w:r>
      <w:r w:rsidR="000E3322">
        <w:t>;</w:t>
      </w:r>
    </w:p>
    <w:p w:rsidR="007E344B" w:rsidRPr="007E344B" w:rsidRDefault="007E344B" w:rsidP="007E344B">
      <w:pPr>
        <w:pStyle w:val="SingleTxtG"/>
      </w:pPr>
      <w:r>
        <w:tab/>
      </w:r>
      <w:r w:rsidRPr="007E344B">
        <w:t>6.</w:t>
      </w:r>
      <w:r w:rsidRPr="007E344B">
        <w:tab/>
      </w:r>
      <w:r w:rsidR="00FF3D4B">
        <w:rPr>
          <w:i/>
        </w:rPr>
        <w:t>E</w:t>
      </w:r>
      <w:r w:rsidRPr="007E344B">
        <w:rPr>
          <w:i/>
        </w:rPr>
        <w:t>xpresses concern</w:t>
      </w:r>
      <w:r w:rsidRPr="007E344B">
        <w:t xml:space="preserve"> at the attacks against and harassment of human rights defenders</w:t>
      </w:r>
      <w:r w:rsidR="00FF3D4B">
        <w:t>,</w:t>
      </w:r>
      <w:r w:rsidRPr="007E344B">
        <w:t xml:space="preserve"> including journalists</w:t>
      </w:r>
      <w:r w:rsidR="00FF3D4B">
        <w:t>,</w:t>
      </w:r>
      <w:r w:rsidRPr="007E344B">
        <w:t xml:space="preserve"> in Somalia, and urges the authorities to continue efforts to </w:t>
      </w:r>
      <w:r w:rsidRPr="007E344B">
        <w:lastRenderedPageBreak/>
        <w:t>prohibit, prevent and protect against all kidnap</w:t>
      </w:r>
      <w:r w:rsidR="00FF3D4B">
        <w:t>ping</w:t>
      </w:r>
      <w:r w:rsidRPr="007E344B">
        <w:t xml:space="preserve">, killings, attacks, </w:t>
      </w:r>
      <w:r w:rsidR="00FF3D4B">
        <w:t xml:space="preserve">acts of </w:t>
      </w:r>
      <w:r w:rsidRPr="007E344B">
        <w:t>intimidation and harassment of journalists, in order to promote respect for the freedom of expression and opinion and to end the culture of impunity, holding accountable those who commit any such related crimes;</w:t>
      </w:r>
    </w:p>
    <w:p w:rsidR="007E344B" w:rsidRPr="007E344B" w:rsidRDefault="007E344B" w:rsidP="007E344B">
      <w:pPr>
        <w:pStyle w:val="SingleTxtG"/>
      </w:pPr>
      <w:r>
        <w:tab/>
      </w:r>
      <w:r w:rsidRPr="007E344B">
        <w:t>7.</w:t>
      </w:r>
      <w:r w:rsidRPr="007E344B">
        <w:tab/>
      </w:r>
      <w:r w:rsidRPr="007E344B">
        <w:rPr>
          <w:i/>
        </w:rPr>
        <w:t>Strongly condemns</w:t>
      </w:r>
      <w:r w:rsidRPr="007E344B">
        <w:t xml:space="preserve"> the serious and systematic violations and abuses perpetrated against members of the civilian population, including women, children, journalists, parliamentarians and human rights defenders, by Al-Shabaab and its affiliates, and calls for the immediate cessation of these violations and abuses and for perpetrators to be held accountable;</w:t>
      </w:r>
    </w:p>
    <w:p w:rsidR="007E344B" w:rsidRPr="007E344B" w:rsidRDefault="007E344B" w:rsidP="007E344B">
      <w:pPr>
        <w:pStyle w:val="SingleTxtG"/>
      </w:pPr>
      <w:r>
        <w:tab/>
      </w:r>
      <w:r w:rsidRPr="007E344B">
        <w:t>8.</w:t>
      </w:r>
      <w:r w:rsidRPr="007E344B">
        <w:tab/>
      </w:r>
      <w:r w:rsidRPr="007E344B">
        <w:rPr>
          <w:i/>
        </w:rPr>
        <w:t>Recognizes</w:t>
      </w:r>
      <w:r w:rsidRPr="007E344B">
        <w:t xml:space="preserve"> the importance and effectiveness of international assistance to Somalia, and stresses that the primary responsibility for promoting and protecting human rights in Somalia rests with the Federal Government of Somalia;</w:t>
      </w:r>
    </w:p>
    <w:p w:rsidR="007E344B" w:rsidRPr="007E344B" w:rsidRDefault="007E344B" w:rsidP="007E344B">
      <w:pPr>
        <w:pStyle w:val="SingleTxtG"/>
      </w:pPr>
      <w:r>
        <w:tab/>
      </w:r>
      <w:r w:rsidRPr="007E344B">
        <w:t>9.</w:t>
      </w:r>
      <w:r w:rsidRPr="007E344B">
        <w:tab/>
      </w:r>
      <w:proofErr w:type="gramStart"/>
      <w:r w:rsidRPr="007E344B">
        <w:rPr>
          <w:i/>
        </w:rPr>
        <w:t>Underscores</w:t>
      </w:r>
      <w:proofErr w:type="gramEnd"/>
      <w:r w:rsidRPr="007E344B">
        <w:t xml:space="preserve"> the importance of coordinated international assistance to Somalia in the field of human rights, and in that respect welcomes:</w:t>
      </w:r>
    </w:p>
    <w:p w:rsidR="007E344B" w:rsidRPr="007E344B" w:rsidRDefault="007E344B" w:rsidP="007E344B">
      <w:pPr>
        <w:pStyle w:val="SingleTxtG"/>
      </w:pPr>
      <w:r>
        <w:tab/>
      </w:r>
      <w:r w:rsidRPr="007E344B">
        <w:t>(</w:t>
      </w:r>
      <w:r w:rsidRPr="007E344B">
        <w:rPr>
          <w:i/>
        </w:rPr>
        <w:t>a</w:t>
      </w:r>
      <w:r w:rsidRPr="007E344B">
        <w:t>)</w:t>
      </w:r>
      <w:r w:rsidRPr="007E344B">
        <w:tab/>
        <w:t>The continued work towards meeting the goals established in the Somali Compact, recogni</w:t>
      </w:r>
      <w:r w:rsidR="00CF376B">
        <w:t>z</w:t>
      </w:r>
      <w:r w:rsidRPr="007E344B">
        <w:t xml:space="preserve">ing that a new framework will need to be reached between the Federal Government of Somalia and the international community to provide a coordinated approach </w:t>
      </w:r>
      <w:r w:rsidR="00405CF4">
        <w:t>to</w:t>
      </w:r>
      <w:r w:rsidR="00405CF4" w:rsidRPr="007E344B">
        <w:t xml:space="preserve"> </w:t>
      </w:r>
      <w:r w:rsidRPr="007E344B">
        <w:t>development, security and political issues with effect from the start of 2017</w:t>
      </w:r>
      <w:r w:rsidR="00405CF4">
        <w:t>,</w:t>
      </w:r>
      <w:r w:rsidRPr="007E344B">
        <w:t xml:space="preserve"> </w:t>
      </w:r>
      <w:r w:rsidR="00405CF4">
        <w:t xml:space="preserve">following </w:t>
      </w:r>
      <w:r w:rsidRPr="007E344B">
        <w:t xml:space="preserve">the </w:t>
      </w:r>
      <w:r w:rsidR="00405CF4">
        <w:t>expiry of current</w:t>
      </w:r>
      <w:r w:rsidR="00405CF4" w:rsidRPr="007E344B">
        <w:t xml:space="preserve"> </w:t>
      </w:r>
      <w:r w:rsidRPr="007E344B">
        <w:t>Somali Compact at the end of 2016;</w:t>
      </w:r>
    </w:p>
    <w:p w:rsidR="007E344B" w:rsidRPr="007E344B" w:rsidRDefault="007E344B" w:rsidP="007E344B">
      <w:pPr>
        <w:pStyle w:val="SingleTxtG"/>
      </w:pPr>
      <w:r>
        <w:tab/>
      </w:r>
      <w:r w:rsidRPr="007E344B">
        <w:t>(</w:t>
      </w:r>
      <w:r w:rsidRPr="007E344B">
        <w:rPr>
          <w:i/>
        </w:rPr>
        <w:t>b</w:t>
      </w:r>
      <w:r w:rsidRPr="007E344B">
        <w:t>)</w:t>
      </w:r>
      <w:r w:rsidRPr="007E344B">
        <w:tab/>
        <w:t xml:space="preserve">The sustained and vital commitment of the </w:t>
      </w:r>
      <w:bookmarkStart w:id="1" w:name="OLE_LINK8"/>
      <w:bookmarkStart w:id="2" w:name="OLE_LINK9"/>
      <w:r w:rsidRPr="007E344B">
        <w:t>African Union Mission in Somalia</w:t>
      </w:r>
      <w:bookmarkEnd w:id="1"/>
      <w:bookmarkEnd w:id="2"/>
      <w:r w:rsidRPr="007E344B">
        <w:t>, recogni</w:t>
      </w:r>
      <w:r w:rsidR="00405CF4">
        <w:t>z</w:t>
      </w:r>
      <w:r w:rsidRPr="007E344B">
        <w:t xml:space="preserve">ing the loss and sacrifice of personnel killed in action, and the </w:t>
      </w:r>
      <w:bookmarkStart w:id="3" w:name="OLE_LINK10"/>
      <w:bookmarkStart w:id="4" w:name="OLE_LINK11"/>
      <w:r w:rsidRPr="007E344B">
        <w:t>Intergovernmental Authority on Development</w:t>
      </w:r>
      <w:bookmarkEnd w:id="3"/>
      <w:bookmarkEnd w:id="4"/>
      <w:r w:rsidRPr="007E344B">
        <w:t>;</w:t>
      </w:r>
    </w:p>
    <w:p w:rsidR="007E344B" w:rsidRPr="007E344B" w:rsidRDefault="007E344B" w:rsidP="007E344B">
      <w:pPr>
        <w:pStyle w:val="SingleTxtG"/>
      </w:pPr>
      <w:r>
        <w:tab/>
      </w:r>
      <w:r w:rsidRPr="007E344B">
        <w:t>10.</w:t>
      </w:r>
      <w:r w:rsidRPr="007E344B">
        <w:tab/>
      </w:r>
      <w:proofErr w:type="gramStart"/>
      <w:r w:rsidRPr="007E344B">
        <w:rPr>
          <w:i/>
        </w:rPr>
        <w:t>Encourages</w:t>
      </w:r>
      <w:proofErr w:type="gramEnd"/>
      <w:r w:rsidRPr="007E344B">
        <w:t xml:space="preserve"> international donors to provide timely and tangible assistance to and to enhance cooperation with the Government of Somalia at the federal, regional </w:t>
      </w:r>
      <w:r w:rsidR="00405CF4">
        <w:t>S</w:t>
      </w:r>
      <w:r w:rsidRPr="007E344B">
        <w:t>tate and subnational levels;</w:t>
      </w:r>
    </w:p>
    <w:p w:rsidR="007E344B" w:rsidRPr="007E344B" w:rsidRDefault="007E344B" w:rsidP="007E344B">
      <w:pPr>
        <w:pStyle w:val="SingleTxtG"/>
      </w:pPr>
      <w:r>
        <w:tab/>
      </w:r>
      <w:r w:rsidRPr="007E344B">
        <w:t>11.</w:t>
      </w:r>
      <w:r w:rsidRPr="007E344B">
        <w:tab/>
      </w:r>
      <w:r w:rsidRPr="007E344B">
        <w:rPr>
          <w:i/>
        </w:rPr>
        <w:t>Recogni</w:t>
      </w:r>
      <w:r w:rsidR="00405CF4">
        <w:rPr>
          <w:i/>
        </w:rPr>
        <w:t>z</w:t>
      </w:r>
      <w:r w:rsidRPr="007E344B">
        <w:rPr>
          <w:i/>
        </w:rPr>
        <w:t>e</w:t>
      </w:r>
      <w:r w:rsidRPr="007E344B">
        <w:t xml:space="preserve">s the efforts of those </w:t>
      </w:r>
      <w:r w:rsidR="00405CF4">
        <w:t>States</w:t>
      </w:r>
      <w:r w:rsidR="00405CF4" w:rsidRPr="007E344B">
        <w:t xml:space="preserve"> </w:t>
      </w:r>
      <w:r w:rsidRPr="007E344B">
        <w:t>hosting Somali refugees</w:t>
      </w:r>
      <w:r w:rsidR="00405CF4">
        <w:t>,</w:t>
      </w:r>
      <w:r w:rsidRPr="007E344B">
        <w:t xml:space="preserve"> </w:t>
      </w:r>
      <w:r w:rsidRPr="00CE67F2">
        <w:t>urges</w:t>
      </w:r>
      <w:r w:rsidRPr="007E344B">
        <w:t xml:space="preserve"> all host </w:t>
      </w:r>
      <w:r w:rsidR="00405CF4">
        <w:t>States</w:t>
      </w:r>
      <w:r w:rsidR="00405CF4" w:rsidRPr="007E344B">
        <w:t xml:space="preserve"> </w:t>
      </w:r>
      <w:r w:rsidRPr="007E344B">
        <w:t>to meet their obligations under international law relating to refugees</w:t>
      </w:r>
      <w:r w:rsidR="00405CF4">
        <w:t>,</w:t>
      </w:r>
      <w:r w:rsidRPr="007E344B">
        <w:t xml:space="preserve"> and </w:t>
      </w:r>
      <w:r w:rsidRPr="00CE67F2">
        <w:t>urges</w:t>
      </w:r>
      <w:r w:rsidRPr="007E344B">
        <w:t xml:space="preserve"> the international community to continue to provide financial support to enable host </w:t>
      </w:r>
      <w:r w:rsidR="00405CF4">
        <w:t>States</w:t>
      </w:r>
      <w:r w:rsidR="00405CF4" w:rsidRPr="007E344B">
        <w:t xml:space="preserve"> </w:t>
      </w:r>
      <w:r w:rsidRPr="007E344B">
        <w:t xml:space="preserve">to meet </w:t>
      </w:r>
      <w:r w:rsidR="00405CF4">
        <w:t xml:space="preserve">the </w:t>
      </w:r>
      <w:r w:rsidRPr="007E344B">
        <w:t xml:space="preserve">humanitarian needs of Somali refugees in the region, to support the reintegration of those returning to Somalia when conditions are </w:t>
      </w:r>
      <w:r w:rsidR="00704DF8">
        <w:t>suitable</w:t>
      </w:r>
      <w:r w:rsidR="00405CF4">
        <w:t>,</w:t>
      </w:r>
      <w:r w:rsidRPr="007E344B">
        <w:t xml:space="preserve"> and to support internally displaced persons;</w:t>
      </w:r>
    </w:p>
    <w:p w:rsidR="007E344B" w:rsidRPr="007E344B" w:rsidRDefault="007E344B" w:rsidP="007E344B">
      <w:pPr>
        <w:pStyle w:val="SingleTxtG"/>
      </w:pPr>
      <w:r>
        <w:tab/>
      </w:r>
      <w:r w:rsidRPr="007E344B">
        <w:t>12.</w:t>
      </w:r>
      <w:r w:rsidRPr="007E344B">
        <w:tab/>
      </w:r>
      <w:r w:rsidRPr="007E344B">
        <w:rPr>
          <w:i/>
        </w:rPr>
        <w:t>Calls upon</w:t>
      </w:r>
      <w:r w:rsidRPr="007E344B">
        <w:t xml:space="preserve"> the Federal Government of Somalia, with the support of the international community:</w:t>
      </w:r>
    </w:p>
    <w:p w:rsidR="007E344B" w:rsidRPr="007E344B" w:rsidRDefault="007E344B" w:rsidP="007E344B">
      <w:pPr>
        <w:pStyle w:val="SingleTxtG"/>
      </w:pPr>
      <w:r>
        <w:tab/>
      </w:r>
      <w:r w:rsidRPr="007E344B">
        <w:t>(</w:t>
      </w:r>
      <w:r w:rsidRPr="007E344B">
        <w:rPr>
          <w:i/>
        </w:rPr>
        <w:t>a</w:t>
      </w:r>
      <w:r w:rsidRPr="007E344B">
        <w:t>)</w:t>
      </w:r>
      <w:r w:rsidRPr="007E344B">
        <w:tab/>
        <w:t xml:space="preserve">To prepare for and hold a credible, transparent and inclusive election process in 2016 </w:t>
      </w:r>
      <w:r w:rsidR="00405CF4">
        <w:t>leading to</w:t>
      </w:r>
      <w:r w:rsidRPr="007E344B">
        <w:t xml:space="preserve"> the establishment of the Upper House, the election of members of the House of the People, and the subsequent election of a President and a Government in accordance with the agreed framework and electoral model;</w:t>
      </w:r>
    </w:p>
    <w:p w:rsidR="007E344B" w:rsidRPr="007E344B" w:rsidRDefault="007E344B" w:rsidP="007E344B">
      <w:pPr>
        <w:pStyle w:val="SingleTxtG"/>
      </w:pPr>
      <w:r>
        <w:tab/>
      </w:r>
      <w:r w:rsidRPr="007E344B">
        <w:t>(</w:t>
      </w:r>
      <w:r w:rsidRPr="007E344B">
        <w:rPr>
          <w:i/>
        </w:rPr>
        <w:t>b</w:t>
      </w:r>
      <w:r>
        <w:t>)</w:t>
      </w:r>
      <w:r>
        <w:tab/>
      </w:r>
      <w:r w:rsidRPr="007E344B">
        <w:t>To uphold</w:t>
      </w:r>
      <w:r w:rsidR="00BC39EA">
        <w:t xml:space="preserve"> the</w:t>
      </w:r>
      <w:r w:rsidRPr="007E344B">
        <w:t xml:space="preserve"> commitment</w:t>
      </w:r>
      <w:r w:rsidR="00BC39EA">
        <w:t xml:space="preserve"> of the Federal Government and of regional authorities to increase participation of women so that </w:t>
      </w:r>
      <w:r w:rsidR="00807CE4" w:rsidRPr="007E344B">
        <w:t>at least 30</w:t>
      </w:r>
      <w:r w:rsidR="00807CE4">
        <w:t xml:space="preserve"> per cent</w:t>
      </w:r>
      <w:r w:rsidR="00BC39EA">
        <w:t xml:space="preserve"> of </w:t>
      </w:r>
      <w:r w:rsidR="00F4710C">
        <w:t>Members of Parliament</w:t>
      </w:r>
      <w:r w:rsidR="00BC39EA">
        <w:t xml:space="preserve"> are </w:t>
      </w:r>
      <w:r w:rsidR="00F9356B">
        <w:t>women</w:t>
      </w:r>
      <w:r w:rsidR="00BC39EA">
        <w:t xml:space="preserve"> in both houses;</w:t>
      </w:r>
      <w:r w:rsidRPr="007E344B">
        <w:t xml:space="preserve"> </w:t>
      </w:r>
    </w:p>
    <w:p w:rsidR="007E344B" w:rsidRPr="007E344B" w:rsidRDefault="007E344B" w:rsidP="007E344B">
      <w:pPr>
        <w:pStyle w:val="SingleTxtG"/>
      </w:pPr>
      <w:r>
        <w:tab/>
      </w:r>
      <w:r w:rsidRPr="007E344B">
        <w:t>(</w:t>
      </w:r>
      <w:r w:rsidRPr="007E344B">
        <w:rPr>
          <w:i/>
        </w:rPr>
        <w:t>c</w:t>
      </w:r>
      <w:r>
        <w:t>)</w:t>
      </w:r>
      <w:r>
        <w:tab/>
      </w:r>
      <w:r w:rsidR="00CF376B">
        <w:t>T</w:t>
      </w:r>
      <w:r w:rsidRPr="007E344B">
        <w:t xml:space="preserve">o </w:t>
      </w:r>
      <w:r w:rsidRPr="007E344B">
        <w:rPr>
          <w:iCs/>
        </w:rPr>
        <w:t>continue</w:t>
      </w:r>
      <w:r w:rsidR="00BC39EA">
        <w:rPr>
          <w:iCs/>
        </w:rPr>
        <w:t xml:space="preserve"> to strengthen</w:t>
      </w:r>
      <w:r w:rsidRPr="007E344B">
        <w:rPr>
          <w:iCs/>
        </w:rPr>
        <w:t xml:space="preserve"> the important work related to constitutional review after the 2016 electoral process, as part of the process towards </w:t>
      </w:r>
      <w:r w:rsidR="00807CE4">
        <w:rPr>
          <w:iCs/>
        </w:rPr>
        <w:t>“</w:t>
      </w:r>
      <w:r w:rsidRPr="007E344B">
        <w:rPr>
          <w:iCs/>
        </w:rPr>
        <w:t>one person one vote</w:t>
      </w:r>
      <w:r w:rsidR="00807CE4">
        <w:rPr>
          <w:iCs/>
        </w:rPr>
        <w:t>”</w:t>
      </w:r>
      <w:r w:rsidRPr="007E344B">
        <w:rPr>
          <w:iCs/>
        </w:rPr>
        <w:t xml:space="preserve"> elections in 2020</w:t>
      </w:r>
      <w:r w:rsidR="00807CE4">
        <w:rPr>
          <w:iCs/>
        </w:rPr>
        <w:t>,</w:t>
      </w:r>
      <w:r w:rsidRPr="007E344B">
        <w:rPr>
          <w:iCs/>
        </w:rPr>
        <w:t xml:space="preserve"> and urge</w:t>
      </w:r>
      <w:r w:rsidR="00807CE4">
        <w:rPr>
          <w:iCs/>
        </w:rPr>
        <w:t>s</w:t>
      </w:r>
      <w:r w:rsidRPr="007E344B">
        <w:rPr>
          <w:iCs/>
        </w:rPr>
        <w:t xml:space="preserve"> all parties to work together to achieve this while recogni</w:t>
      </w:r>
      <w:r w:rsidR="00807CE4">
        <w:rPr>
          <w:iCs/>
        </w:rPr>
        <w:t>z</w:t>
      </w:r>
      <w:r w:rsidRPr="007E344B">
        <w:rPr>
          <w:iCs/>
        </w:rPr>
        <w:t>ing the importance of respect for</w:t>
      </w:r>
      <w:r w:rsidR="00BC39EA">
        <w:rPr>
          <w:iCs/>
        </w:rPr>
        <w:t xml:space="preserve"> human rights, including the</w:t>
      </w:r>
      <w:r w:rsidR="00C52D61">
        <w:rPr>
          <w:iCs/>
        </w:rPr>
        <w:t xml:space="preserve"> right to peaceful assembly and association</w:t>
      </w:r>
      <w:r w:rsidR="00BC39EA">
        <w:rPr>
          <w:iCs/>
        </w:rPr>
        <w:t>,</w:t>
      </w:r>
      <w:r w:rsidRPr="007E344B">
        <w:rPr>
          <w:iCs/>
        </w:rPr>
        <w:t xml:space="preserve"> the rule of law and the role of a constitution in protecting the rights of </w:t>
      </w:r>
      <w:r w:rsidR="00BC39EA">
        <w:rPr>
          <w:iCs/>
        </w:rPr>
        <w:t xml:space="preserve">individuals </w:t>
      </w:r>
      <w:r w:rsidRPr="007E344B">
        <w:rPr>
          <w:iCs/>
        </w:rPr>
        <w:t>and promoting national cohesion;</w:t>
      </w:r>
    </w:p>
    <w:p w:rsidR="007E344B" w:rsidRPr="007E344B" w:rsidRDefault="007E344B" w:rsidP="004C4B41">
      <w:pPr>
        <w:pStyle w:val="SingleTxtG"/>
      </w:pPr>
      <w:r>
        <w:tab/>
      </w:r>
      <w:r w:rsidRPr="007E344B">
        <w:t>(</w:t>
      </w:r>
      <w:r w:rsidRPr="007E344B">
        <w:rPr>
          <w:i/>
        </w:rPr>
        <w:t>d</w:t>
      </w:r>
      <w:r w:rsidRPr="007E344B">
        <w:t>)</w:t>
      </w:r>
      <w:r w:rsidRPr="007E344B">
        <w:tab/>
        <w:t xml:space="preserve">To promote reconciliation and dialogue at the federal, regional </w:t>
      </w:r>
      <w:r w:rsidR="00807CE4">
        <w:t>S</w:t>
      </w:r>
      <w:r w:rsidRPr="007E344B">
        <w:t>tate and subnational le</w:t>
      </w:r>
      <w:r w:rsidR="004C4B41">
        <w:t>vels, r</w:t>
      </w:r>
      <w:r w:rsidRPr="007E344B">
        <w:t>ecognizing the importance of the valuable assistance provided by the Intergovernmental Authority on Development;</w:t>
      </w:r>
    </w:p>
    <w:p w:rsidR="007E344B" w:rsidRPr="007E344B" w:rsidRDefault="007E344B" w:rsidP="007E344B">
      <w:pPr>
        <w:pStyle w:val="SingleTxtG"/>
      </w:pPr>
      <w:r>
        <w:tab/>
      </w:r>
      <w:r w:rsidRPr="007E344B">
        <w:t>(</w:t>
      </w:r>
      <w:r w:rsidR="004C4B41">
        <w:rPr>
          <w:i/>
        </w:rPr>
        <w:t>e</w:t>
      </w:r>
      <w:r w:rsidRPr="007E344B">
        <w:t>)</w:t>
      </w:r>
      <w:r w:rsidRPr="007E344B">
        <w:tab/>
        <w:t xml:space="preserve">To continue work </w:t>
      </w:r>
      <w:r w:rsidR="00807CE4">
        <w:t xml:space="preserve">to </w:t>
      </w:r>
      <w:r w:rsidRPr="007E344B">
        <w:t>establish independent, accountable and efficient judicial institutions</w:t>
      </w:r>
      <w:r w:rsidR="00807CE4">
        <w:t>,</w:t>
      </w:r>
      <w:r w:rsidRPr="007E344B">
        <w:t xml:space="preserve"> and to seek tangible and timely assistance from, inter alia, regional bodies, to reform the Somali judicial system and to enhance the capacity of Somali judges, with </w:t>
      </w:r>
      <w:r w:rsidR="00807CE4">
        <w:t xml:space="preserve">a </w:t>
      </w:r>
      <w:r w:rsidRPr="007E344B">
        <w:t>particular focus on the promotion and protection of human rights and combating corruption;</w:t>
      </w:r>
    </w:p>
    <w:p w:rsidR="007E344B" w:rsidRPr="007E344B" w:rsidRDefault="007E344B" w:rsidP="007E344B">
      <w:pPr>
        <w:pStyle w:val="SingleTxtG"/>
      </w:pPr>
      <w:r>
        <w:tab/>
      </w:r>
      <w:r w:rsidRPr="007E344B">
        <w:t>(</w:t>
      </w:r>
      <w:r w:rsidR="004C4B41">
        <w:rPr>
          <w:i/>
        </w:rPr>
        <w:t>f</w:t>
      </w:r>
      <w:r w:rsidRPr="007E344B">
        <w:t>)</w:t>
      </w:r>
      <w:r w:rsidRPr="007E344B">
        <w:tab/>
        <w:t xml:space="preserve">To initiate timely, effective, impartial and transparent investigations into killings of journalists and to prosecute all those responsible for unlawful acts, in a manner </w:t>
      </w:r>
      <w:r w:rsidRPr="005B355D">
        <w:t>in line with</w:t>
      </w:r>
      <w:r w:rsidRPr="007E344B">
        <w:t xml:space="preserve"> provisions in the media law and </w:t>
      </w:r>
      <w:r w:rsidR="00D1493B">
        <w:t>in a mann</w:t>
      </w:r>
      <w:r w:rsidR="00BC39EA">
        <w:t xml:space="preserve">er </w:t>
      </w:r>
      <w:r w:rsidR="00F4710C">
        <w:t>that</w:t>
      </w:r>
      <w:r w:rsidR="00BC39EA">
        <w:t xml:space="preserve"> is equally </w:t>
      </w:r>
      <w:r w:rsidRPr="007E344B">
        <w:t>consistent with other applicable domestic and international legal obligations, to create security and space for a free press to operate, and to take measures to protect and support</w:t>
      </w:r>
      <w:r w:rsidR="00F4710C">
        <w:t>,</w:t>
      </w:r>
      <w:r w:rsidR="00BC39EA">
        <w:t xml:space="preserve"> in law and </w:t>
      </w:r>
      <w:r w:rsidR="00F4710C">
        <w:t xml:space="preserve">in </w:t>
      </w:r>
      <w:r w:rsidR="00BC39EA">
        <w:t>practice</w:t>
      </w:r>
      <w:r w:rsidR="00F4710C">
        <w:t>,</w:t>
      </w:r>
      <w:r w:rsidR="00BC39EA">
        <w:t xml:space="preserve"> a safe and enabling environment in which</w:t>
      </w:r>
      <w:r w:rsidRPr="007E344B">
        <w:t xml:space="preserve"> civil society and human rights defenders</w:t>
      </w:r>
      <w:r w:rsidR="00904E3B">
        <w:t xml:space="preserve"> </w:t>
      </w:r>
      <w:r w:rsidR="00E92420">
        <w:t>can</w:t>
      </w:r>
      <w:r w:rsidR="00904E3B">
        <w:t xml:space="preserve"> operate free from hindrance and insecurity</w:t>
      </w:r>
      <w:r w:rsidRPr="007E344B">
        <w:t>, in particular in view of the forthcoming election process;</w:t>
      </w:r>
    </w:p>
    <w:p w:rsidR="007E344B" w:rsidRPr="007E344B" w:rsidRDefault="007E344B" w:rsidP="007E344B">
      <w:pPr>
        <w:pStyle w:val="SingleTxtG"/>
      </w:pPr>
      <w:r>
        <w:tab/>
      </w:r>
      <w:r w:rsidRPr="007E344B">
        <w:t>(</w:t>
      </w:r>
      <w:r w:rsidR="004C4B41">
        <w:rPr>
          <w:i/>
        </w:rPr>
        <w:t>g</w:t>
      </w:r>
      <w:r w:rsidRPr="007E344B">
        <w:t>)</w:t>
      </w:r>
      <w:r w:rsidRPr="007E344B">
        <w:tab/>
        <w:t xml:space="preserve">To </w:t>
      </w:r>
      <w:r w:rsidR="00807CE4">
        <w:t>bring an end</w:t>
      </w:r>
      <w:r w:rsidRPr="007E344B">
        <w:t xml:space="preserve">, in a clear and accessible manner, to the prevailing culture of impunity and </w:t>
      </w:r>
      <w:r w:rsidR="00807CE4">
        <w:t xml:space="preserve">to </w:t>
      </w:r>
      <w:r w:rsidRPr="007E344B">
        <w:t>impose a zero-tolerance policy on sexual and gender-based violence, particularly sexual violence in conflict, ensuring that</w:t>
      </w:r>
      <w:r w:rsidR="00904E3B">
        <w:t xml:space="preserve"> perpetrators</w:t>
      </w:r>
      <w:r w:rsidR="00D1493B">
        <w:t xml:space="preserve"> of</w:t>
      </w:r>
      <w:r w:rsidRPr="007E344B">
        <w:t xml:space="preserve"> sexual violence, exploitation and abuse, regardless of their status or rank, are held to account;</w:t>
      </w:r>
    </w:p>
    <w:p w:rsidR="007E344B" w:rsidRPr="007E344B" w:rsidRDefault="007E344B" w:rsidP="007E344B">
      <w:pPr>
        <w:pStyle w:val="SingleTxtG"/>
      </w:pPr>
      <w:r>
        <w:rPr>
          <w:i/>
        </w:rPr>
        <w:tab/>
      </w:r>
      <w:r w:rsidRPr="007E344B">
        <w:rPr>
          <w:i/>
        </w:rPr>
        <w:t>(</w:t>
      </w:r>
      <w:r w:rsidR="004C4B41">
        <w:rPr>
          <w:i/>
        </w:rPr>
        <w:t>h</w:t>
      </w:r>
      <w:r w:rsidRPr="007E344B">
        <w:t>)</w:t>
      </w:r>
      <w:r w:rsidRPr="007E344B">
        <w:tab/>
        <w:t>To ensure the equitable participation of women, youth, members of minority groups and other marginalized groups in national political processes;</w:t>
      </w:r>
    </w:p>
    <w:p w:rsidR="007E344B" w:rsidRPr="007E344B" w:rsidRDefault="007E344B" w:rsidP="007E344B">
      <w:pPr>
        <w:pStyle w:val="SingleTxtG"/>
      </w:pPr>
      <w:r>
        <w:tab/>
      </w:r>
      <w:r w:rsidRPr="007E344B">
        <w:t>(</w:t>
      </w:r>
      <w:proofErr w:type="spellStart"/>
      <w:r w:rsidR="004C4B41">
        <w:rPr>
          <w:i/>
        </w:rPr>
        <w:t>i</w:t>
      </w:r>
      <w:proofErr w:type="spellEnd"/>
      <w:r w:rsidRPr="007E344B">
        <w:t>)</w:t>
      </w:r>
      <w:r w:rsidRPr="007E344B">
        <w:tab/>
        <w:t xml:space="preserve">To implement </w:t>
      </w:r>
      <w:r w:rsidR="00807CE4" w:rsidRPr="007E344B">
        <w:t xml:space="preserve">effectively </w:t>
      </w:r>
      <w:r w:rsidR="00807CE4">
        <w:t>the State’s</w:t>
      </w:r>
      <w:r w:rsidR="00807CE4" w:rsidRPr="007E344B">
        <w:t xml:space="preserve"> </w:t>
      </w:r>
      <w:r w:rsidRPr="007E344B">
        <w:t xml:space="preserve">obligations under the Convention on the Elimination of </w:t>
      </w:r>
      <w:r w:rsidR="00807CE4">
        <w:t xml:space="preserve">All Forms of </w:t>
      </w:r>
      <w:r w:rsidRPr="007E344B">
        <w:t>Discrimination against Women;</w:t>
      </w:r>
    </w:p>
    <w:p w:rsidR="007E344B" w:rsidRPr="007E344B" w:rsidRDefault="007E344B" w:rsidP="007E344B">
      <w:pPr>
        <w:pStyle w:val="SingleTxtG"/>
      </w:pPr>
      <w:r>
        <w:tab/>
        <w:t>(</w:t>
      </w:r>
      <w:r w:rsidR="004C4B41">
        <w:rPr>
          <w:i/>
        </w:rPr>
        <w:t>j</w:t>
      </w:r>
      <w:r w:rsidRPr="007E344B">
        <w:t>)</w:t>
      </w:r>
      <w:r>
        <w:tab/>
      </w:r>
      <w:r w:rsidRPr="007E344B">
        <w:t xml:space="preserve">To publish a plan to demonstrate how the </w:t>
      </w:r>
      <w:r w:rsidR="00807CE4">
        <w:t>m</w:t>
      </w:r>
      <w:r w:rsidRPr="007E344B">
        <w:t xml:space="preserve">edia </w:t>
      </w:r>
      <w:r w:rsidR="00807CE4">
        <w:t>l</w:t>
      </w:r>
      <w:r w:rsidRPr="007E344B">
        <w:t xml:space="preserve">aw will be implemented in </w:t>
      </w:r>
      <w:r w:rsidR="00807CE4">
        <w:t>accordance</w:t>
      </w:r>
      <w:r w:rsidR="00807CE4" w:rsidRPr="007E344B">
        <w:t xml:space="preserve"> </w:t>
      </w:r>
      <w:r w:rsidRPr="007E344B">
        <w:t>with its international human rights obligations and commitments;</w:t>
      </w:r>
    </w:p>
    <w:p w:rsidR="007E344B" w:rsidRPr="007E344B" w:rsidRDefault="007E344B" w:rsidP="007E344B">
      <w:pPr>
        <w:pStyle w:val="SingleTxtG"/>
      </w:pPr>
      <w:r>
        <w:tab/>
      </w:r>
      <w:r w:rsidRPr="007E344B">
        <w:t>(</w:t>
      </w:r>
      <w:r w:rsidR="004C4B41">
        <w:rPr>
          <w:i/>
        </w:rPr>
        <w:t>k</w:t>
      </w:r>
      <w:r w:rsidR="00BD1720">
        <w:t>)</w:t>
      </w:r>
      <w:r w:rsidR="00BD1720">
        <w:tab/>
      </w:r>
      <w:r w:rsidRPr="007E344B">
        <w:t xml:space="preserve">To harmonize national, regional, subregional and subnational political policies and legal frameworks with applicable human rights obligations and other commitments, including those referenced in the provisional Constitution and the migration and human rights agenda at the federal, regional </w:t>
      </w:r>
      <w:r w:rsidR="00807CE4">
        <w:t>S</w:t>
      </w:r>
      <w:r w:rsidRPr="007E344B">
        <w:t>tate and subnational levels;</w:t>
      </w:r>
    </w:p>
    <w:p w:rsidR="007E344B" w:rsidRPr="007E344B" w:rsidRDefault="007E344B" w:rsidP="007E344B">
      <w:pPr>
        <w:pStyle w:val="SingleTxtG"/>
      </w:pPr>
      <w:r>
        <w:tab/>
      </w:r>
      <w:r w:rsidRPr="007E344B">
        <w:t>(</w:t>
      </w:r>
      <w:r w:rsidR="004C4B41">
        <w:rPr>
          <w:i/>
        </w:rPr>
        <w:t>l</w:t>
      </w:r>
      <w:r w:rsidRPr="007E344B">
        <w:t>)</w:t>
      </w:r>
      <w:r w:rsidRPr="007E344B">
        <w:tab/>
        <w:t xml:space="preserve">To ensure the accountability of State institutions and security forces and those serving within them, </w:t>
      </w:r>
      <w:r w:rsidR="00807CE4">
        <w:t xml:space="preserve">and </w:t>
      </w:r>
      <w:r w:rsidRPr="007E344B">
        <w:t xml:space="preserve">in so doing to increase awareness of and training on human rights among the Somali security forces at the national and subnational levels, including on the protection of civilians </w:t>
      </w:r>
      <w:r w:rsidR="00807CE4" w:rsidRPr="007E344B">
        <w:t>from</w:t>
      </w:r>
      <w:r w:rsidR="00807CE4">
        <w:t>,</w:t>
      </w:r>
      <w:r w:rsidR="00807CE4" w:rsidRPr="007E344B">
        <w:t xml:space="preserve"> </w:t>
      </w:r>
      <w:r w:rsidRPr="007E344B">
        <w:t>inter</w:t>
      </w:r>
      <w:r w:rsidR="00CF376B">
        <w:t xml:space="preserve"> </w:t>
      </w:r>
      <w:r w:rsidRPr="007E344B">
        <w:t>alia</w:t>
      </w:r>
      <w:r w:rsidR="00807CE4">
        <w:t>,</w:t>
      </w:r>
      <w:r w:rsidRPr="007E344B">
        <w:t xml:space="preserve"> sexual and gender</w:t>
      </w:r>
      <w:r w:rsidR="00807CE4">
        <w:t>-</w:t>
      </w:r>
      <w:r w:rsidRPr="007E344B">
        <w:t>based violence</w:t>
      </w:r>
      <w:r w:rsidR="00807CE4">
        <w:t>,</w:t>
      </w:r>
      <w:r w:rsidRPr="007E344B">
        <w:t xml:space="preserve"> and </w:t>
      </w:r>
      <w:r w:rsidR="00807CE4">
        <w:t xml:space="preserve">on </w:t>
      </w:r>
      <w:r w:rsidRPr="007E344B">
        <w:t xml:space="preserve">prevention of extrajudicial killings, with the timely and tangible support of the international community; to ensure that comprehensive vetting procedures are put in place for personnel </w:t>
      </w:r>
      <w:r w:rsidRPr="005B355D">
        <w:t xml:space="preserve">in the security forces and in security institutions; and to issue clear and public orders that the Somali </w:t>
      </w:r>
      <w:r w:rsidR="00424E88" w:rsidRPr="005B355D">
        <w:t>n</w:t>
      </w:r>
      <w:r w:rsidRPr="005B355D">
        <w:t xml:space="preserve">ational </w:t>
      </w:r>
      <w:r w:rsidR="00424E88" w:rsidRPr="005B355D">
        <w:t>a</w:t>
      </w:r>
      <w:r w:rsidRPr="005B355D">
        <w:t xml:space="preserve">rmed </w:t>
      </w:r>
      <w:r w:rsidR="00424E88" w:rsidRPr="005B355D">
        <w:t>f</w:t>
      </w:r>
      <w:r w:rsidRPr="005B355D">
        <w:t xml:space="preserve">orces, </w:t>
      </w:r>
      <w:r w:rsidR="00424E88" w:rsidRPr="005B355D">
        <w:t xml:space="preserve">the </w:t>
      </w:r>
      <w:r w:rsidRPr="005B355D">
        <w:t xml:space="preserve">Somali </w:t>
      </w:r>
      <w:r w:rsidR="00424E88" w:rsidRPr="005B355D">
        <w:t>n</w:t>
      </w:r>
      <w:r w:rsidRPr="005B355D">
        <w:t xml:space="preserve">ational </w:t>
      </w:r>
      <w:r w:rsidR="00424E88" w:rsidRPr="005B355D">
        <w:t>p</w:t>
      </w:r>
      <w:r w:rsidRPr="005B355D">
        <w:t xml:space="preserve">olice </w:t>
      </w:r>
      <w:r w:rsidR="00424E88" w:rsidRPr="005B355D">
        <w:t>f</w:t>
      </w:r>
      <w:r w:rsidRPr="005B355D">
        <w:t>orce and allied</w:t>
      </w:r>
      <w:r w:rsidRPr="007E344B">
        <w:t xml:space="preserve"> militias should comply with applicable national and international law;</w:t>
      </w:r>
    </w:p>
    <w:p w:rsidR="007E344B" w:rsidRPr="007E344B" w:rsidRDefault="007E344B" w:rsidP="007E344B">
      <w:pPr>
        <w:pStyle w:val="SingleTxtG"/>
      </w:pPr>
      <w:r>
        <w:tab/>
      </w:r>
      <w:r w:rsidRPr="007E344B">
        <w:t>(</w:t>
      </w:r>
      <w:r w:rsidR="004C4B41">
        <w:rPr>
          <w:i/>
        </w:rPr>
        <w:t>m</w:t>
      </w:r>
      <w:r w:rsidRPr="007E344B">
        <w:t>)</w:t>
      </w:r>
      <w:r>
        <w:tab/>
      </w:r>
      <w:r w:rsidRPr="007E344B">
        <w:t>To work with regional leaders towards comprehensive security sector reform;</w:t>
      </w:r>
    </w:p>
    <w:p w:rsidR="007E344B" w:rsidRPr="007E344B" w:rsidRDefault="007E344B" w:rsidP="007E344B">
      <w:pPr>
        <w:pStyle w:val="SingleTxtG"/>
      </w:pPr>
      <w:r>
        <w:tab/>
      </w:r>
      <w:r w:rsidRPr="007E344B">
        <w:t>(</w:t>
      </w:r>
      <w:r w:rsidR="004C4B41">
        <w:rPr>
          <w:i/>
        </w:rPr>
        <w:t>n</w:t>
      </w:r>
      <w:r w:rsidRPr="007E344B">
        <w:t>)</w:t>
      </w:r>
      <w:r w:rsidRPr="007E344B">
        <w:tab/>
        <w:t xml:space="preserve">To treat </w:t>
      </w:r>
      <w:r w:rsidR="00904E3B">
        <w:t>former</w:t>
      </w:r>
      <w:r w:rsidR="00904E3B" w:rsidRPr="007E344B">
        <w:t xml:space="preserve"> </w:t>
      </w:r>
      <w:r w:rsidRPr="007E344B">
        <w:t xml:space="preserve">combatants, including children under 18 years </w:t>
      </w:r>
      <w:r w:rsidR="00424E88">
        <w:t>of age</w:t>
      </w:r>
      <w:r w:rsidRPr="007E344B">
        <w:t>, in accordance with applicable obligations under domestic and international law, in particular international human rights law and international humanitarian law, as applicable;</w:t>
      </w:r>
    </w:p>
    <w:p w:rsidR="007E344B" w:rsidRPr="007E344B" w:rsidRDefault="007E344B" w:rsidP="007E344B">
      <w:pPr>
        <w:pStyle w:val="SingleTxtG"/>
      </w:pPr>
      <w:r>
        <w:tab/>
      </w:r>
      <w:r w:rsidRPr="007E344B">
        <w:t>(</w:t>
      </w:r>
      <w:r w:rsidR="004C4B41">
        <w:rPr>
          <w:i/>
        </w:rPr>
        <w:t>o</w:t>
      </w:r>
      <w:r w:rsidRPr="007E344B">
        <w:t>)</w:t>
      </w:r>
      <w:r w:rsidRPr="007E344B">
        <w:tab/>
        <w:t xml:space="preserve">To continue measures to implement the </w:t>
      </w:r>
      <w:r w:rsidR="00424E88" w:rsidRPr="007E344B">
        <w:t xml:space="preserve">plans </w:t>
      </w:r>
      <w:r w:rsidR="00424E88">
        <w:t xml:space="preserve">of </w:t>
      </w:r>
      <w:r w:rsidRPr="007E344B">
        <w:t xml:space="preserve">action to end the unlawful recruitment and use of children in the Somalia </w:t>
      </w:r>
      <w:r w:rsidR="00424E88">
        <w:t>n</w:t>
      </w:r>
      <w:r w:rsidRPr="007E344B">
        <w:t xml:space="preserve">ational </w:t>
      </w:r>
      <w:r w:rsidR="00424E88">
        <w:t>a</w:t>
      </w:r>
      <w:r w:rsidRPr="007E344B">
        <w:t xml:space="preserve">rmed </w:t>
      </w:r>
      <w:r w:rsidR="00424E88">
        <w:t>f</w:t>
      </w:r>
      <w:r w:rsidRPr="007E344B">
        <w:t>orces;</w:t>
      </w:r>
    </w:p>
    <w:p w:rsidR="007E344B" w:rsidRPr="007E344B" w:rsidRDefault="007E344B" w:rsidP="007E344B">
      <w:pPr>
        <w:pStyle w:val="SingleTxtG"/>
      </w:pPr>
      <w:r>
        <w:tab/>
      </w:r>
      <w:r w:rsidRPr="007E344B">
        <w:t>(</w:t>
      </w:r>
      <w:r w:rsidR="004C4B41">
        <w:rPr>
          <w:i/>
        </w:rPr>
        <w:t>p</w:t>
      </w:r>
      <w:r>
        <w:t>)</w:t>
      </w:r>
      <w:r>
        <w:tab/>
      </w:r>
      <w:r w:rsidRPr="007E344B">
        <w:t>To work with specialist agencies</w:t>
      </w:r>
      <w:r w:rsidR="00424E88">
        <w:t>,</w:t>
      </w:r>
      <w:r w:rsidRPr="007E344B">
        <w:t xml:space="preserve"> such as </w:t>
      </w:r>
      <w:r w:rsidR="00424E88">
        <w:t>the United Nations Children’s Fund,</w:t>
      </w:r>
      <w:r w:rsidRPr="007E344B">
        <w:t xml:space="preserve"> to ensure </w:t>
      </w:r>
      <w:r w:rsidR="00424E88">
        <w:t xml:space="preserve">that </w:t>
      </w:r>
      <w:r w:rsidRPr="007E344B">
        <w:t xml:space="preserve">former child soldiers under 18 years </w:t>
      </w:r>
      <w:r w:rsidR="00424E88">
        <w:t xml:space="preserve">of age </w:t>
      </w:r>
      <w:r w:rsidRPr="007E344B">
        <w:t xml:space="preserve">are rehabilitated in </w:t>
      </w:r>
      <w:r w:rsidR="00424E88">
        <w:t>accordance</w:t>
      </w:r>
      <w:r w:rsidRPr="007E344B">
        <w:t xml:space="preserve"> with international standards;</w:t>
      </w:r>
    </w:p>
    <w:p w:rsidR="007E344B" w:rsidRPr="007E344B" w:rsidRDefault="007E344B" w:rsidP="007E344B">
      <w:pPr>
        <w:pStyle w:val="SingleTxtG"/>
      </w:pPr>
      <w:r>
        <w:tab/>
      </w:r>
      <w:r w:rsidRPr="007E344B">
        <w:t>(</w:t>
      </w:r>
      <w:r w:rsidR="004C4B41">
        <w:rPr>
          <w:i/>
        </w:rPr>
        <w:t>q</w:t>
      </w:r>
      <w:r w:rsidRPr="007E344B">
        <w:t>)</w:t>
      </w:r>
      <w:r w:rsidRPr="007E344B">
        <w:tab/>
        <w:t xml:space="preserve">To ensure the </w:t>
      </w:r>
      <w:r w:rsidR="00424E88" w:rsidRPr="007E344B">
        <w:t xml:space="preserve">well-being </w:t>
      </w:r>
      <w:r w:rsidRPr="007E344B">
        <w:t xml:space="preserve">and </w:t>
      </w:r>
      <w:r w:rsidR="00424E88" w:rsidRPr="007E344B">
        <w:t xml:space="preserve">protection </w:t>
      </w:r>
      <w:r w:rsidRPr="007E344B">
        <w:t>of all internally displaced persons, including from sexual and gender</w:t>
      </w:r>
      <w:r w:rsidR="00424E88">
        <w:t>-</w:t>
      </w:r>
      <w:r w:rsidRPr="007E344B">
        <w:t>based violence</w:t>
      </w:r>
      <w:r w:rsidR="00424E88">
        <w:t>,</w:t>
      </w:r>
      <w:r w:rsidRPr="007E344B">
        <w:t xml:space="preserve"> and also from exploitation and abuse committed by </w:t>
      </w:r>
      <w:r w:rsidR="00424E88">
        <w:t>S</w:t>
      </w:r>
      <w:r w:rsidRPr="007E344B">
        <w:t xml:space="preserve">tate or international military or civilian personnel; to seek durable solutions for all </w:t>
      </w:r>
      <w:r w:rsidR="00424E88" w:rsidRPr="007E344B">
        <w:t>internally displaced persons</w:t>
      </w:r>
      <w:r w:rsidR="00424E88">
        <w:t>,</w:t>
      </w:r>
      <w:r w:rsidR="00424E88" w:rsidRPr="007E344B">
        <w:t xml:space="preserve"> </w:t>
      </w:r>
      <w:r w:rsidRPr="007E344B">
        <w:t xml:space="preserve">including the most vulnerable; to ensure a fully consultative process and best practice for relocations, </w:t>
      </w:r>
      <w:r w:rsidR="00424E88">
        <w:t>and</w:t>
      </w:r>
      <w:r w:rsidRPr="007E344B">
        <w:t xml:space="preserve"> safe, sanitary new sites that have basic services; to ensure unfettered access for humanitarian organizations; to recognize the acute vulnerability of internally displaced persons; to facilitate full</w:t>
      </w:r>
      <w:r w:rsidR="00904E3B">
        <w:t xml:space="preserve">, rapid and </w:t>
      </w:r>
      <w:r w:rsidR="00D1493B">
        <w:t>unimpeded</w:t>
      </w:r>
      <w:r w:rsidRPr="007E344B">
        <w:t xml:space="preserve"> humanitarian access to people in need</w:t>
      </w:r>
      <w:r w:rsidR="00424E88">
        <w:t>,</w:t>
      </w:r>
      <w:r w:rsidRPr="007E344B">
        <w:t xml:space="preserve"> wherever they are in Somalia; and to safeguard the neutrality, impartiality and independence of humanitarian actors from political, economic and military interference, while paying particular attention to the rights, freedoms and needs of </w:t>
      </w:r>
      <w:r w:rsidR="00904E3B">
        <w:t xml:space="preserve">persons belonging to </w:t>
      </w:r>
      <w:r w:rsidRPr="007E344B">
        <w:t>ethnic minorit</w:t>
      </w:r>
      <w:r w:rsidR="00424E88">
        <w:t>ies</w:t>
      </w:r>
      <w:r w:rsidRPr="007E344B">
        <w:t xml:space="preserve"> requir</w:t>
      </w:r>
      <w:r w:rsidR="00424E88">
        <w:t>ing</w:t>
      </w:r>
      <w:r w:rsidRPr="007E344B">
        <w:t xml:space="preserve"> humanitarian assistance;</w:t>
      </w:r>
    </w:p>
    <w:p w:rsidR="007E344B" w:rsidRPr="007E344B" w:rsidRDefault="007E344B" w:rsidP="007E344B">
      <w:pPr>
        <w:pStyle w:val="SingleTxtG"/>
      </w:pPr>
      <w:r>
        <w:tab/>
      </w:r>
      <w:r w:rsidRPr="007E344B">
        <w:t>(</w:t>
      </w:r>
      <w:r w:rsidR="004C4B41">
        <w:rPr>
          <w:i/>
        </w:rPr>
        <w:t>r</w:t>
      </w:r>
      <w:r w:rsidRPr="007E344B">
        <w:t>)</w:t>
      </w:r>
      <w:r w:rsidRPr="007E344B">
        <w:tab/>
        <w:t>To continue to engage constructively in the universal periodic review process, including through follow</w:t>
      </w:r>
      <w:r w:rsidR="00424E88">
        <w:t>-</w:t>
      </w:r>
      <w:r w:rsidRPr="007E344B">
        <w:t>up to commitments made during the review in 2016;</w:t>
      </w:r>
    </w:p>
    <w:p w:rsidR="007E344B" w:rsidRPr="007E344B" w:rsidRDefault="007E344B" w:rsidP="007E344B">
      <w:pPr>
        <w:pStyle w:val="SingleTxtG"/>
      </w:pPr>
      <w:r>
        <w:tab/>
      </w:r>
      <w:r w:rsidRPr="007E344B">
        <w:t>13.</w:t>
      </w:r>
      <w:r w:rsidRPr="007E344B">
        <w:tab/>
      </w:r>
      <w:r w:rsidRPr="007E344B">
        <w:rPr>
          <w:i/>
        </w:rPr>
        <w:t>Strongly commends</w:t>
      </w:r>
      <w:r w:rsidRPr="007E344B">
        <w:t xml:space="preserve"> the engagement of the Independent Expert on the situation of human rights in Somalia;</w:t>
      </w:r>
    </w:p>
    <w:p w:rsidR="007E344B" w:rsidRPr="007E344B" w:rsidRDefault="007E344B" w:rsidP="007E344B">
      <w:pPr>
        <w:pStyle w:val="SingleTxtG"/>
      </w:pPr>
      <w:r>
        <w:tab/>
      </w:r>
      <w:r w:rsidRPr="007E344B">
        <w:t>14.</w:t>
      </w:r>
      <w:r w:rsidRPr="007E344B">
        <w:tab/>
      </w:r>
      <w:r w:rsidRPr="007E344B">
        <w:rPr>
          <w:i/>
        </w:rPr>
        <w:t>Stresses</w:t>
      </w:r>
      <w:r w:rsidRPr="007E344B">
        <w:t xml:space="preserve"> the importance of technical assistance in building credible and impartial domestic capacity to undertake monitoring, investigations and public reporting to identify human rights concerns and inform appropriate remedies by duty-bearers;</w:t>
      </w:r>
    </w:p>
    <w:p w:rsidR="007E344B" w:rsidRPr="007E344B" w:rsidRDefault="007E344B" w:rsidP="007E344B">
      <w:pPr>
        <w:pStyle w:val="SingleTxtG"/>
      </w:pPr>
      <w:r>
        <w:tab/>
      </w:r>
      <w:r w:rsidRPr="007E344B">
        <w:t>15.</w:t>
      </w:r>
      <w:r w:rsidRPr="007E344B">
        <w:tab/>
      </w:r>
      <w:r w:rsidRPr="007E344B">
        <w:rPr>
          <w:i/>
        </w:rPr>
        <w:t xml:space="preserve">Also stresses </w:t>
      </w:r>
      <w:r w:rsidRPr="007E344B">
        <w:t>the important role of joint monitoring and reporting on the situation of human rights in Somalia by domestic and international experts and the Federal Government of Somalia, and the vital role that those monitoring human rights can play in evaluating and ensuring the success of technical assistance projects, which in turn must be for the benefit of all Somalis;</w:t>
      </w:r>
    </w:p>
    <w:p w:rsidR="007E344B" w:rsidRPr="007E344B" w:rsidRDefault="007E344B" w:rsidP="007E344B">
      <w:pPr>
        <w:pStyle w:val="SingleTxtG"/>
      </w:pPr>
      <w:r>
        <w:tab/>
      </w:r>
      <w:r w:rsidRPr="007E344B">
        <w:t>16.</w:t>
      </w:r>
      <w:r w:rsidRPr="007E344B">
        <w:tab/>
      </w:r>
      <w:r w:rsidRPr="007E344B">
        <w:rPr>
          <w:i/>
        </w:rPr>
        <w:t>Underlines</w:t>
      </w:r>
      <w:r w:rsidRPr="007E344B">
        <w:t xml:space="preserve"> the importance of the realization by the </w:t>
      </w:r>
      <w:bookmarkStart w:id="5" w:name="OLE_LINK14"/>
      <w:bookmarkStart w:id="6" w:name="OLE_LINK15"/>
      <w:r w:rsidRPr="007E344B">
        <w:t>United Nations Assistance Mission in Somalia</w:t>
      </w:r>
      <w:bookmarkEnd w:id="5"/>
      <w:bookmarkEnd w:id="6"/>
      <w:r w:rsidRPr="007E344B">
        <w:t xml:space="preserve"> of its mandate throughout Somalia and the need to ensure synergy with the work of the Office of the United Nations High Commissioner </w:t>
      </w:r>
      <w:r w:rsidR="00424E88">
        <w:t>for</w:t>
      </w:r>
      <w:r w:rsidR="00424E88" w:rsidRPr="007E344B">
        <w:t xml:space="preserve"> </w:t>
      </w:r>
      <w:r w:rsidRPr="007E344B">
        <w:t>Human Rights;</w:t>
      </w:r>
    </w:p>
    <w:p w:rsidR="007E344B" w:rsidRPr="007E344B" w:rsidRDefault="007E344B" w:rsidP="007E344B">
      <w:pPr>
        <w:pStyle w:val="SingleTxtG"/>
      </w:pPr>
      <w:r>
        <w:tab/>
      </w:r>
      <w:r w:rsidRPr="007E344B">
        <w:t>17.</w:t>
      </w:r>
      <w:r w:rsidRPr="007E344B">
        <w:tab/>
      </w:r>
      <w:r w:rsidRPr="007E344B">
        <w:rPr>
          <w:i/>
        </w:rPr>
        <w:t>Decides</w:t>
      </w:r>
      <w:r w:rsidRPr="007E344B">
        <w:t xml:space="preserve"> to </w:t>
      </w:r>
      <w:r w:rsidRPr="00B31F3A">
        <w:t>renew</w:t>
      </w:r>
      <w:r w:rsidRPr="007E344B">
        <w:t xml:space="preserve"> the mandate of the Independent Expert on the situation of human rights in Somalia, under agenda item 10, for a period of one year;</w:t>
      </w:r>
    </w:p>
    <w:p w:rsidR="007E344B" w:rsidRPr="007E344B" w:rsidRDefault="00982154" w:rsidP="007E344B">
      <w:pPr>
        <w:pStyle w:val="SingleTxtG"/>
      </w:pPr>
      <w:r>
        <w:tab/>
      </w:r>
      <w:r w:rsidR="007E344B" w:rsidRPr="007E344B">
        <w:t>18.</w:t>
      </w:r>
      <w:r w:rsidR="007E344B" w:rsidRPr="007E344B">
        <w:tab/>
      </w:r>
      <w:r w:rsidR="007E344B" w:rsidRPr="007E344B">
        <w:rPr>
          <w:i/>
        </w:rPr>
        <w:t>Requests</w:t>
      </w:r>
      <w:r w:rsidR="007E344B" w:rsidRPr="007E344B">
        <w:t xml:space="preserve"> the Independent Expert to continue his engagement with the Government of Somalia at the national and subnational levels, civil society and the United Nations Assistance Mission in Somalia with a view to assisting Somalia in the implementation of:</w:t>
      </w:r>
    </w:p>
    <w:p w:rsidR="007E344B" w:rsidRPr="007E344B" w:rsidRDefault="00982154" w:rsidP="007E344B">
      <w:pPr>
        <w:pStyle w:val="SingleTxtG"/>
      </w:pPr>
      <w:r>
        <w:tab/>
      </w:r>
      <w:r w:rsidR="007E344B" w:rsidRPr="007E344B">
        <w:t>(</w:t>
      </w:r>
      <w:r w:rsidR="007E344B" w:rsidRPr="007E344B">
        <w:rPr>
          <w:i/>
        </w:rPr>
        <w:t>a</w:t>
      </w:r>
      <w:r w:rsidR="007E344B" w:rsidRPr="007E344B">
        <w:t>)</w:t>
      </w:r>
      <w:r w:rsidR="007E344B" w:rsidRPr="007E344B">
        <w:tab/>
        <w:t>Its domestic and international human rights obligations;</w:t>
      </w:r>
    </w:p>
    <w:p w:rsidR="007E344B" w:rsidRPr="007E344B" w:rsidRDefault="00982154" w:rsidP="007E344B">
      <w:pPr>
        <w:pStyle w:val="SingleTxtG"/>
      </w:pPr>
      <w:r>
        <w:tab/>
      </w:r>
      <w:r w:rsidR="007E344B" w:rsidRPr="007E344B">
        <w:t>(</w:t>
      </w:r>
      <w:r w:rsidR="007E344B" w:rsidRPr="007E344B">
        <w:rPr>
          <w:i/>
        </w:rPr>
        <w:t>b</w:t>
      </w:r>
      <w:r w:rsidR="007E344B" w:rsidRPr="007E344B">
        <w:t>)</w:t>
      </w:r>
      <w:r w:rsidR="007E344B" w:rsidRPr="007E344B">
        <w:tab/>
        <w:t>Human Rights Council resolutions, other human rights instruments and associated routine reporting;</w:t>
      </w:r>
    </w:p>
    <w:p w:rsidR="007E344B" w:rsidRPr="007E344B" w:rsidRDefault="00982154" w:rsidP="007E344B">
      <w:pPr>
        <w:pStyle w:val="SingleTxtG"/>
      </w:pPr>
      <w:r>
        <w:tab/>
      </w:r>
      <w:r w:rsidR="007E344B" w:rsidRPr="007E344B">
        <w:t>(</w:t>
      </w:r>
      <w:r w:rsidR="007E344B" w:rsidRPr="007E344B">
        <w:rPr>
          <w:i/>
        </w:rPr>
        <w:t>c</w:t>
      </w:r>
      <w:r w:rsidR="007E344B" w:rsidRPr="007E344B">
        <w:t>)</w:t>
      </w:r>
      <w:r w:rsidR="007E344B" w:rsidRPr="007E344B">
        <w:tab/>
        <w:t>The recommendations accepted during the universal periodic review;</w:t>
      </w:r>
    </w:p>
    <w:p w:rsidR="007E344B" w:rsidRPr="007E344B" w:rsidRDefault="00982154" w:rsidP="007E344B">
      <w:pPr>
        <w:pStyle w:val="SingleTxtG"/>
      </w:pPr>
      <w:r>
        <w:tab/>
      </w:r>
      <w:r w:rsidR="007E344B" w:rsidRPr="007E344B">
        <w:t>(</w:t>
      </w:r>
      <w:r w:rsidR="007E344B" w:rsidRPr="007E344B">
        <w:rPr>
          <w:i/>
        </w:rPr>
        <w:t>d</w:t>
      </w:r>
      <w:r w:rsidR="007E344B" w:rsidRPr="007E344B">
        <w:t>)</w:t>
      </w:r>
      <w:r w:rsidR="007E344B" w:rsidRPr="007E344B">
        <w:tab/>
        <w:t xml:space="preserve">Other human rights commitments, including the post-transition human rights road map and particularly the process to implement the establishment </w:t>
      </w:r>
      <w:r w:rsidR="00D04032">
        <w:t xml:space="preserve">of </w:t>
      </w:r>
      <w:r w:rsidR="007E344B" w:rsidRPr="007E344B">
        <w:t xml:space="preserve">an independent human rights commission, </w:t>
      </w:r>
      <w:r w:rsidR="00D04032">
        <w:t xml:space="preserve">and to </w:t>
      </w:r>
      <w:r w:rsidR="007E344B" w:rsidRPr="007E344B">
        <w:t xml:space="preserve">uphold human rights during the election process and </w:t>
      </w:r>
      <w:r w:rsidR="00D04032">
        <w:t xml:space="preserve">the </w:t>
      </w:r>
      <w:r w:rsidR="007E344B" w:rsidRPr="007E344B">
        <w:t xml:space="preserve">political transition to a new </w:t>
      </w:r>
      <w:r w:rsidR="00D04032">
        <w:t>G</w:t>
      </w:r>
      <w:r w:rsidR="007E344B" w:rsidRPr="007E344B">
        <w:t>overnment;</w:t>
      </w:r>
    </w:p>
    <w:p w:rsidR="00DF2133" w:rsidRDefault="00982154" w:rsidP="007E344B">
      <w:pPr>
        <w:pStyle w:val="SingleTxtG"/>
      </w:pPr>
      <w:r>
        <w:tab/>
      </w:r>
      <w:r w:rsidR="007E344B" w:rsidRPr="007E344B">
        <w:t>19.</w:t>
      </w:r>
      <w:r w:rsidR="007E344B" w:rsidRPr="007E344B">
        <w:tab/>
      </w:r>
      <w:r w:rsidR="007E344B" w:rsidRPr="007E344B">
        <w:rPr>
          <w:i/>
        </w:rPr>
        <w:t>Also requests</w:t>
      </w:r>
      <w:r w:rsidR="007E344B" w:rsidRPr="007E344B">
        <w:t xml:space="preserve"> the Independent Expert to report to the Human Rights Council at its thirty-sixth session;</w:t>
      </w:r>
    </w:p>
    <w:p w:rsidR="00DF2133" w:rsidRDefault="00DF2133">
      <w:pPr>
        <w:suppressAutoHyphens w:val="0"/>
        <w:spacing w:line="240" w:lineRule="auto"/>
      </w:pPr>
      <w:r>
        <w:br w:type="page"/>
      </w:r>
    </w:p>
    <w:p w:rsidR="007E344B" w:rsidRPr="007E344B" w:rsidRDefault="00982154" w:rsidP="007E344B">
      <w:pPr>
        <w:pStyle w:val="SingleTxtG"/>
      </w:pPr>
      <w:r>
        <w:tab/>
      </w:r>
      <w:r w:rsidR="007E344B" w:rsidRPr="007E344B">
        <w:t>20.</w:t>
      </w:r>
      <w:r w:rsidR="007E344B" w:rsidRPr="007E344B">
        <w:tab/>
      </w:r>
      <w:r w:rsidR="007E344B" w:rsidRPr="007E344B">
        <w:rPr>
          <w:i/>
        </w:rPr>
        <w:t>Requests</w:t>
      </w:r>
      <w:r w:rsidR="007E344B" w:rsidRPr="007E344B">
        <w:t xml:space="preserve"> the Office of the High Commissioner and other relevant United Nations agencies to provide the Independent Expert with all the human, technical and financial assistance necessary to carry out his mandate;</w:t>
      </w:r>
    </w:p>
    <w:p w:rsidR="007E344B" w:rsidRPr="007E344B" w:rsidRDefault="00982154" w:rsidP="007E344B">
      <w:pPr>
        <w:pStyle w:val="SingleTxtG"/>
      </w:pPr>
      <w:r>
        <w:tab/>
      </w:r>
      <w:r w:rsidR="007E344B" w:rsidRPr="007E344B">
        <w:t>21.</w:t>
      </w:r>
      <w:r w:rsidR="007E344B" w:rsidRPr="007E344B">
        <w:tab/>
      </w:r>
      <w:r w:rsidR="007E344B" w:rsidRPr="007E344B">
        <w:rPr>
          <w:i/>
        </w:rPr>
        <w:t>Decides</w:t>
      </w:r>
      <w:r w:rsidR="007E344B" w:rsidRPr="007E344B">
        <w:t xml:space="preserve"> to remain actively seized of the matter.</w:t>
      </w:r>
    </w:p>
    <w:p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1758F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5D" w:rsidRDefault="002F1A5D"/>
  </w:endnote>
  <w:endnote w:type="continuationSeparator" w:id="0">
    <w:p w:rsidR="002F1A5D" w:rsidRDefault="002F1A5D"/>
  </w:endnote>
  <w:endnote w:type="continuationNotice" w:id="1">
    <w:p w:rsidR="002F1A5D" w:rsidRDefault="002F1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D616B0" w:rsidRDefault="006B08A2" w:rsidP="00D616B0">
    <w:pPr>
      <w:pStyle w:val="Footer"/>
      <w:tabs>
        <w:tab w:val="right" w:pos="9638"/>
      </w:tabs>
    </w:pPr>
    <w:r w:rsidRPr="001D18FE">
      <w:rPr>
        <w:b/>
        <w:sz w:val="18"/>
      </w:rPr>
      <w:fldChar w:fldCharType="begin"/>
    </w:r>
    <w:r w:rsidR="007B690D" w:rsidRPr="001D18FE">
      <w:rPr>
        <w:b/>
        <w:sz w:val="18"/>
      </w:rPr>
      <w:instrText xml:space="preserve"> PAGE  \* MERGEFORMAT </w:instrText>
    </w:r>
    <w:r w:rsidRPr="001D18FE">
      <w:rPr>
        <w:b/>
        <w:sz w:val="18"/>
      </w:rPr>
      <w:fldChar w:fldCharType="separate"/>
    </w:r>
    <w:r w:rsidR="00F7684C">
      <w:rPr>
        <w:b/>
        <w:noProof/>
        <w:sz w:val="18"/>
      </w:rPr>
      <w:t>2</w:t>
    </w:r>
    <w:r w:rsidRPr="001D18F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CE" w:rsidRDefault="007B690D" w:rsidP="001D18FE">
    <w:pPr>
      <w:pStyle w:val="Footer"/>
      <w:tabs>
        <w:tab w:val="right" w:pos="9638"/>
      </w:tabs>
      <w:rPr>
        <w:b/>
        <w:sz w:val="18"/>
      </w:rPr>
    </w:pPr>
    <w:r>
      <w:tab/>
    </w:r>
    <w:r w:rsidR="006B08A2" w:rsidRPr="001D18FE">
      <w:rPr>
        <w:b/>
        <w:sz w:val="18"/>
      </w:rPr>
      <w:fldChar w:fldCharType="begin"/>
    </w:r>
    <w:r w:rsidRPr="001D18FE">
      <w:rPr>
        <w:b/>
        <w:sz w:val="18"/>
      </w:rPr>
      <w:instrText xml:space="preserve"> PAGE  \* MERGEFORMAT </w:instrText>
    </w:r>
    <w:r w:rsidR="006B08A2" w:rsidRPr="001D18FE">
      <w:rPr>
        <w:b/>
        <w:sz w:val="18"/>
      </w:rPr>
      <w:fldChar w:fldCharType="separate"/>
    </w:r>
    <w:r w:rsidR="00F7684C">
      <w:rPr>
        <w:b/>
        <w:noProof/>
        <w:sz w:val="18"/>
      </w:rPr>
      <w:t>5</w:t>
    </w:r>
    <w:r w:rsidR="006B08A2" w:rsidRPr="001D18FE">
      <w:rPr>
        <w:b/>
        <w:sz w:val="18"/>
      </w:rPr>
      <w:fldChar w:fldCharType="end"/>
    </w:r>
  </w:p>
  <w:p w:rsidR="007B690D" w:rsidRPr="00D616B0" w:rsidRDefault="007B690D" w:rsidP="00D616B0">
    <w:pPr>
      <w:pStyle w:val="Footer"/>
      <w:tabs>
        <w:tab w:val="right" w:pos="9638"/>
      </w:tabs>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D7" w:rsidRDefault="00F7684C" w:rsidP="008977D7">
    <w:pPr>
      <w:pStyle w:val="Footer"/>
    </w:pPr>
    <w:r>
      <w:rPr>
        <w:rFonts w:ascii="C39T30Lfz" w:hAnsi="C39T30Lfz"/>
        <w:noProof/>
        <w:sz w:val="56"/>
        <w:lang w:eastAsia="zh-CN"/>
      </w:rPr>
      <w:drawing>
        <wp:anchor distT="0" distB="0" distL="114300" distR="114300" simplePos="0" relativeHeight="251660288" behindDoc="0" locked="0" layoutInCell="1" allowOverlap="1" wp14:anchorId="35BDB25E" wp14:editId="497083E2">
          <wp:simplePos x="0" y="0"/>
          <wp:positionH relativeFrom="margin">
            <wp:posOffset>5489575</wp:posOffset>
          </wp:positionH>
          <wp:positionV relativeFrom="margin">
            <wp:posOffset>8110220</wp:posOffset>
          </wp:positionV>
          <wp:extent cx="640080" cy="640080"/>
          <wp:effectExtent l="0" t="0" r="7620" b="7620"/>
          <wp:wrapNone/>
          <wp:docPr id="2" name="Picture 1" descr="http://undocs.org/m2/QRCode.ashx?DS=A/HRC/33/L.1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11/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7D7" w:rsidRDefault="00F7684C" w:rsidP="008977D7">
    <w:pPr>
      <w:pStyle w:val="Footer"/>
      <w:ind w:right="1134"/>
      <w:rPr>
        <w:sz w:val="20"/>
      </w:rPr>
    </w:pPr>
    <w:r w:rsidRPr="00DA43F5">
      <w:rPr>
        <w:rFonts w:ascii="C39T30Lfz" w:hAnsi="C39T30Lfz"/>
        <w:noProof/>
        <w:sz w:val="56"/>
        <w:u w:val="single"/>
      </w:rPr>
      <w:drawing>
        <wp:anchor distT="0" distB="0" distL="114300" distR="114300" simplePos="0" relativeHeight="251659264" behindDoc="0" locked="0" layoutInCell="1" allowOverlap="1" wp14:anchorId="04CF36D5" wp14:editId="1C773464">
          <wp:simplePos x="0" y="0"/>
          <wp:positionH relativeFrom="margin">
            <wp:posOffset>4340860</wp:posOffset>
          </wp:positionH>
          <wp:positionV relativeFrom="margin">
            <wp:posOffset>8278495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8977D7">
      <w:rPr>
        <w:sz w:val="20"/>
      </w:rPr>
      <w:t>GE.16-16725(E)</w:t>
    </w:r>
  </w:p>
  <w:p w:rsidR="008977D7" w:rsidRPr="008977D7" w:rsidRDefault="008977D7" w:rsidP="008977D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5D" w:rsidRPr="000B175B" w:rsidRDefault="002F1A5D" w:rsidP="000B175B">
      <w:pPr>
        <w:tabs>
          <w:tab w:val="right" w:pos="2155"/>
        </w:tabs>
        <w:spacing w:after="80"/>
        <w:ind w:left="680"/>
        <w:rPr>
          <w:u w:val="single"/>
        </w:rPr>
      </w:pPr>
      <w:r>
        <w:rPr>
          <w:u w:val="single"/>
        </w:rPr>
        <w:tab/>
      </w:r>
    </w:p>
  </w:footnote>
  <w:footnote w:type="continuationSeparator" w:id="0">
    <w:p w:rsidR="002F1A5D" w:rsidRPr="00FC68B7" w:rsidRDefault="002F1A5D" w:rsidP="00FC68B7">
      <w:pPr>
        <w:tabs>
          <w:tab w:val="left" w:pos="2155"/>
        </w:tabs>
        <w:spacing w:after="80"/>
        <w:ind w:left="680"/>
        <w:rPr>
          <w:u w:val="single"/>
        </w:rPr>
      </w:pPr>
      <w:r>
        <w:rPr>
          <w:u w:val="single"/>
        </w:rPr>
        <w:tab/>
      </w:r>
    </w:p>
  </w:footnote>
  <w:footnote w:type="continuationNotice" w:id="1">
    <w:p w:rsidR="002F1A5D" w:rsidRDefault="002F1A5D"/>
  </w:footnote>
  <w:footnote w:id="2">
    <w:p w:rsidR="00B06DB2" w:rsidRPr="00B06DB2" w:rsidRDefault="00B06DB2">
      <w:pPr>
        <w:pStyle w:val="FootnoteText"/>
      </w:pPr>
      <w:r>
        <w:rPr>
          <w:rStyle w:val="FootnoteReference"/>
        </w:rPr>
        <w:tab/>
      </w:r>
      <w:r w:rsidRPr="00B06DB2">
        <w:rPr>
          <w:rStyle w:val="FootnoteReference"/>
          <w:sz w:val="20"/>
          <w:vertAlign w:val="baseline"/>
        </w:rPr>
        <w:t>*</w:t>
      </w:r>
      <w:r>
        <w:rPr>
          <w:rStyle w:val="FootnoteReference"/>
          <w:sz w:val="20"/>
          <w:vertAlign w:val="baseline"/>
        </w:rPr>
        <w:tab/>
      </w:r>
      <w:r w:rsidRPr="00B06DB2">
        <w:t>State not a member of the Human Rights Council.</w:t>
      </w:r>
    </w:p>
  </w:footnote>
  <w:footnote w:id="3">
    <w:p w:rsidR="00B06DB2" w:rsidRDefault="00B06DB2">
      <w:pPr>
        <w:pStyle w:val="FootnoteText"/>
      </w:pPr>
      <w:r>
        <w:tab/>
      </w:r>
      <w:r w:rsidRPr="008B74EB">
        <w:rPr>
          <w:rStyle w:val="FootnoteReference"/>
          <w:sz w:val="20"/>
        </w:rPr>
        <w:t>†</w:t>
      </w:r>
      <w:r>
        <w:tab/>
        <w:t>On behalf of the States Members of the United Nations that are members of the Group of African</w:t>
      </w:r>
      <w:r w:rsidR="004C4B41">
        <w:t xml:space="preserve"> States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5B408F">
    <w:pPr>
      <w:pStyle w:val="Header"/>
    </w:pPr>
    <w:r>
      <w:t>A/HRC/</w:t>
    </w:r>
    <w:r w:rsidR="009142CB">
      <w:t>3</w:t>
    </w:r>
    <w:r w:rsidR="008E5187">
      <w:t>3</w:t>
    </w:r>
    <w:r w:rsidR="000F3302">
      <w:t>/L.</w:t>
    </w:r>
    <w:r w:rsidR="00BF5CC5">
      <w:t>11</w:t>
    </w:r>
    <w:r w:rsidR="006A358D">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Header"/>
      <w:jc w:val="right"/>
    </w:pPr>
    <w:r>
      <w:t>A/HRC/</w:t>
    </w:r>
    <w:r w:rsidR="009142CB">
      <w:t>3</w:t>
    </w:r>
    <w:r w:rsidR="00BF5CC5">
      <w:t>3</w:t>
    </w:r>
    <w:r w:rsidR="000F3302">
      <w:t>/L.</w:t>
    </w:r>
    <w:r w:rsidR="00BF5CC5">
      <w:t>11</w:t>
    </w:r>
    <w:r w:rsidR="006A358D">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7F7F"/>
    <w:rsid w:val="00022DB5"/>
    <w:rsid w:val="00037E2A"/>
    <w:rsid w:val="000403D1"/>
    <w:rsid w:val="000434CF"/>
    <w:rsid w:val="000449AA"/>
    <w:rsid w:val="00050F6B"/>
    <w:rsid w:val="00052CA5"/>
    <w:rsid w:val="00054CBE"/>
    <w:rsid w:val="00071BBC"/>
    <w:rsid w:val="00072C8C"/>
    <w:rsid w:val="00073E70"/>
    <w:rsid w:val="000876EB"/>
    <w:rsid w:val="00091419"/>
    <w:rsid w:val="000931C0"/>
    <w:rsid w:val="000A03F8"/>
    <w:rsid w:val="000B175B"/>
    <w:rsid w:val="000B3A0F"/>
    <w:rsid w:val="000B4A3B"/>
    <w:rsid w:val="000D1851"/>
    <w:rsid w:val="000E0415"/>
    <w:rsid w:val="000E3322"/>
    <w:rsid w:val="000F3302"/>
    <w:rsid w:val="00101F24"/>
    <w:rsid w:val="001140EA"/>
    <w:rsid w:val="001367F4"/>
    <w:rsid w:val="00146D32"/>
    <w:rsid w:val="001509BA"/>
    <w:rsid w:val="00152BB0"/>
    <w:rsid w:val="001758F3"/>
    <w:rsid w:val="00190FA7"/>
    <w:rsid w:val="00191CE1"/>
    <w:rsid w:val="001B4B04"/>
    <w:rsid w:val="001C506F"/>
    <w:rsid w:val="001C6663"/>
    <w:rsid w:val="001C70AA"/>
    <w:rsid w:val="001C7895"/>
    <w:rsid w:val="001D18FE"/>
    <w:rsid w:val="001D26DF"/>
    <w:rsid w:val="001E2790"/>
    <w:rsid w:val="001E5DBD"/>
    <w:rsid w:val="001F32CF"/>
    <w:rsid w:val="00211E0B"/>
    <w:rsid w:val="00211E72"/>
    <w:rsid w:val="00214047"/>
    <w:rsid w:val="00217485"/>
    <w:rsid w:val="0022130F"/>
    <w:rsid w:val="00237785"/>
    <w:rsid w:val="002410DD"/>
    <w:rsid w:val="00241466"/>
    <w:rsid w:val="00253D58"/>
    <w:rsid w:val="00262A33"/>
    <w:rsid w:val="0027530E"/>
    <w:rsid w:val="0027725F"/>
    <w:rsid w:val="00280D90"/>
    <w:rsid w:val="00281A12"/>
    <w:rsid w:val="00287D9C"/>
    <w:rsid w:val="002900CA"/>
    <w:rsid w:val="002C21F0"/>
    <w:rsid w:val="002C7FF5"/>
    <w:rsid w:val="002D07F6"/>
    <w:rsid w:val="002E145E"/>
    <w:rsid w:val="002F1A5D"/>
    <w:rsid w:val="003101AA"/>
    <w:rsid w:val="003107FA"/>
    <w:rsid w:val="00322686"/>
    <w:rsid w:val="003229D8"/>
    <w:rsid w:val="00323453"/>
    <w:rsid w:val="003314D1"/>
    <w:rsid w:val="00335A2F"/>
    <w:rsid w:val="00341937"/>
    <w:rsid w:val="00372AA9"/>
    <w:rsid w:val="00384B48"/>
    <w:rsid w:val="00386016"/>
    <w:rsid w:val="0039277A"/>
    <w:rsid w:val="003972E0"/>
    <w:rsid w:val="003975ED"/>
    <w:rsid w:val="003C2CC4"/>
    <w:rsid w:val="003D4B23"/>
    <w:rsid w:val="00404C8D"/>
    <w:rsid w:val="00405CF4"/>
    <w:rsid w:val="004248E6"/>
    <w:rsid w:val="00424C80"/>
    <w:rsid w:val="00424E88"/>
    <w:rsid w:val="004250CF"/>
    <w:rsid w:val="0043225D"/>
    <w:rsid w:val="004325CB"/>
    <w:rsid w:val="0044022F"/>
    <w:rsid w:val="0044503A"/>
    <w:rsid w:val="00446DE4"/>
    <w:rsid w:val="00447761"/>
    <w:rsid w:val="00447FCF"/>
    <w:rsid w:val="00451EC3"/>
    <w:rsid w:val="00455C08"/>
    <w:rsid w:val="004721B1"/>
    <w:rsid w:val="004859EC"/>
    <w:rsid w:val="004950CE"/>
    <w:rsid w:val="00496A15"/>
    <w:rsid w:val="004B75D2"/>
    <w:rsid w:val="004C4B41"/>
    <w:rsid w:val="004D1140"/>
    <w:rsid w:val="004E16E9"/>
    <w:rsid w:val="004F55ED"/>
    <w:rsid w:val="00505EEC"/>
    <w:rsid w:val="00506882"/>
    <w:rsid w:val="0052176C"/>
    <w:rsid w:val="005261E5"/>
    <w:rsid w:val="005420F2"/>
    <w:rsid w:val="00542574"/>
    <w:rsid w:val="005436AB"/>
    <w:rsid w:val="00546DBF"/>
    <w:rsid w:val="00552E7C"/>
    <w:rsid w:val="00553D76"/>
    <w:rsid w:val="005552B5"/>
    <w:rsid w:val="0056117B"/>
    <w:rsid w:val="00567B4E"/>
    <w:rsid w:val="00571365"/>
    <w:rsid w:val="005B355D"/>
    <w:rsid w:val="005B3DB3"/>
    <w:rsid w:val="005B408F"/>
    <w:rsid w:val="005B6E48"/>
    <w:rsid w:val="005E1712"/>
    <w:rsid w:val="005F604F"/>
    <w:rsid w:val="00611FC4"/>
    <w:rsid w:val="006176FB"/>
    <w:rsid w:val="00627187"/>
    <w:rsid w:val="00640B26"/>
    <w:rsid w:val="00641F51"/>
    <w:rsid w:val="006477DD"/>
    <w:rsid w:val="00670741"/>
    <w:rsid w:val="00671700"/>
    <w:rsid w:val="00690F34"/>
    <w:rsid w:val="00696BD6"/>
    <w:rsid w:val="006A358D"/>
    <w:rsid w:val="006A6B9D"/>
    <w:rsid w:val="006A7392"/>
    <w:rsid w:val="006B08A2"/>
    <w:rsid w:val="006B3189"/>
    <w:rsid w:val="006B7D65"/>
    <w:rsid w:val="006D46DC"/>
    <w:rsid w:val="006D53FC"/>
    <w:rsid w:val="006D6DA6"/>
    <w:rsid w:val="006E564B"/>
    <w:rsid w:val="006F13F0"/>
    <w:rsid w:val="006F5035"/>
    <w:rsid w:val="006F5874"/>
    <w:rsid w:val="00704DF8"/>
    <w:rsid w:val="007065EB"/>
    <w:rsid w:val="00720183"/>
    <w:rsid w:val="00724AA6"/>
    <w:rsid w:val="0072632A"/>
    <w:rsid w:val="0074200B"/>
    <w:rsid w:val="00755322"/>
    <w:rsid w:val="00756FB4"/>
    <w:rsid w:val="007617D9"/>
    <w:rsid w:val="00764805"/>
    <w:rsid w:val="00767C25"/>
    <w:rsid w:val="0077346B"/>
    <w:rsid w:val="007808C0"/>
    <w:rsid w:val="0078564B"/>
    <w:rsid w:val="007912B8"/>
    <w:rsid w:val="0079216F"/>
    <w:rsid w:val="007A6296"/>
    <w:rsid w:val="007B690D"/>
    <w:rsid w:val="007B6BA5"/>
    <w:rsid w:val="007C1B62"/>
    <w:rsid w:val="007C3390"/>
    <w:rsid w:val="007C4F4B"/>
    <w:rsid w:val="007C6739"/>
    <w:rsid w:val="007C7275"/>
    <w:rsid w:val="007D2CDC"/>
    <w:rsid w:val="007D5327"/>
    <w:rsid w:val="007E344B"/>
    <w:rsid w:val="007F6611"/>
    <w:rsid w:val="00807CE4"/>
    <w:rsid w:val="008155C3"/>
    <w:rsid w:val="008175E9"/>
    <w:rsid w:val="00822338"/>
    <w:rsid w:val="0082243E"/>
    <w:rsid w:val="008242D7"/>
    <w:rsid w:val="00831B57"/>
    <w:rsid w:val="008440D8"/>
    <w:rsid w:val="00856CD2"/>
    <w:rsid w:val="00861BC6"/>
    <w:rsid w:val="00871FD5"/>
    <w:rsid w:val="008977D7"/>
    <w:rsid w:val="008979B1"/>
    <w:rsid w:val="008A6B25"/>
    <w:rsid w:val="008A6C4F"/>
    <w:rsid w:val="008B74EB"/>
    <w:rsid w:val="008C1E4D"/>
    <w:rsid w:val="008E0E46"/>
    <w:rsid w:val="008E5187"/>
    <w:rsid w:val="008F377D"/>
    <w:rsid w:val="0090452C"/>
    <w:rsid w:val="00904E3B"/>
    <w:rsid w:val="00907C3F"/>
    <w:rsid w:val="009142CB"/>
    <w:rsid w:val="00915F4E"/>
    <w:rsid w:val="0092237C"/>
    <w:rsid w:val="0093707B"/>
    <w:rsid w:val="009400EB"/>
    <w:rsid w:val="009427E3"/>
    <w:rsid w:val="00956D9B"/>
    <w:rsid w:val="00963CBA"/>
    <w:rsid w:val="009654B7"/>
    <w:rsid w:val="00982154"/>
    <w:rsid w:val="009847C4"/>
    <w:rsid w:val="00991261"/>
    <w:rsid w:val="009A0B83"/>
    <w:rsid w:val="009B3800"/>
    <w:rsid w:val="009D22AC"/>
    <w:rsid w:val="009D2705"/>
    <w:rsid w:val="009D50DB"/>
    <w:rsid w:val="009E1C4E"/>
    <w:rsid w:val="009E5238"/>
    <w:rsid w:val="00A05E0B"/>
    <w:rsid w:val="00A102C5"/>
    <w:rsid w:val="00A1427D"/>
    <w:rsid w:val="00A4634F"/>
    <w:rsid w:val="00A51CF3"/>
    <w:rsid w:val="00A64F79"/>
    <w:rsid w:val="00A7198D"/>
    <w:rsid w:val="00A72F22"/>
    <w:rsid w:val="00A748A6"/>
    <w:rsid w:val="00A854EA"/>
    <w:rsid w:val="00A879A4"/>
    <w:rsid w:val="00A87E95"/>
    <w:rsid w:val="00A92E29"/>
    <w:rsid w:val="00AA3896"/>
    <w:rsid w:val="00AB6D2F"/>
    <w:rsid w:val="00AD09E9"/>
    <w:rsid w:val="00AF0576"/>
    <w:rsid w:val="00AF3829"/>
    <w:rsid w:val="00AF6410"/>
    <w:rsid w:val="00B00706"/>
    <w:rsid w:val="00B037F0"/>
    <w:rsid w:val="00B06DB2"/>
    <w:rsid w:val="00B2327D"/>
    <w:rsid w:val="00B2718F"/>
    <w:rsid w:val="00B30179"/>
    <w:rsid w:val="00B31F3A"/>
    <w:rsid w:val="00B32C6E"/>
    <w:rsid w:val="00B3317B"/>
    <w:rsid w:val="00B334DC"/>
    <w:rsid w:val="00B354A5"/>
    <w:rsid w:val="00B3631A"/>
    <w:rsid w:val="00B40569"/>
    <w:rsid w:val="00B52D2D"/>
    <w:rsid w:val="00B53013"/>
    <w:rsid w:val="00B577DB"/>
    <w:rsid w:val="00B67F5E"/>
    <w:rsid w:val="00B73E65"/>
    <w:rsid w:val="00B81E12"/>
    <w:rsid w:val="00B87110"/>
    <w:rsid w:val="00B97FA8"/>
    <w:rsid w:val="00BA5898"/>
    <w:rsid w:val="00BB3D09"/>
    <w:rsid w:val="00BB41D2"/>
    <w:rsid w:val="00BC0829"/>
    <w:rsid w:val="00BC1385"/>
    <w:rsid w:val="00BC37A2"/>
    <w:rsid w:val="00BC39EA"/>
    <w:rsid w:val="00BC74E9"/>
    <w:rsid w:val="00BD1720"/>
    <w:rsid w:val="00BE618E"/>
    <w:rsid w:val="00BF5CC5"/>
    <w:rsid w:val="00C24693"/>
    <w:rsid w:val="00C35F0B"/>
    <w:rsid w:val="00C44117"/>
    <w:rsid w:val="00C463DD"/>
    <w:rsid w:val="00C52D61"/>
    <w:rsid w:val="00C64458"/>
    <w:rsid w:val="00C745C3"/>
    <w:rsid w:val="00C82E1D"/>
    <w:rsid w:val="00C846EF"/>
    <w:rsid w:val="00CA2A58"/>
    <w:rsid w:val="00CC0B55"/>
    <w:rsid w:val="00CD6995"/>
    <w:rsid w:val="00CE4A8F"/>
    <w:rsid w:val="00CE67F2"/>
    <w:rsid w:val="00CF0214"/>
    <w:rsid w:val="00CF376B"/>
    <w:rsid w:val="00CF586F"/>
    <w:rsid w:val="00CF7D43"/>
    <w:rsid w:val="00D0350F"/>
    <w:rsid w:val="00D04032"/>
    <w:rsid w:val="00D11129"/>
    <w:rsid w:val="00D1493B"/>
    <w:rsid w:val="00D2031B"/>
    <w:rsid w:val="00D22332"/>
    <w:rsid w:val="00D25FE2"/>
    <w:rsid w:val="00D429FD"/>
    <w:rsid w:val="00D43252"/>
    <w:rsid w:val="00D51CF8"/>
    <w:rsid w:val="00D550F9"/>
    <w:rsid w:val="00D57265"/>
    <w:rsid w:val="00D572B0"/>
    <w:rsid w:val="00D616B0"/>
    <w:rsid w:val="00D62E90"/>
    <w:rsid w:val="00D764F0"/>
    <w:rsid w:val="00D76BE5"/>
    <w:rsid w:val="00D771FD"/>
    <w:rsid w:val="00D85542"/>
    <w:rsid w:val="00D978C6"/>
    <w:rsid w:val="00DA67AD"/>
    <w:rsid w:val="00DB1033"/>
    <w:rsid w:val="00DB18CE"/>
    <w:rsid w:val="00DD39E5"/>
    <w:rsid w:val="00DE09A4"/>
    <w:rsid w:val="00DE3EC0"/>
    <w:rsid w:val="00DE456C"/>
    <w:rsid w:val="00DF2133"/>
    <w:rsid w:val="00E05B95"/>
    <w:rsid w:val="00E11593"/>
    <w:rsid w:val="00E12B6B"/>
    <w:rsid w:val="00E130AB"/>
    <w:rsid w:val="00E242A6"/>
    <w:rsid w:val="00E438D9"/>
    <w:rsid w:val="00E5644E"/>
    <w:rsid w:val="00E5730B"/>
    <w:rsid w:val="00E724D1"/>
    <w:rsid w:val="00E7260F"/>
    <w:rsid w:val="00E806EE"/>
    <w:rsid w:val="00E857F8"/>
    <w:rsid w:val="00E92420"/>
    <w:rsid w:val="00E96630"/>
    <w:rsid w:val="00EB0FB9"/>
    <w:rsid w:val="00ED0CA9"/>
    <w:rsid w:val="00ED7A2A"/>
    <w:rsid w:val="00EF1D7F"/>
    <w:rsid w:val="00EF506B"/>
    <w:rsid w:val="00EF5BDB"/>
    <w:rsid w:val="00F07FD9"/>
    <w:rsid w:val="00F20B77"/>
    <w:rsid w:val="00F22266"/>
    <w:rsid w:val="00F23933"/>
    <w:rsid w:val="00F24119"/>
    <w:rsid w:val="00F40E75"/>
    <w:rsid w:val="00F42CD9"/>
    <w:rsid w:val="00F4710C"/>
    <w:rsid w:val="00F52936"/>
    <w:rsid w:val="00F640AB"/>
    <w:rsid w:val="00F677CB"/>
    <w:rsid w:val="00F7684C"/>
    <w:rsid w:val="00F76B4E"/>
    <w:rsid w:val="00F9356B"/>
    <w:rsid w:val="00FA518E"/>
    <w:rsid w:val="00FA7DF3"/>
    <w:rsid w:val="00FB349E"/>
    <w:rsid w:val="00FC1EDA"/>
    <w:rsid w:val="00FC21B6"/>
    <w:rsid w:val="00FC68B7"/>
    <w:rsid w:val="00FD7C12"/>
    <w:rsid w:val="00FE7BB7"/>
    <w:rsid w:val="00FF3D4B"/>
    <w:rsid w:val="00FF56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paragraph" w:styleId="Revision">
    <w:name w:val="Revision"/>
    <w:hidden/>
    <w:uiPriority w:val="99"/>
    <w:semiHidden/>
    <w:rsid w:val="00E573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paragraph" w:styleId="Revision">
    <w:name w:val="Revision"/>
    <w:hidden/>
    <w:uiPriority w:val="99"/>
    <w:semiHidden/>
    <w:rsid w:val="00E573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DE08-E4F6-4463-B5FF-C16E46FF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2360</Words>
  <Characters>13409</Characters>
  <Application>Microsoft Office Word</Application>
  <DocSecurity>0</DocSecurity>
  <Lines>226</Lines>
  <Paragraphs>75</Paragraphs>
  <ScaleCrop>false</ScaleCrop>
  <HeadingPairs>
    <vt:vector size="2" baseType="variant">
      <vt:variant>
        <vt:lpstr>Title</vt:lpstr>
      </vt:variant>
      <vt:variant>
        <vt:i4>1</vt:i4>
      </vt:variant>
    </vt:vector>
  </HeadingPairs>
  <TitlesOfParts>
    <vt:vector size="1" baseType="lpstr">
      <vt:lpstr>1616551</vt:lpstr>
    </vt:vector>
  </TitlesOfParts>
  <Company>CSD</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1616725</dc:title>
  <dc:subject>A/HRC/33/L.11/Rev.1</dc:subject>
  <dc:creator>Kiatsurayanon</dc:creator>
  <cp:keywords/>
  <dc:description/>
  <cp:lastModifiedBy>Tpseng</cp:lastModifiedBy>
  <cp:revision>2</cp:revision>
  <cp:lastPrinted>2016-09-28T10:40:00Z</cp:lastPrinted>
  <dcterms:created xsi:type="dcterms:W3CDTF">2016-09-28T10:41:00Z</dcterms:created>
  <dcterms:modified xsi:type="dcterms:W3CDTF">2016-09-28T10:41:00Z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2016-09-25T22:00:00Z</vt:filetime>
  </property>
</Properties>
</file>