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1E30A1CA" w14:textId="77777777">
        <w:trPr>
          <w:trHeight w:val="851"/>
        </w:trPr>
        <w:tc>
          <w:tcPr>
            <w:tcW w:w="1259" w:type="dxa"/>
            <w:tcBorders>
              <w:top w:val="nil"/>
              <w:left w:val="nil"/>
              <w:bottom w:val="single" w:sz="4" w:space="0" w:color="auto"/>
              <w:right w:val="nil"/>
            </w:tcBorders>
          </w:tcPr>
          <w:p w14:paraId="388D9921" w14:textId="77777777" w:rsidR="00446DE4" w:rsidRPr="001758F3" w:rsidRDefault="00446DE4" w:rsidP="001758F3">
            <w:pPr>
              <w:tabs>
                <w:tab w:val="right" w:pos="850"/>
                <w:tab w:val="left" w:pos="1134"/>
                <w:tab w:val="right" w:leader="dot" w:pos="8504"/>
              </w:tabs>
              <w:spacing w:line="20" w:lineRule="exact"/>
              <w:rPr>
                <w:sz w:val="2"/>
              </w:rPr>
            </w:pPr>
          </w:p>
          <w:p w14:paraId="2B38677F" w14:textId="77777777" w:rsidR="001758F3" w:rsidRPr="00E806EE" w:rsidRDefault="001758F3"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2DE74B2E" w14:textId="77777777"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D3BE799" w14:textId="77777777" w:rsidR="00446DE4" w:rsidRPr="00DE3EC0" w:rsidRDefault="001D18FE" w:rsidP="00E928D2">
            <w:pPr>
              <w:jc w:val="right"/>
            </w:pPr>
            <w:r w:rsidRPr="001D18FE">
              <w:rPr>
                <w:sz w:val="40"/>
              </w:rPr>
              <w:t>A</w:t>
            </w:r>
            <w:r>
              <w:t>/HRC/</w:t>
            </w:r>
            <w:r w:rsidR="009142CB">
              <w:t>3</w:t>
            </w:r>
            <w:r w:rsidR="008E5187">
              <w:t>3</w:t>
            </w:r>
            <w:r>
              <w:t>/L.</w:t>
            </w:r>
            <w:r w:rsidR="00E928D2">
              <w:t>4</w:t>
            </w:r>
          </w:p>
        </w:tc>
      </w:tr>
      <w:tr w:rsidR="003107FA" w14:paraId="45662F69" w14:textId="77777777">
        <w:trPr>
          <w:trHeight w:val="2835"/>
        </w:trPr>
        <w:tc>
          <w:tcPr>
            <w:tcW w:w="1259" w:type="dxa"/>
            <w:tcBorders>
              <w:top w:val="single" w:sz="4" w:space="0" w:color="auto"/>
              <w:left w:val="nil"/>
              <w:bottom w:val="single" w:sz="12" w:space="0" w:color="auto"/>
              <w:right w:val="nil"/>
            </w:tcBorders>
          </w:tcPr>
          <w:p w14:paraId="4ABB879E" w14:textId="77777777" w:rsidR="003107FA" w:rsidRDefault="00505EEC" w:rsidP="00956D9B">
            <w:pPr>
              <w:spacing w:before="120"/>
              <w:jc w:val="center"/>
            </w:pPr>
            <w:r>
              <w:rPr>
                <w:noProof/>
                <w:lang w:eastAsia="zh-CN"/>
              </w:rPr>
              <w:drawing>
                <wp:inline distT="0" distB="0" distL="0" distR="0" wp14:anchorId="38D2F090" wp14:editId="0F63A7AC">
                  <wp:extent cx="717550" cy="590550"/>
                  <wp:effectExtent l="0" t="0" r="635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74E8BF2" w14:textId="77777777"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3B5B8AB2" w14:textId="77777777" w:rsidR="001D18FE" w:rsidRDefault="001D18FE" w:rsidP="001D18FE">
            <w:pPr>
              <w:spacing w:before="240" w:line="240" w:lineRule="exact"/>
            </w:pPr>
            <w:r>
              <w:t>Distr.: Limited</w:t>
            </w:r>
          </w:p>
          <w:p w14:paraId="41E4A8F4" w14:textId="45B0149C" w:rsidR="00627187" w:rsidRDefault="007235AE" w:rsidP="00627187">
            <w:pPr>
              <w:spacing w:line="240" w:lineRule="exact"/>
            </w:pPr>
            <w:r>
              <w:t>2</w:t>
            </w:r>
            <w:r w:rsidR="00F704E1">
              <w:t>7</w:t>
            </w:r>
            <w:r>
              <w:t xml:space="preserve"> </w:t>
            </w:r>
            <w:r w:rsidR="008E5187">
              <w:t>September</w:t>
            </w:r>
            <w:r w:rsidR="00101F24">
              <w:t xml:space="preserve"> 2016</w:t>
            </w:r>
          </w:p>
          <w:p w14:paraId="7C326DC1" w14:textId="77777777" w:rsidR="001D18FE" w:rsidRDefault="001D18FE" w:rsidP="001D18FE">
            <w:pPr>
              <w:spacing w:line="240" w:lineRule="exact"/>
            </w:pPr>
          </w:p>
          <w:p w14:paraId="35A99281" w14:textId="77777777" w:rsidR="003107FA" w:rsidRDefault="001D18FE" w:rsidP="001D18FE">
            <w:pPr>
              <w:spacing w:line="240" w:lineRule="exact"/>
            </w:pPr>
            <w:r>
              <w:t>Original: English</w:t>
            </w:r>
          </w:p>
        </w:tc>
      </w:tr>
    </w:tbl>
    <w:p w14:paraId="7C35B318" w14:textId="77777777" w:rsidR="00FE7BB7" w:rsidRDefault="00FE7BB7" w:rsidP="00FE7BB7">
      <w:pPr>
        <w:spacing w:before="120"/>
        <w:rPr>
          <w:b/>
          <w:sz w:val="24"/>
          <w:szCs w:val="24"/>
        </w:rPr>
      </w:pPr>
      <w:r>
        <w:rPr>
          <w:b/>
          <w:sz w:val="24"/>
          <w:szCs w:val="24"/>
        </w:rPr>
        <w:t>Human Rights Council</w:t>
      </w:r>
    </w:p>
    <w:p w14:paraId="3324ABC3" w14:textId="77777777" w:rsidR="00FE7BB7" w:rsidRDefault="008E5187" w:rsidP="00FE7BB7">
      <w:pPr>
        <w:rPr>
          <w:b/>
        </w:rPr>
      </w:pPr>
      <w:r>
        <w:rPr>
          <w:b/>
        </w:rPr>
        <w:t>Thirty-third</w:t>
      </w:r>
      <w:r w:rsidR="00AB6D2F">
        <w:rPr>
          <w:b/>
        </w:rPr>
        <w:t xml:space="preserve"> </w:t>
      </w:r>
      <w:proofErr w:type="gramStart"/>
      <w:r w:rsidR="00FE7BB7">
        <w:rPr>
          <w:b/>
        </w:rPr>
        <w:t>session</w:t>
      </w:r>
      <w:proofErr w:type="gramEnd"/>
    </w:p>
    <w:p w14:paraId="20DE1E0D" w14:textId="77777777" w:rsidR="00FE7BB7" w:rsidRDefault="00447FCF" w:rsidP="00FE7BB7">
      <w:r>
        <w:t xml:space="preserve">Agenda item </w:t>
      </w:r>
      <w:r w:rsidR="007B690D">
        <w:t>10</w:t>
      </w:r>
    </w:p>
    <w:p w14:paraId="043393C5" w14:textId="77777777" w:rsidR="00FE7BB7" w:rsidRPr="00533C25" w:rsidRDefault="007B690D" w:rsidP="00FE7BB7">
      <w:pPr>
        <w:rPr>
          <w:b/>
        </w:rPr>
      </w:pPr>
      <w:r>
        <w:rPr>
          <w:b/>
        </w:rPr>
        <w:t>Technical assistance and capacity-building</w:t>
      </w:r>
    </w:p>
    <w:p w14:paraId="49B8A523" w14:textId="77777777" w:rsidR="00FE7BB7" w:rsidRDefault="00FE7BB7" w:rsidP="00FE7BB7">
      <w:pPr>
        <w:pStyle w:val="H23G"/>
      </w:pPr>
      <w:r>
        <w:tab/>
      </w:r>
      <w:r>
        <w:tab/>
      </w:r>
      <w:r w:rsidR="003F0F90" w:rsidRPr="00A34045">
        <w:t>South Africa,</w:t>
      </w:r>
      <w:r w:rsidR="00D011B3" w:rsidRPr="00A34045">
        <w:rPr>
          <w:rStyle w:val="FootnoteReference"/>
          <w:sz w:val="20"/>
          <w:vertAlign w:val="baseline"/>
        </w:rPr>
        <w:footnoteReference w:customMarkFollows="1" w:id="2"/>
        <w:t>*</w:t>
      </w:r>
      <w:r w:rsidR="003F0F90" w:rsidRPr="00A34045">
        <w:t xml:space="preserve"> Sudan</w:t>
      </w:r>
      <w:r w:rsidRPr="00A34045">
        <w:t>:</w:t>
      </w:r>
      <w:r w:rsidR="00D011B3" w:rsidRPr="00A34045">
        <w:rPr>
          <w:rStyle w:val="FootnoteReference"/>
        </w:rPr>
        <w:footnoteReference w:customMarkFollows="1" w:id="3"/>
        <w:t>†</w:t>
      </w:r>
      <w:r w:rsidR="003134BC" w:rsidRPr="00AD6E63">
        <w:rPr>
          <w:vertAlign w:val="superscript"/>
        </w:rPr>
        <w:t xml:space="preserve"> </w:t>
      </w:r>
      <w:r w:rsidR="00D011B3" w:rsidRPr="00A34045">
        <w:rPr>
          <w:rStyle w:val="FootnoteReference"/>
        </w:rPr>
        <w:footnoteReference w:customMarkFollows="1" w:id="4"/>
        <w:t>‡</w:t>
      </w:r>
      <w:r w:rsidR="00053F4C" w:rsidRPr="00A34045">
        <w:t xml:space="preserve"> </w:t>
      </w:r>
      <w:r w:rsidRPr="00A34045">
        <w:t>draft resolution</w:t>
      </w:r>
    </w:p>
    <w:p w14:paraId="4BA40EE0" w14:textId="77777777" w:rsidR="009142CB" w:rsidRPr="007A45D3" w:rsidRDefault="009142CB" w:rsidP="009142CB">
      <w:pPr>
        <w:pStyle w:val="H1G"/>
        <w:tabs>
          <w:tab w:val="clear" w:pos="851"/>
        </w:tabs>
        <w:ind w:left="1843" w:hanging="709"/>
      </w:pPr>
      <w:r>
        <w:t>3</w:t>
      </w:r>
      <w:r w:rsidR="008E5187">
        <w:t>3</w:t>
      </w:r>
      <w:r>
        <w:t>/…</w:t>
      </w:r>
      <w:r>
        <w:tab/>
      </w:r>
      <w:r w:rsidR="00D67878" w:rsidRPr="000D3CD1">
        <w:rPr>
          <w:rFonts w:asciiTheme="majorBidi" w:hAnsiTheme="majorBidi" w:cstheme="majorBidi"/>
        </w:rPr>
        <w:t>Technical assistance and capacity-building to improve human rights in the Sudan</w:t>
      </w:r>
    </w:p>
    <w:p w14:paraId="6FDB7513" w14:textId="77777777" w:rsidR="00FE7BB7" w:rsidRDefault="00FE7BB7" w:rsidP="009142CB">
      <w:pPr>
        <w:pStyle w:val="SingleTxtG"/>
      </w:pPr>
      <w:r>
        <w:tab/>
      </w:r>
      <w:r w:rsidRPr="009142CB">
        <w:rPr>
          <w:i/>
        </w:rPr>
        <w:t>The Human Rights Council</w:t>
      </w:r>
      <w:r w:rsidRPr="00852165">
        <w:t>,</w:t>
      </w:r>
    </w:p>
    <w:p w14:paraId="5127419A" w14:textId="77777777" w:rsidR="00D67878" w:rsidRPr="000D3CD1" w:rsidRDefault="00D67878" w:rsidP="00D67878">
      <w:pPr>
        <w:pStyle w:val="SingleTxtG"/>
      </w:pPr>
      <w:r>
        <w:tab/>
      </w:r>
      <w:r w:rsidRPr="000D3CD1">
        <w:rPr>
          <w:i/>
        </w:rPr>
        <w:t>Guided</w:t>
      </w:r>
      <w:r w:rsidRPr="000D3CD1">
        <w:t xml:space="preserve"> by the principles and purposes of the Charter of the United Nations, </w:t>
      </w:r>
    </w:p>
    <w:p w14:paraId="6A0C99C5" w14:textId="3B5AE0CE" w:rsidR="00D67878" w:rsidRPr="000D3CD1" w:rsidRDefault="00D67878" w:rsidP="000C2939">
      <w:pPr>
        <w:pStyle w:val="SingleTxtG"/>
      </w:pPr>
      <w:r>
        <w:tab/>
      </w:r>
      <w:r w:rsidRPr="000D3CD1">
        <w:rPr>
          <w:i/>
        </w:rPr>
        <w:t>Recalling</w:t>
      </w:r>
      <w:r w:rsidRPr="000D3CD1">
        <w:t xml:space="preserve"> the Universal Declaration of Human Rights, </w:t>
      </w:r>
      <w:r w:rsidR="000C2939">
        <w:t>the International Covenant on Civil and Political Rights, the International Covenant on Economic, Social and Cultural Rights</w:t>
      </w:r>
      <w:r w:rsidRPr="000D3CD1">
        <w:t xml:space="preserve"> and other relevant international human rights instruments, </w:t>
      </w:r>
    </w:p>
    <w:p w14:paraId="0073F8D5" w14:textId="77777777" w:rsidR="00D67878" w:rsidRPr="000D3CD1" w:rsidRDefault="00D67878" w:rsidP="00D67878">
      <w:pPr>
        <w:pStyle w:val="SingleTxtG"/>
      </w:pPr>
      <w:r>
        <w:tab/>
      </w:r>
      <w:r w:rsidRPr="000D3CD1">
        <w:rPr>
          <w:i/>
        </w:rPr>
        <w:t>Recalling</w:t>
      </w:r>
      <w:r w:rsidRPr="000D3CD1">
        <w:t xml:space="preserve"> </w:t>
      </w:r>
      <w:r w:rsidRPr="00AD6E63">
        <w:rPr>
          <w:i/>
        </w:rPr>
        <w:t>also</w:t>
      </w:r>
      <w:r w:rsidRPr="000D3CD1">
        <w:t xml:space="preserve"> General Assembly resolution 60/251 of 15 March 2006 and Human Rights Council resolutions 5/1 and 5/2 of 18 June 2007, </w:t>
      </w:r>
    </w:p>
    <w:p w14:paraId="7C1DA3D2" w14:textId="773D4358" w:rsidR="00D67878" w:rsidRPr="000D3CD1" w:rsidRDefault="00D67878" w:rsidP="00A34045">
      <w:pPr>
        <w:pStyle w:val="SingleTxtG"/>
      </w:pPr>
      <w:r>
        <w:tab/>
      </w:r>
      <w:r w:rsidRPr="00A34045">
        <w:rPr>
          <w:i/>
        </w:rPr>
        <w:t>Taking note</w:t>
      </w:r>
      <w:r w:rsidRPr="00A34045">
        <w:t xml:space="preserve"> of the communiqué</w:t>
      </w:r>
      <w:r w:rsidRPr="000D3CD1">
        <w:t xml:space="preserve"> of 13 June 2016 of the Peace and Security Council </w:t>
      </w:r>
      <w:r w:rsidR="00F62691">
        <w:t xml:space="preserve">of the African Union </w:t>
      </w:r>
      <w:r w:rsidRPr="000D3CD1">
        <w:t xml:space="preserve">on the situation </w:t>
      </w:r>
      <w:r w:rsidR="00F62691">
        <w:t>in</w:t>
      </w:r>
      <w:r w:rsidR="00F62691" w:rsidRPr="000D3CD1">
        <w:t xml:space="preserve"> </w:t>
      </w:r>
      <w:r w:rsidRPr="000D3CD1">
        <w:t xml:space="preserve">Darfur, </w:t>
      </w:r>
      <w:r w:rsidR="006E6279">
        <w:t xml:space="preserve">in </w:t>
      </w:r>
      <w:r w:rsidRPr="000D3CD1">
        <w:t>which the Government of the Sudan</w:t>
      </w:r>
      <w:r w:rsidR="006E6279">
        <w:t xml:space="preserve"> is urged</w:t>
      </w:r>
      <w:r w:rsidRPr="000D3CD1">
        <w:t xml:space="preserve"> to spare no efforts to arrest and prosecute all perpetrators of criminal actions and attacks against </w:t>
      </w:r>
      <w:r w:rsidR="00F62691">
        <w:t>personnel and assets o</w:t>
      </w:r>
      <w:bookmarkStart w:id="0" w:name="_GoBack"/>
      <w:bookmarkEnd w:id="0"/>
      <w:r w:rsidR="00F62691">
        <w:t xml:space="preserve">f the </w:t>
      </w:r>
      <w:r w:rsidRPr="000D3CD1">
        <w:t>African Union</w:t>
      </w:r>
      <w:r w:rsidR="00F62691">
        <w:t>-</w:t>
      </w:r>
      <w:r w:rsidRPr="000D3CD1">
        <w:t>United Nations Hybrid Operation in Darfur</w:t>
      </w:r>
      <w:r w:rsidR="00F62691">
        <w:t xml:space="preserve"> and</w:t>
      </w:r>
      <w:r w:rsidRPr="000D3CD1">
        <w:t xml:space="preserve"> against humanitarian organizations and their staff, and </w:t>
      </w:r>
      <w:r w:rsidR="004403BA">
        <w:t>referring</w:t>
      </w:r>
      <w:r w:rsidRPr="000D3CD1">
        <w:t xml:space="preserve"> to the statement </w:t>
      </w:r>
      <w:r w:rsidR="004403BA">
        <w:t xml:space="preserve">of 9 August 2016 </w:t>
      </w:r>
      <w:r w:rsidRPr="000D3CD1">
        <w:t xml:space="preserve">by </w:t>
      </w:r>
      <w:r w:rsidRPr="00A34045">
        <w:t xml:space="preserve">the Chairperson of the </w:t>
      </w:r>
      <w:r w:rsidR="00C416B0" w:rsidRPr="00A34045">
        <w:t xml:space="preserve">African Union </w:t>
      </w:r>
      <w:r w:rsidRPr="00A34045">
        <w:t>Commission in</w:t>
      </w:r>
      <w:r w:rsidRPr="000D3CD1">
        <w:t xml:space="preserve"> which </w:t>
      </w:r>
      <w:r w:rsidR="002576C6">
        <w:t>the</w:t>
      </w:r>
      <w:r w:rsidRPr="000D3CD1">
        <w:t xml:space="preserve"> parties </w:t>
      </w:r>
      <w:r w:rsidR="006E6279">
        <w:t xml:space="preserve">are urged </w:t>
      </w:r>
      <w:r w:rsidRPr="000D3CD1">
        <w:t xml:space="preserve">to ensure rapid progress in negotiations to achieve lasting, sustainable peace, </w:t>
      </w:r>
    </w:p>
    <w:p w14:paraId="1822A215" w14:textId="77777777" w:rsidR="00D67878" w:rsidRPr="000D3CD1" w:rsidRDefault="00D67878" w:rsidP="00D67878">
      <w:pPr>
        <w:pStyle w:val="SingleTxtG"/>
      </w:pPr>
      <w:r>
        <w:tab/>
      </w:r>
      <w:r w:rsidRPr="000D3CD1">
        <w:rPr>
          <w:i/>
        </w:rPr>
        <w:t>Emphasizing</w:t>
      </w:r>
      <w:r w:rsidRPr="000D3CD1">
        <w:t xml:space="preserve"> that States have the primary responsibility for the promotion and </w:t>
      </w:r>
      <w:r w:rsidRPr="00A34045">
        <w:t>protection of all human rights,</w:t>
      </w:r>
      <w:r w:rsidRPr="000D3CD1">
        <w:t xml:space="preserve"> </w:t>
      </w:r>
    </w:p>
    <w:p w14:paraId="03B0C923" w14:textId="50F0860D" w:rsidR="00D67878" w:rsidRPr="000D3CD1" w:rsidRDefault="00D67878" w:rsidP="00D67878">
      <w:pPr>
        <w:pStyle w:val="SingleTxtG"/>
      </w:pPr>
      <w:r>
        <w:tab/>
      </w:r>
      <w:r w:rsidRPr="000D3CD1">
        <w:rPr>
          <w:i/>
        </w:rPr>
        <w:t xml:space="preserve">Reaffirming </w:t>
      </w:r>
      <w:r w:rsidRPr="000D3CD1">
        <w:t xml:space="preserve">the importance of peace, security and political stability for </w:t>
      </w:r>
      <w:r w:rsidR="00772F71">
        <w:t xml:space="preserve">the </w:t>
      </w:r>
      <w:r w:rsidRPr="000D3CD1">
        <w:t xml:space="preserve">realization of all civil, political, economic, social and cultural </w:t>
      </w:r>
      <w:r w:rsidR="00772F71">
        <w:t>rights</w:t>
      </w:r>
      <w:r w:rsidRPr="000D3CD1">
        <w:t xml:space="preserve">, </w:t>
      </w:r>
    </w:p>
    <w:p w14:paraId="3020FE76" w14:textId="77777777" w:rsidR="00D67878" w:rsidRPr="000D3CD1" w:rsidRDefault="00D67878" w:rsidP="00D67878">
      <w:pPr>
        <w:pStyle w:val="SingleTxtG"/>
      </w:pPr>
      <w:r>
        <w:tab/>
      </w:r>
      <w:r w:rsidRPr="000D3CD1">
        <w:rPr>
          <w:i/>
        </w:rPr>
        <w:t>Welcoming</w:t>
      </w:r>
      <w:r w:rsidRPr="000D3CD1">
        <w:t xml:space="preserve"> the commitment of the Government of the Sudan to protect and promote human rights in the country, </w:t>
      </w:r>
    </w:p>
    <w:p w14:paraId="7CCEB7ED" w14:textId="093BC9B2" w:rsidR="00D67878" w:rsidRPr="000D3CD1" w:rsidRDefault="00D67878" w:rsidP="00A34045">
      <w:pPr>
        <w:pStyle w:val="SingleTxtG"/>
      </w:pPr>
      <w:r>
        <w:lastRenderedPageBreak/>
        <w:tab/>
      </w:r>
      <w:r w:rsidRPr="00D67878">
        <w:rPr>
          <w:i/>
        </w:rPr>
        <w:t xml:space="preserve">Welcoming </w:t>
      </w:r>
      <w:r w:rsidR="00D51EF4">
        <w:rPr>
          <w:i/>
        </w:rPr>
        <w:t xml:space="preserve">also </w:t>
      </w:r>
      <w:r w:rsidRPr="000D3CD1">
        <w:t xml:space="preserve">the </w:t>
      </w:r>
      <w:r w:rsidR="00862C7B">
        <w:t>n</w:t>
      </w:r>
      <w:r w:rsidRPr="000D3CD1">
        <w:t xml:space="preserve">ational </w:t>
      </w:r>
      <w:r w:rsidR="00862C7B">
        <w:t>s</w:t>
      </w:r>
      <w:r w:rsidRPr="000D3CD1">
        <w:t>trategy</w:t>
      </w:r>
      <w:r w:rsidR="001F721E">
        <w:t>, which runs until 2018,</w:t>
      </w:r>
      <w:r w:rsidRPr="000D3CD1">
        <w:t xml:space="preserve"> </w:t>
      </w:r>
      <w:r w:rsidR="00862C7B">
        <w:t>for</w:t>
      </w:r>
      <w:r w:rsidRPr="000D3CD1">
        <w:t xml:space="preserve"> combating </w:t>
      </w:r>
      <w:r w:rsidR="00862C7B">
        <w:t>female genital mutilation</w:t>
      </w:r>
      <w:r w:rsidR="00862C7B" w:rsidRPr="000D3CD1">
        <w:t xml:space="preserve"> </w:t>
      </w:r>
      <w:r w:rsidRPr="000D3CD1">
        <w:t>in a generation, and urging its full implementation</w:t>
      </w:r>
      <w:r w:rsidR="00862C7B">
        <w:t>,</w:t>
      </w:r>
    </w:p>
    <w:p w14:paraId="2172EEBE" w14:textId="77777777" w:rsidR="00D67878" w:rsidRPr="000D3CD1" w:rsidRDefault="00D67878" w:rsidP="00D67878">
      <w:pPr>
        <w:pStyle w:val="SingleTxtG"/>
      </w:pPr>
      <w:r>
        <w:tab/>
      </w:r>
      <w:r w:rsidRPr="000D3CD1">
        <w:rPr>
          <w:i/>
        </w:rPr>
        <w:t>Noting</w:t>
      </w:r>
      <w:r w:rsidRPr="000D3CD1">
        <w:t xml:space="preserve"> the developments taking place in the Sudan and the record of the Government of the Sudan in the promotion and protection of human rights, </w:t>
      </w:r>
    </w:p>
    <w:p w14:paraId="513DBB60" w14:textId="519D74D2" w:rsidR="00D67878" w:rsidRDefault="00D67878" w:rsidP="00D67878">
      <w:pPr>
        <w:pStyle w:val="SingleTxtG"/>
        <w:rPr>
          <w:color w:val="000000"/>
        </w:rPr>
      </w:pPr>
      <w:r>
        <w:tab/>
      </w:r>
      <w:r w:rsidRPr="000D3CD1">
        <w:rPr>
          <w:i/>
        </w:rPr>
        <w:t>Welcoming</w:t>
      </w:r>
      <w:r w:rsidRPr="000D3CD1">
        <w:t xml:space="preserve"> the cooperation of the Government of the Sudan during the April 2016 visit by the Independent Expert on the </w:t>
      </w:r>
      <w:r w:rsidR="00E56238">
        <w:t>s</w:t>
      </w:r>
      <w:r w:rsidRPr="000D3CD1">
        <w:t xml:space="preserve">ituation of </w:t>
      </w:r>
      <w:r w:rsidR="00E56238">
        <w:t>h</w:t>
      </w:r>
      <w:r w:rsidRPr="000D3CD1">
        <w:t xml:space="preserve">uman </w:t>
      </w:r>
      <w:r w:rsidR="00E56238">
        <w:t>r</w:t>
      </w:r>
      <w:r w:rsidRPr="000D3CD1">
        <w:t xml:space="preserve">ights in the Sudan and the November 2015 </w:t>
      </w:r>
      <w:r w:rsidR="00F51444">
        <w:t>visit by</w:t>
      </w:r>
      <w:r w:rsidR="00F51444" w:rsidRPr="000D3CD1">
        <w:t xml:space="preserve"> </w:t>
      </w:r>
      <w:r w:rsidRPr="000D3CD1">
        <w:t xml:space="preserve">the Special Rapporteur on the negative impact of unilateral coercive measures on the enjoyment of human rights, </w:t>
      </w:r>
      <w:r w:rsidRPr="000D3CD1">
        <w:rPr>
          <w:color w:val="000000"/>
        </w:rPr>
        <w:t>and encouraging further cooperation by all parties with relevant mandate holders,</w:t>
      </w:r>
    </w:p>
    <w:p w14:paraId="484A2F3C" w14:textId="38049F2E" w:rsidR="00D67878" w:rsidRPr="000D3CD1" w:rsidRDefault="00D67878" w:rsidP="000C2939">
      <w:pPr>
        <w:pStyle w:val="SingleTxtG"/>
      </w:pPr>
      <w:r>
        <w:tab/>
      </w:r>
      <w:r w:rsidRPr="000D3CD1">
        <w:rPr>
          <w:i/>
          <w:color w:val="000000"/>
        </w:rPr>
        <w:t>Welcoming</w:t>
      </w:r>
      <w:r w:rsidRPr="000D3CD1">
        <w:rPr>
          <w:color w:val="000000"/>
        </w:rPr>
        <w:t xml:space="preserve"> </w:t>
      </w:r>
      <w:r w:rsidRPr="00AD6E63">
        <w:rPr>
          <w:i/>
          <w:color w:val="000000"/>
        </w:rPr>
        <w:t>also</w:t>
      </w:r>
      <w:r w:rsidRPr="000D3CD1">
        <w:rPr>
          <w:color w:val="000000"/>
        </w:rPr>
        <w:t xml:space="preserve"> the adoption </w:t>
      </w:r>
      <w:r w:rsidR="000C2939">
        <w:rPr>
          <w:color w:val="000000"/>
        </w:rPr>
        <w:t xml:space="preserve">by the Government of the Sudan </w:t>
      </w:r>
      <w:r w:rsidRPr="000D3CD1">
        <w:rPr>
          <w:color w:val="000000"/>
        </w:rPr>
        <w:t xml:space="preserve">in March 2016 of an </w:t>
      </w:r>
      <w:r w:rsidR="003B1E2A">
        <w:rPr>
          <w:color w:val="000000"/>
        </w:rPr>
        <w:t>a</w:t>
      </w:r>
      <w:r w:rsidRPr="000D3CD1">
        <w:rPr>
          <w:color w:val="000000"/>
        </w:rPr>
        <w:t xml:space="preserve">ction </w:t>
      </w:r>
      <w:r w:rsidR="003B1E2A">
        <w:rPr>
          <w:color w:val="000000"/>
        </w:rPr>
        <w:t>p</w:t>
      </w:r>
      <w:r w:rsidRPr="000D3CD1">
        <w:rPr>
          <w:color w:val="000000"/>
        </w:rPr>
        <w:t xml:space="preserve">lan </w:t>
      </w:r>
      <w:r w:rsidR="000C2939">
        <w:rPr>
          <w:color w:val="000000"/>
        </w:rPr>
        <w:t>signed by</w:t>
      </w:r>
      <w:r w:rsidR="000C2939" w:rsidRPr="000D3CD1">
        <w:rPr>
          <w:color w:val="000000"/>
        </w:rPr>
        <w:t xml:space="preserve"> </w:t>
      </w:r>
      <w:r w:rsidRPr="000D3CD1">
        <w:rPr>
          <w:color w:val="000000"/>
        </w:rPr>
        <w:t xml:space="preserve">the Government and the United Nations to protect children in armed conflicts and </w:t>
      </w:r>
      <w:r w:rsidR="00BC1D40">
        <w:rPr>
          <w:color w:val="000000"/>
        </w:rPr>
        <w:t xml:space="preserve">to </w:t>
      </w:r>
      <w:r w:rsidRPr="000D3CD1">
        <w:rPr>
          <w:color w:val="000000"/>
          <w:shd w:val="clear" w:color="auto" w:fill="FDFDFD"/>
        </w:rPr>
        <w:t xml:space="preserve">prevent the </w:t>
      </w:r>
      <w:r>
        <w:rPr>
          <w:color w:val="000000"/>
          <w:shd w:val="clear" w:color="auto" w:fill="FDFDFD"/>
        </w:rPr>
        <w:t xml:space="preserve">illegal </w:t>
      </w:r>
      <w:r w:rsidRPr="000D3CD1">
        <w:rPr>
          <w:color w:val="000000"/>
          <w:shd w:val="clear" w:color="auto" w:fill="FDFDFD"/>
        </w:rPr>
        <w:t xml:space="preserve">recruitment and use of children by </w:t>
      </w:r>
      <w:r w:rsidR="00BC1D40">
        <w:rPr>
          <w:color w:val="000000"/>
          <w:shd w:val="clear" w:color="auto" w:fill="FDFDFD"/>
        </w:rPr>
        <w:t xml:space="preserve">the security forces of the Government of the Sudan </w:t>
      </w:r>
      <w:r w:rsidRPr="000D3CD1">
        <w:rPr>
          <w:color w:val="000000"/>
        </w:rPr>
        <w:t>by strengthening mechanisms for the protection of children</w:t>
      </w:r>
      <w:r w:rsidR="008E3FE5">
        <w:rPr>
          <w:color w:val="000000"/>
        </w:rPr>
        <w:t>,</w:t>
      </w:r>
      <w:r w:rsidRPr="000D3CD1">
        <w:rPr>
          <w:color w:val="000000"/>
        </w:rPr>
        <w:t xml:space="preserve"> and </w:t>
      </w:r>
      <w:r w:rsidRPr="000D3CD1">
        <w:t xml:space="preserve">urging its full implementation, </w:t>
      </w:r>
    </w:p>
    <w:p w14:paraId="6102F713" w14:textId="7D203F37" w:rsidR="00D67878" w:rsidRPr="000D3CD1" w:rsidRDefault="00D67878" w:rsidP="00D67878">
      <w:pPr>
        <w:pStyle w:val="SingleTxtG"/>
      </w:pPr>
      <w:r>
        <w:tab/>
      </w:r>
      <w:r w:rsidRPr="000D3CD1">
        <w:rPr>
          <w:i/>
        </w:rPr>
        <w:t>Encouraging</w:t>
      </w:r>
      <w:r w:rsidRPr="000D3CD1">
        <w:t xml:space="preserve"> the efforts of the Government of the Sudan to implement the recommendations that it accepted</w:t>
      </w:r>
      <w:r w:rsidR="00645DC1">
        <w:t xml:space="preserve"> as part of the universal periodic review process</w:t>
      </w:r>
      <w:r w:rsidRPr="000D3CD1">
        <w:t>, encouraging freedom of movement</w:t>
      </w:r>
      <w:r w:rsidR="00E32257">
        <w:t>,</w:t>
      </w:r>
      <w:r w:rsidRPr="000D3CD1">
        <w:t xml:space="preserve"> and expressing serious concern that the Government restricted the travel of individuals seeking to participate in the pre-session meeting </w:t>
      </w:r>
      <w:r w:rsidR="00E24DBE">
        <w:t xml:space="preserve">in March 2016 </w:t>
      </w:r>
      <w:r w:rsidR="00E32257">
        <w:t>relating to the</w:t>
      </w:r>
      <w:r w:rsidR="00E32257" w:rsidRPr="000D3CD1">
        <w:t xml:space="preserve"> </w:t>
      </w:r>
      <w:r w:rsidR="00E32257">
        <w:t>u</w:t>
      </w:r>
      <w:r w:rsidRPr="000D3CD1">
        <w:t xml:space="preserve">niversal </w:t>
      </w:r>
      <w:r w:rsidR="00E32257">
        <w:t>p</w:t>
      </w:r>
      <w:r w:rsidRPr="000D3CD1">
        <w:t xml:space="preserve">eriodic </w:t>
      </w:r>
      <w:r w:rsidR="00E32257">
        <w:t>r</w:t>
      </w:r>
      <w:r w:rsidRPr="000D3CD1">
        <w:t xml:space="preserve">eview of Sudan, </w:t>
      </w:r>
    </w:p>
    <w:p w14:paraId="49CD6B6B" w14:textId="77777777" w:rsidR="00D67878" w:rsidRPr="000D3CD1" w:rsidRDefault="00D67878" w:rsidP="00D67878">
      <w:pPr>
        <w:pStyle w:val="SingleTxtG"/>
      </w:pPr>
      <w:r>
        <w:tab/>
      </w:r>
      <w:r w:rsidRPr="000D3CD1">
        <w:rPr>
          <w:i/>
        </w:rPr>
        <w:t>Emphasizing</w:t>
      </w:r>
      <w:r w:rsidRPr="000D3CD1">
        <w:t xml:space="preserve"> the need to ensure that humanitarian access is available and assistance is provided to internally displaced persons, </w:t>
      </w:r>
    </w:p>
    <w:p w14:paraId="689EC7B4" w14:textId="38854FA9" w:rsidR="00D67878" w:rsidRPr="000D3CD1" w:rsidRDefault="00D67878" w:rsidP="002458D0">
      <w:pPr>
        <w:pStyle w:val="SingleTxtG"/>
      </w:pPr>
      <w:r>
        <w:tab/>
        <w:t>1.</w:t>
      </w:r>
      <w:r>
        <w:tab/>
      </w:r>
      <w:r w:rsidR="00B8689B">
        <w:rPr>
          <w:i/>
        </w:rPr>
        <w:t>Notes</w:t>
      </w:r>
      <w:r>
        <w:rPr>
          <w:i/>
        </w:rPr>
        <w:t xml:space="preserve"> </w:t>
      </w:r>
      <w:r w:rsidRPr="000D3CD1">
        <w:t xml:space="preserve">the work of the Independent Expert </w:t>
      </w:r>
      <w:r w:rsidR="000C2939">
        <w:t>on the situation of human rights in the Sudan</w:t>
      </w:r>
      <w:r w:rsidR="002458D0">
        <w:t xml:space="preserve">, </w:t>
      </w:r>
      <w:r w:rsidRPr="000D3CD1">
        <w:t xml:space="preserve">on </w:t>
      </w:r>
      <w:r w:rsidR="002458D0">
        <w:t>providing</w:t>
      </w:r>
      <w:r w:rsidRPr="000D3CD1">
        <w:t xml:space="preserve"> technical assistance to the Sudan</w:t>
      </w:r>
      <w:r>
        <w:t>;</w:t>
      </w:r>
    </w:p>
    <w:p w14:paraId="2E602A72" w14:textId="4B52F87E" w:rsidR="00D67878" w:rsidRPr="000D3CD1" w:rsidRDefault="00D67878" w:rsidP="00A34045">
      <w:pPr>
        <w:pStyle w:val="SingleTxtG"/>
      </w:pPr>
      <w:r>
        <w:tab/>
      </w:r>
      <w:r w:rsidRPr="000D3CD1">
        <w:t>2.</w:t>
      </w:r>
      <w:r>
        <w:tab/>
      </w:r>
      <w:r w:rsidRPr="000D3CD1">
        <w:rPr>
          <w:i/>
        </w:rPr>
        <w:t>Takes note</w:t>
      </w:r>
      <w:r w:rsidRPr="000D3CD1">
        <w:t xml:space="preserve"> of the </w:t>
      </w:r>
      <w:r w:rsidRPr="002458D0">
        <w:t>report of the Independent Expert submitted</w:t>
      </w:r>
      <w:r w:rsidRPr="000D3CD1">
        <w:t xml:space="preserve"> to the Human Rights Council at its thirty-third session,</w:t>
      </w:r>
      <w:r w:rsidR="003F0F90">
        <w:rPr>
          <w:rStyle w:val="FootnoteReference"/>
        </w:rPr>
        <w:footnoteReference w:id="5"/>
      </w:r>
      <w:r w:rsidR="003F0F90">
        <w:t xml:space="preserve"> </w:t>
      </w:r>
      <w:r w:rsidRPr="00A34045">
        <w:t>and of</w:t>
      </w:r>
      <w:r w:rsidRPr="009E6ABE">
        <w:t xml:space="preserve"> the comments</w:t>
      </w:r>
      <w:r w:rsidRPr="00A34045">
        <w:t xml:space="preserve"> of</w:t>
      </w:r>
      <w:r w:rsidRPr="000D3CD1">
        <w:t xml:space="preserve"> the Government of the Sudan thereon; </w:t>
      </w:r>
    </w:p>
    <w:p w14:paraId="3A491A07" w14:textId="009503C5" w:rsidR="00D67878" w:rsidRPr="000D3CD1" w:rsidRDefault="00D67878" w:rsidP="00D67878">
      <w:pPr>
        <w:pStyle w:val="SingleTxtG"/>
      </w:pPr>
      <w:r>
        <w:tab/>
        <w:t>3.</w:t>
      </w:r>
      <w:r>
        <w:tab/>
      </w:r>
      <w:r w:rsidRPr="000D3CD1">
        <w:rPr>
          <w:i/>
        </w:rPr>
        <w:t>Notes with appreciation</w:t>
      </w:r>
      <w:r w:rsidRPr="000D3CD1">
        <w:t xml:space="preserve"> the continued cooperation of the Government of the Sudan with </w:t>
      </w:r>
      <w:r w:rsidRPr="002458D0">
        <w:t>the Independent Expert</w:t>
      </w:r>
      <w:r w:rsidRPr="000D3CD1">
        <w:t xml:space="preserve"> to enable him to fulfil his mandate, and the Government’s stated commitment to continue that cooperation; </w:t>
      </w:r>
    </w:p>
    <w:p w14:paraId="21784461" w14:textId="06A42432" w:rsidR="00D67878" w:rsidRPr="00D67878" w:rsidRDefault="00D67878" w:rsidP="00E370A8">
      <w:pPr>
        <w:pStyle w:val="SingleTxtG"/>
      </w:pPr>
      <w:r>
        <w:tab/>
      </w:r>
      <w:r w:rsidRPr="000D3CD1">
        <w:t>4</w:t>
      </w:r>
      <w:r>
        <w:t>.</w:t>
      </w:r>
      <w:r>
        <w:tab/>
      </w:r>
      <w:r w:rsidRPr="000D3CD1">
        <w:rPr>
          <w:i/>
        </w:rPr>
        <w:t>Encourages</w:t>
      </w:r>
      <w:r w:rsidRPr="000D3CD1">
        <w:t xml:space="preserve"> the process of </w:t>
      </w:r>
      <w:r w:rsidR="00E370A8">
        <w:t>conducting</w:t>
      </w:r>
      <w:r w:rsidR="00E370A8" w:rsidRPr="000D3CD1">
        <w:t xml:space="preserve"> </w:t>
      </w:r>
      <w:r w:rsidRPr="000D3CD1">
        <w:t xml:space="preserve">a comprehensive, national dialogue in the Sudan </w:t>
      </w:r>
      <w:r w:rsidR="00786CF7">
        <w:t>with a view to</w:t>
      </w:r>
      <w:r w:rsidR="00786CF7" w:rsidRPr="000D3CD1">
        <w:t xml:space="preserve"> </w:t>
      </w:r>
      <w:r w:rsidRPr="000D3CD1">
        <w:t>achieving sustainable peace</w:t>
      </w:r>
      <w:r w:rsidR="00786CF7">
        <w:t>,</w:t>
      </w:r>
      <w:r w:rsidRPr="000D3CD1">
        <w:t xml:space="preserve"> and encourages all Sudanese stakeholders to ensure an environment conducive to an inclusive, transparent and credible dialogue;</w:t>
      </w:r>
    </w:p>
    <w:p w14:paraId="1DE3FBCE" w14:textId="3AF28604" w:rsidR="00D67878" w:rsidRPr="000D3CD1" w:rsidRDefault="00D67878" w:rsidP="00E370A8">
      <w:pPr>
        <w:pStyle w:val="SingleTxtG"/>
      </w:pPr>
      <w:r>
        <w:tab/>
      </w:r>
      <w:r w:rsidRPr="000D3CD1">
        <w:t>5.</w:t>
      </w:r>
      <w:r>
        <w:tab/>
      </w:r>
      <w:r w:rsidRPr="000D3CD1">
        <w:rPr>
          <w:i/>
        </w:rPr>
        <w:t>Welcomes</w:t>
      </w:r>
      <w:r w:rsidRPr="000D3CD1">
        <w:t xml:space="preserve"> the </w:t>
      </w:r>
      <w:r w:rsidR="00746537">
        <w:t xml:space="preserve">declarations by the </w:t>
      </w:r>
      <w:r w:rsidRPr="000D3CD1">
        <w:t xml:space="preserve">Government of the Sudan of cessation of hostilities in the two </w:t>
      </w:r>
      <w:r w:rsidR="006C6C32">
        <w:t>a</w:t>
      </w:r>
      <w:r w:rsidRPr="000D3CD1">
        <w:t>reas</w:t>
      </w:r>
      <w:r w:rsidR="00E370A8">
        <w:t>,</w:t>
      </w:r>
      <w:r w:rsidRPr="000D3CD1">
        <w:t xml:space="preserve"> and </w:t>
      </w:r>
      <w:r w:rsidR="00E370A8">
        <w:t xml:space="preserve">of </w:t>
      </w:r>
      <w:r w:rsidR="00746537">
        <w:t xml:space="preserve">the </w:t>
      </w:r>
      <w:r w:rsidRPr="000D3CD1">
        <w:t>end of the operations in Darfur in June 2016, and encourag</w:t>
      </w:r>
      <w:r w:rsidR="00746537">
        <w:t>es</w:t>
      </w:r>
      <w:r w:rsidRPr="000D3CD1">
        <w:t xml:space="preserve"> all </w:t>
      </w:r>
      <w:r w:rsidRPr="00A34045">
        <w:t xml:space="preserve">parties to create a conducive atmosphere </w:t>
      </w:r>
      <w:r w:rsidR="00746537" w:rsidRPr="00A34045">
        <w:t xml:space="preserve">for, </w:t>
      </w:r>
      <w:r w:rsidRPr="00A34045">
        <w:t xml:space="preserve">and </w:t>
      </w:r>
      <w:r w:rsidR="00746537" w:rsidRPr="00A34045">
        <w:t xml:space="preserve">to </w:t>
      </w:r>
      <w:r w:rsidRPr="00A34045">
        <w:t>sign</w:t>
      </w:r>
      <w:r w:rsidR="00746537" w:rsidRPr="00A34045">
        <w:t>,</w:t>
      </w:r>
      <w:r w:rsidRPr="00A34045">
        <w:t xml:space="preserve"> a permanent</w:t>
      </w:r>
      <w:r w:rsidRPr="000D3CD1">
        <w:t xml:space="preserve"> ceasefire</w:t>
      </w:r>
      <w:r w:rsidR="00746537">
        <w:t>, in order</w:t>
      </w:r>
      <w:r w:rsidRPr="000D3CD1">
        <w:t xml:space="preserve"> to achieve a lasting peace that is respected by all parties and </w:t>
      </w:r>
      <w:r w:rsidR="0069480B">
        <w:t xml:space="preserve">that </w:t>
      </w:r>
      <w:r w:rsidRPr="000D3CD1">
        <w:t xml:space="preserve">leads to a lasting improvement in the human rights situation; </w:t>
      </w:r>
    </w:p>
    <w:p w14:paraId="4E3FDB03" w14:textId="6CEBB81E" w:rsidR="00D67878" w:rsidRPr="00A34045" w:rsidRDefault="00D67878" w:rsidP="00E370A8">
      <w:pPr>
        <w:pStyle w:val="SingleTxtG"/>
      </w:pPr>
      <w:r>
        <w:tab/>
        <w:t>6.</w:t>
      </w:r>
      <w:r>
        <w:tab/>
      </w:r>
      <w:r w:rsidRPr="000D3CD1">
        <w:rPr>
          <w:i/>
        </w:rPr>
        <w:t>Recognizes</w:t>
      </w:r>
      <w:r w:rsidRPr="000D3CD1">
        <w:t xml:space="preserve"> </w:t>
      </w:r>
      <w:r w:rsidR="007651C8">
        <w:t xml:space="preserve">the efforts of the </w:t>
      </w:r>
      <w:r w:rsidRPr="000D3CD1">
        <w:t xml:space="preserve">Government of the Sudan to implement the Doha Document for Peace in Darfur, and calls on the remaining armed groups </w:t>
      </w:r>
      <w:r w:rsidR="00E370A8" w:rsidRPr="000D3CD1">
        <w:t xml:space="preserve">to </w:t>
      </w:r>
      <w:r w:rsidR="00E370A8">
        <w:t xml:space="preserve">stop fighting, to engage in the peace process and to </w:t>
      </w:r>
      <w:r w:rsidR="00E370A8" w:rsidRPr="000D3CD1">
        <w:t xml:space="preserve">negotiate </w:t>
      </w:r>
      <w:r w:rsidR="00E370A8">
        <w:t>in good faith</w:t>
      </w:r>
      <w:r w:rsidRPr="00A34045">
        <w:t>;</w:t>
      </w:r>
    </w:p>
    <w:p w14:paraId="02C1DF61" w14:textId="1FD216A6" w:rsidR="00D67878" w:rsidRPr="000D3CD1" w:rsidRDefault="00D67878" w:rsidP="00E370A8">
      <w:pPr>
        <w:pStyle w:val="SingleTxtG"/>
      </w:pPr>
      <w:r w:rsidRPr="00A34045">
        <w:tab/>
        <w:t>7.</w:t>
      </w:r>
      <w:r w:rsidRPr="00A34045">
        <w:tab/>
      </w:r>
      <w:r w:rsidR="00B8689B" w:rsidRPr="00A34045">
        <w:rPr>
          <w:i/>
        </w:rPr>
        <w:t>Notes</w:t>
      </w:r>
      <w:r w:rsidRPr="00A34045">
        <w:t xml:space="preserve"> the observation </w:t>
      </w:r>
      <w:r w:rsidR="00D70C7B" w:rsidRPr="00A34045">
        <w:t>by</w:t>
      </w:r>
      <w:r w:rsidR="00D70C7B">
        <w:t xml:space="preserve"> </w:t>
      </w:r>
      <w:r w:rsidR="00D70C7B" w:rsidRPr="002458D0">
        <w:t xml:space="preserve">the Independent Expert </w:t>
      </w:r>
      <w:r w:rsidRPr="002458D0">
        <w:t>that</w:t>
      </w:r>
      <w:r w:rsidRPr="000D3CD1">
        <w:t xml:space="preserve"> despite some progress, </w:t>
      </w:r>
      <w:r w:rsidR="00D70C7B">
        <w:t xml:space="preserve">the </w:t>
      </w:r>
      <w:r w:rsidRPr="000D3CD1">
        <w:t xml:space="preserve">relevant parties have yet to implement many of the recommendations </w:t>
      </w:r>
      <w:r w:rsidR="00E370A8">
        <w:t>made in his report to the Human Rights Council at its thirt</w:t>
      </w:r>
      <w:r w:rsidR="006A2B4D">
        <w:t>ieth</w:t>
      </w:r>
      <w:r w:rsidR="00E370A8">
        <w:t xml:space="preserve"> session</w:t>
      </w:r>
      <w:r w:rsidRPr="00A34045">
        <w:t>, which include</w:t>
      </w:r>
      <w:r w:rsidRPr="000D3CD1">
        <w:t xml:space="preserve">d the following: </w:t>
      </w:r>
      <w:r w:rsidR="006E1EFE">
        <w:t>for</w:t>
      </w:r>
      <w:r w:rsidR="00E370A8">
        <w:t> </w:t>
      </w:r>
      <w:r w:rsidRPr="000D3CD1">
        <w:t xml:space="preserve">the </w:t>
      </w:r>
      <w:r w:rsidRPr="000D3CD1">
        <w:lastRenderedPageBreak/>
        <w:t xml:space="preserve">Government of the Sudan </w:t>
      </w:r>
      <w:r w:rsidR="006E1EFE">
        <w:t xml:space="preserve">to </w:t>
      </w:r>
      <w:r w:rsidRPr="000D3CD1">
        <w:t>continue deepening its efforts to combat impunity</w:t>
      </w:r>
      <w:r w:rsidR="006E1EFE">
        <w:t>,</w:t>
      </w:r>
      <w:r w:rsidRPr="000D3CD1">
        <w:t xml:space="preserve"> </w:t>
      </w:r>
      <w:r w:rsidR="006E1EFE">
        <w:t xml:space="preserve">to </w:t>
      </w:r>
      <w:r w:rsidRPr="000D3CD1">
        <w:t xml:space="preserve">prevent the unlawful interference of government in </w:t>
      </w:r>
      <w:r w:rsidR="006E1EFE">
        <w:t xml:space="preserve">the </w:t>
      </w:r>
      <w:r w:rsidRPr="000D3CD1">
        <w:t>activities of civil society</w:t>
      </w:r>
      <w:r w:rsidR="006E1EFE">
        <w:t>,</w:t>
      </w:r>
      <w:r w:rsidRPr="000D3CD1">
        <w:t xml:space="preserve"> </w:t>
      </w:r>
      <w:r w:rsidR="00ED0AFA">
        <w:t xml:space="preserve">for the Government </w:t>
      </w:r>
      <w:r w:rsidR="006E1EFE">
        <w:t xml:space="preserve">to </w:t>
      </w:r>
      <w:r w:rsidRPr="000D3CD1">
        <w:t>provide to the National Commission for Human Rights additional financial resources necessary to fulfil its mandate</w:t>
      </w:r>
      <w:r w:rsidR="006E1EFE">
        <w:t>, to</w:t>
      </w:r>
      <w:r w:rsidRPr="000D3CD1">
        <w:t xml:space="preserve"> continue its effort</w:t>
      </w:r>
      <w:r w:rsidR="006E1EFE">
        <w:t>s</w:t>
      </w:r>
      <w:r w:rsidRPr="000D3CD1">
        <w:t xml:space="preserve"> in the national dialogue to realize an inclusive, transparent process</w:t>
      </w:r>
      <w:r w:rsidR="006E1EFE">
        <w:t>,</w:t>
      </w:r>
      <w:r w:rsidRPr="000D3CD1">
        <w:t xml:space="preserve"> </w:t>
      </w:r>
      <w:r w:rsidR="006E1EFE">
        <w:t xml:space="preserve">and to </w:t>
      </w:r>
      <w:r w:rsidRPr="000D3CD1">
        <w:t xml:space="preserve">work with all partners to facilitate humanitarian assistance; </w:t>
      </w:r>
      <w:r w:rsidR="006E1EFE">
        <w:t>for</w:t>
      </w:r>
      <w:r w:rsidR="006E1EFE" w:rsidRPr="000D3CD1">
        <w:t xml:space="preserve"> </w:t>
      </w:r>
      <w:r w:rsidRPr="000D3CD1">
        <w:t xml:space="preserve">the international community </w:t>
      </w:r>
      <w:r w:rsidR="006E1EFE">
        <w:t xml:space="preserve">to </w:t>
      </w:r>
      <w:r w:rsidRPr="000D3CD1">
        <w:t>enhance its technical cooperation with and assistance to the Government</w:t>
      </w:r>
      <w:r w:rsidR="006E1EFE">
        <w:t>,</w:t>
      </w:r>
      <w:r w:rsidRPr="000D3CD1">
        <w:t xml:space="preserve"> </w:t>
      </w:r>
      <w:r w:rsidR="006E1EFE">
        <w:t xml:space="preserve">to </w:t>
      </w:r>
      <w:r w:rsidRPr="000D3CD1">
        <w:t>pursue efforts to support national dialogue</w:t>
      </w:r>
      <w:r w:rsidR="006E1EFE">
        <w:t>,</w:t>
      </w:r>
      <w:r w:rsidRPr="000D3CD1">
        <w:t xml:space="preserve"> </w:t>
      </w:r>
      <w:r w:rsidR="006E1EFE">
        <w:t xml:space="preserve">to </w:t>
      </w:r>
      <w:r w:rsidRPr="000D3CD1">
        <w:t>continue to work closely with civil society stakeholders</w:t>
      </w:r>
      <w:r w:rsidR="006E1EFE">
        <w:t>,</w:t>
      </w:r>
      <w:r w:rsidRPr="000D3CD1">
        <w:t xml:space="preserve"> and </w:t>
      </w:r>
      <w:r w:rsidR="006E1EFE">
        <w:t xml:space="preserve">to </w:t>
      </w:r>
      <w:r w:rsidRPr="000D3CD1">
        <w:t xml:space="preserve">provide internally displaced persons with humanitarian assistance; and </w:t>
      </w:r>
      <w:r w:rsidR="006E1EFE">
        <w:t>for</w:t>
      </w:r>
      <w:r w:rsidR="006E1EFE" w:rsidRPr="000D3CD1">
        <w:t xml:space="preserve"> </w:t>
      </w:r>
      <w:r w:rsidRPr="000D3CD1">
        <w:t xml:space="preserve">opposition armed movements in the Sudan </w:t>
      </w:r>
      <w:r w:rsidR="006E1EFE">
        <w:t xml:space="preserve">to </w:t>
      </w:r>
      <w:r w:rsidRPr="000D3CD1">
        <w:t xml:space="preserve">take concrete action towards implementing the recommendations by previous mandate holders, in particular with regard to respect </w:t>
      </w:r>
      <w:r w:rsidR="006E1EFE">
        <w:t>for</w:t>
      </w:r>
      <w:r w:rsidRPr="000D3CD1">
        <w:t xml:space="preserve"> human rights and international humanitarian law;</w:t>
      </w:r>
    </w:p>
    <w:p w14:paraId="62A3452F" w14:textId="7742D0CB" w:rsidR="00D67878" w:rsidRPr="000D3CD1" w:rsidRDefault="00D67878" w:rsidP="00D67878">
      <w:pPr>
        <w:pStyle w:val="SingleTxtG"/>
      </w:pPr>
      <w:r>
        <w:tab/>
      </w:r>
      <w:r w:rsidRPr="000D3CD1">
        <w:t>8</w:t>
      </w:r>
      <w:r>
        <w:t>.</w:t>
      </w:r>
      <w:r>
        <w:tab/>
      </w:r>
      <w:r w:rsidRPr="000D3CD1">
        <w:rPr>
          <w:i/>
        </w:rPr>
        <w:t>Commends</w:t>
      </w:r>
      <w:r w:rsidRPr="000D3CD1">
        <w:t xml:space="preserve"> the commitment of the Government of the Sudan to reinforce human rights education and to continue to incorporate human rights principles in the education system, and encourages the Government to enhance its efforts to fully implement the </w:t>
      </w:r>
      <w:r w:rsidR="008453C6">
        <w:t>n</w:t>
      </w:r>
      <w:r w:rsidRPr="000D3CD1">
        <w:t xml:space="preserve">ational </w:t>
      </w:r>
      <w:r w:rsidR="008453C6">
        <w:t>p</w:t>
      </w:r>
      <w:r w:rsidRPr="000D3CD1">
        <w:t xml:space="preserve">lan for the </w:t>
      </w:r>
      <w:r w:rsidR="008453C6">
        <w:t>p</w:t>
      </w:r>
      <w:r w:rsidRPr="000D3CD1">
        <w:t xml:space="preserve">rotection and </w:t>
      </w:r>
      <w:r w:rsidR="008453C6">
        <w:t>p</w:t>
      </w:r>
      <w:r w:rsidRPr="000D3CD1">
        <w:t xml:space="preserve">romotion of </w:t>
      </w:r>
      <w:r w:rsidR="008453C6">
        <w:t>h</w:t>
      </w:r>
      <w:r w:rsidRPr="000D3CD1">
        <w:t xml:space="preserve">uman </w:t>
      </w:r>
      <w:r w:rsidR="008453C6">
        <w:t>r</w:t>
      </w:r>
      <w:r w:rsidRPr="000D3CD1">
        <w:t xml:space="preserve">ights </w:t>
      </w:r>
      <w:r w:rsidR="008453C6">
        <w:t xml:space="preserve">for </w:t>
      </w:r>
      <w:r w:rsidRPr="000D3CD1">
        <w:t xml:space="preserve">2013-2023; </w:t>
      </w:r>
    </w:p>
    <w:p w14:paraId="2CA1F7B7" w14:textId="5500B7E9" w:rsidR="00D67878" w:rsidRPr="000D3CD1" w:rsidRDefault="00D67878" w:rsidP="00A34045">
      <w:pPr>
        <w:pStyle w:val="SingleTxtG"/>
        <w:rPr>
          <w:b/>
          <w:color w:val="00B050"/>
        </w:rPr>
      </w:pPr>
      <w:r>
        <w:tab/>
      </w:r>
      <w:r w:rsidRPr="000D3CD1">
        <w:t>9</w:t>
      </w:r>
      <w:r>
        <w:t>.</w:t>
      </w:r>
      <w:r>
        <w:tab/>
      </w:r>
      <w:r w:rsidRPr="000D3CD1">
        <w:rPr>
          <w:i/>
        </w:rPr>
        <w:t>Notes with appreciation</w:t>
      </w:r>
      <w:r w:rsidRPr="000D3CD1">
        <w:t xml:space="preserve"> the continued efforts made by the Government of the Sudan in combating human trafficking, and notes the establishment of the </w:t>
      </w:r>
      <w:r w:rsidR="00B21E9C">
        <w:t>n</w:t>
      </w:r>
      <w:r w:rsidRPr="000D3CD1">
        <w:t xml:space="preserve">ational </w:t>
      </w:r>
      <w:r w:rsidR="00B21E9C">
        <w:t>c</w:t>
      </w:r>
      <w:r w:rsidRPr="000D3CD1">
        <w:t xml:space="preserve">ommission for </w:t>
      </w:r>
      <w:r w:rsidR="00B21E9C">
        <w:t>c</w:t>
      </w:r>
      <w:r w:rsidRPr="000D3CD1">
        <w:t xml:space="preserve">ombating </w:t>
      </w:r>
      <w:r w:rsidR="00B21E9C">
        <w:t>h</w:t>
      </w:r>
      <w:r w:rsidRPr="000D3CD1">
        <w:t xml:space="preserve">uman </w:t>
      </w:r>
      <w:r w:rsidR="00B21E9C">
        <w:t>t</w:t>
      </w:r>
      <w:r w:rsidRPr="000D3CD1">
        <w:t>rafficking;</w:t>
      </w:r>
      <w:r w:rsidRPr="000D3CD1">
        <w:rPr>
          <w:b/>
          <w:color w:val="C00000"/>
        </w:rPr>
        <w:t xml:space="preserve"> </w:t>
      </w:r>
    </w:p>
    <w:p w14:paraId="5CA8F794" w14:textId="5FB52FCC" w:rsidR="00D67878" w:rsidRPr="00D67878" w:rsidRDefault="00D67878" w:rsidP="00D67878">
      <w:pPr>
        <w:pStyle w:val="SingleTxtG"/>
      </w:pPr>
      <w:r>
        <w:tab/>
      </w:r>
      <w:r w:rsidRPr="000D3CD1">
        <w:t>10.</w:t>
      </w:r>
      <w:r>
        <w:tab/>
      </w:r>
      <w:r w:rsidRPr="000D3CD1">
        <w:rPr>
          <w:i/>
        </w:rPr>
        <w:t>Notes</w:t>
      </w:r>
      <w:r w:rsidRPr="000D3CD1">
        <w:t xml:space="preserve"> the establishment of the national commission for </w:t>
      </w:r>
      <w:r w:rsidR="00BA0027">
        <w:t>c</w:t>
      </w:r>
      <w:r w:rsidRPr="000D3CD1">
        <w:t xml:space="preserve">ombating </w:t>
      </w:r>
      <w:r w:rsidR="00BA0027">
        <w:t>t</w:t>
      </w:r>
      <w:r w:rsidRPr="000D3CD1">
        <w:t>errorism;</w:t>
      </w:r>
    </w:p>
    <w:p w14:paraId="592EC946" w14:textId="66049F7D" w:rsidR="00D67878" w:rsidRPr="00D67878" w:rsidRDefault="00D67878" w:rsidP="00D67878">
      <w:pPr>
        <w:pStyle w:val="SingleTxtG"/>
      </w:pPr>
      <w:r>
        <w:tab/>
      </w:r>
      <w:r w:rsidRPr="000D3CD1">
        <w:t>11.</w:t>
      </w:r>
      <w:r>
        <w:tab/>
      </w:r>
      <w:r w:rsidR="00B8689B">
        <w:rPr>
          <w:i/>
        </w:rPr>
        <w:t>N</w:t>
      </w:r>
      <w:r w:rsidRPr="000D3CD1">
        <w:rPr>
          <w:i/>
        </w:rPr>
        <w:t>otes with appreciation</w:t>
      </w:r>
      <w:r w:rsidRPr="000D3CD1">
        <w:t xml:space="preserve"> the hosting by the Sudan of hundreds of thousands of refugees from neighbo</w:t>
      </w:r>
      <w:r w:rsidR="00B8689B">
        <w:t>u</w:t>
      </w:r>
      <w:r w:rsidRPr="000D3CD1">
        <w:t xml:space="preserve">ring </w:t>
      </w:r>
      <w:r w:rsidR="00117DF3">
        <w:t xml:space="preserve">countries </w:t>
      </w:r>
      <w:r w:rsidRPr="000D3CD1">
        <w:t xml:space="preserve">and </w:t>
      </w:r>
      <w:r w:rsidR="00117DF3">
        <w:t xml:space="preserve">countries in the </w:t>
      </w:r>
      <w:r w:rsidRPr="000D3CD1">
        <w:t xml:space="preserve">region; </w:t>
      </w:r>
    </w:p>
    <w:p w14:paraId="72EC5A78" w14:textId="77777777" w:rsidR="00D67878" w:rsidRPr="000D3CD1" w:rsidRDefault="00D67878" w:rsidP="00D67878">
      <w:pPr>
        <w:pStyle w:val="SingleTxtG"/>
      </w:pPr>
      <w:r>
        <w:tab/>
      </w:r>
      <w:r w:rsidRPr="000D3CD1">
        <w:t>12</w:t>
      </w:r>
      <w:r>
        <w:t>.</w:t>
      </w:r>
      <w:r>
        <w:tab/>
      </w:r>
      <w:r w:rsidRPr="000D3CD1">
        <w:rPr>
          <w:i/>
        </w:rPr>
        <w:t>Encourages</w:t>
      </w:r>
      <w:r w:rsidRPr="000D3CD1">
        <w:t xml:space="preserve"> the Government of the Sudan to further promote and protect the right to freedom of religion or belief, and in this respect to comply with its constitutional and international obligations; </w:t>
      </w:r>
    </w:p>
    <w:p w14:paraId="705797D7" w14:textId="77777777" w:rsidR="00D67878" w:rsidRPr="000D3CD1" w:rsidRDefault="00D67878" w:rsidP="00D67878">
      <w:pPr>
        <w:pStyle w:val="SingleTxtG"/>
      </w:pPr>
      <w:r>
        <w:tab/>
      </w:r>
      <w:r w:rsidRPr="000D3CD1">
        <w:t>13</w:t>
      </w:r>
      <w:r>
        <w:t>.</w:t>
      </w:r>
      <w:r>
        <w:tab/>
      </w:r>
      <w:r w:rsidRPr="000D3CD1">
        <w:rPr>
          <w:i/>
        </w:rPr>
        <w:t>Stresses</w:t>
      </w:r>
      <w:r w:rsidRPr="000D3CD1">
        <w:t xml:space="preserve"> that conducting investigations into alleged human rights abuses and violations by all parties and holding perpetrators </w:t>
      </w:r>
      <w:proofErr w:type="gramStart"/>
      <w:r w:rsidRPr="000D3CD1">
        <w:t>accountable</w:t>
      </w:r>
      <w:proofErr w:type="gramEnd"/>
      <w:r w:rsidRPr="000D3CD1">
        <w:t xml:space="preserve"> needs to be a foremost priority of the Government of the Sudan; </w:t>
      </w:r>
    </w:p>
    <w:p w14:paraId="6B6902D2" w14:textId="79901CCD" w:rsidR="00D67878" w:rsidRPr="000D3CD1" w:rsidRDefault="00D67878" w:rsidP="00D67878">
      <w:pPr>
        <w:pStyle w:val="SingleTxtG"/>
      </w:pPr>
      <w:r>
        <w:tab/>
      </w:r>
      <w:r w:rsidRPr="000D3CD1">
        <w:t>14</w:t>
      </w:r>
      <w:r>
        <w:t>.</w:t>
      </w:r>
      <w:r>
        <w:tab/>
      </w:r>
      <w:r w:rsidRPr="000D3CD1">
        <w:rPr>
          <w:i/>
        </w:rPr>
        <w:t>Expresses serious concern</w:t>
      </w:r>
      <w:r w:rsidRPr="000D3CD1">
        <w:t xml:space="preserve"> at reports of the closure of some non-governmental organizations and restrictions on the media, pre- and post-publication censorship, </w:t>
      </w:r>
      <w:r w:rsidR="00493F1B">
        <w:t xml:space="preserve">the </w:t>
      </w:r>
      <w:r w:rsidRPr="000D3CD1">
        <w:t>seizure of newspapers</w:t>
      </w:r>
      <w:r w:rsidR="00420FB3">
        <w:t xml:space="preserve"> and</w:t>
      </w:r>
      <w:r w:rsidRPr="000D3CD1">
        <w:t xml:space="preserve"> the banning of some journalists, and </w:t>
      </w:r>
      <w:r w:rsidR="00420FB3">
        <w:t xml:space="preserve">at reports of </w:t>
      </w:r>
      <w:r w:rsidRPr="000D3CD1">
        <w:t xml:space="preserve">violations of the rights to freedom of expression, freedom of association and peaceful assembly, including of </w:t>
      </w:r>
      <w:r w:rsidRPr="00313ECA">
        <w:t>students, human rights defenders and members</w:t>
      </w:r>
      <w:r w:rsidRPr="000D3CD1">
        <w:t xml:space="preserve"> of civil society organizations;</w:t>
      </w:r>
    </w:p>
    <w:p w14:paraId="369E2BE6" w14:textId="2E61DE1B" w:rsidR="00D67878" w:rsidRPr="000D3CD1" w:rsidRDefault="00D67878" w:rsidP="00E370A8">
      <w:pPr>
        <w:pStyle w:val="SingleTxtG"/>
      </w:pPr>
      <w:r>
        <w:tab/>
      </w:r>
      <w:r w:rsidRPr="000D3CD1">
        <w:t>15</w:t>
      </w:r>
      <w:r>
        <w:t>.</w:t>
      </w:r>
      <w:r>
        <w:tab/>
      </w:r>
      <w:r w:rsidRPr="000D3CD1">
        <w:rPr>
          <w:i/>
        </w:rPr>
        <w:t>Urges</w:t>
      </w:r>
      <w:r w:rsidRPr="000D3CD1">
        <w:t xml:space="preserve"> the Government of the Sudan to ensure safeguards against arbitrary arrests or detentions and to respect the human rights of all individuals</w:t>
      </w:r>
      <w:r w:rsidR="00E73AB8">
        <w:t>, and</w:t>
      </w:r>
      <w:r w:rsidRPr="000D3CD1">
        <w:t xml:space="preserve"> expresses serious concern about </w:t>
      </w:r>
      <w:r w:rsidR="00E370A8">
        <w:t>alleged cases of</w:t>
      </w:r>
      <w:r w:rsidRPr="000D3CD1">
        <w:t xml:space="preserve"> arbitrary arrest and detention, including of students, human rights defenders and members of civil society organizations;</w:t>
      </w:r>
    </w:p>
    <w:p w14:paraId="6D06E8E6" w14:textId="7EEA0E48" w:rsidR="00D67878" w:rsidRPr="000D3CD1" w:rsidRDefault="00D67878" w:rsidP="00A34045">
      <w:pPr>
        <w:pStyle w:val="SingleTxtG"/>
      </w:pPr>
      <w:r>
        <w:tab/>
      </w:r>
      <w:r w:rsidRPr="000D3CD1">
        <w:t>16</w:t>
      </w:r>
      <w:r>
        <w:t>.</w:t>
      </w:r>
      <w:r>
        <w:tab/>
      </w:r>
      <w:r w:rsidRPr="000D3CD1">
        <w:rPr>
          <w:i/>
        </w:rPr>
        <w:t xml:space="preserve">Condemns </w:t>
      </w:r>
      <w:r w:rsidRPr="000D3CD1">
        <w:t xml:space="preserve">any party’s violations or abuses of human rights and international humanitarian law reported in </w:t>
      </w:r>
      <w:r w:rsidRPr="00AA76AE">
        <w:t>the States of</w:t>
      </w:r>
      <w:r w:rsidRPr="000D3CD1">
        <w:t xml:space="preserve"> Darfur, South</w:t>
      </w:r>
      <w:r w:rsidR="00124288">
        <w:t>ern</w:t>
      </w:r>
      <w:r w:rsidRPr="000D3CD1">
        <w:t xml:space="preserve"> </w:t>
      </w:r>
      <w:proofErr w:type="spellStart"/>
      <w:r w:rsidRPr="000D3CD1">
        <w:t>Kordofan</w:t>
      </w:r>
      <w:proofErr w:type="spellEnd"/>
      <w:r w:rsidRPr="000D3CD1">
        <w:t xml:space="preserve"> and Blue Nile, including civil</w:t>
      </w:r>
      <w:r w:rsidR="00AA76AE">
        <w:t>ian</w:t>
      </w:r>
      <w:r w:rsidRPr="000D3CD1">
        <w:t xml:space="preserve"> and humanitarian aid worker casualties, the indiscriminate bombing of </w:t>
      </w:r>
      <w:r w:rsidRPr="00A34045">
        <w:t xml:space="preserve">humanitarian facilities, </w:t>
      </w:r>
      <w:r w:rsidR="00263549" w:rsidRPr="00A34045">
        <w:t xml:space="preserve">and </w:t>
      </w:r>
      <w:r w:rsidRPr="00A34045">
        <w:t>sexual and gender-based violence, and urges all parties to resort to peace and</w:t>
      </w:r>
      <w:r w:rsidRPr="000D3CD1">
        <w:t xml:space="preserve"> </w:t>
      </w:r>
      <w:r w:rsidR="00641896">
        <w:t xml:space="preserve">to </w:t>
      </w:r>
      <w:r w:rsidRPr="000D3CD1">
        <w:t>sign a permanent ceasefire;</w:t>
      </w:r>
    </w:p>
    <w:p w14:paraId="3D21B14C" w14:textId="453B3C23" w:rsidR="00D67878" w:rsidRPr="000D3CD1" w:rsidRDefault="00D67878" w:rsidP="00D67878">
      <w:pPr>
        <w:pStyle w:val="SingleTxtG"/>
      </w:pPr>
      <w:r>
        <w:tab/>
      </w:r>
      <w:r w:rsidRPr="000D3CD1">
        <w:t>17</w:t>
      </w:r>
      <w:r>
        <w:t>.</w:t>
      </w:r>
      <w:r>
        <w:tab/>
      </w:r>
      <w:proofErr w:type="gramStart"/>
      <w:r w:rsidRPr="000D3CD1">
        <w:rPr>
          <w:i/>
        </w:rPr>
        <w:t>Urges</w:t>
      </w:r>
      <w:proofErr w:type="gramEnd"/>
      <w:r w:rsidRPr="000D3CD1">
        <w:t xml:space="preserve"> the Government of the Sudan to investigate allegations of human rights violations in the camps for internally displaced persons</w:t>
      </w:r>
      <w:r w:rsidR="00641896">
        <w:t>,</w:t>
      </w:r>
      <w:r w:rsidRPr="000D3CD1">
        <w:t xml:space="preserve"> wi</w:t>
      </w:r>
      <w:r w:rsidR="003F0F90">
        <w:t xml:space="preserve">th a view to ending </w:t>
      </w:r>
      <w:r w:rsidR="00641896">
        <w:t xml:space="preserve">such </w:t>
      </w:r>
      <w:r w:rsidR="003F0F90">
        <w:t>violations;</w:t>
      </w:r>
    </w:p>
    <w:p w14:paraId="509B8042" w14:textId="7690945F" w:rsidR="003F0F90" w:rsidRPr="000D3CD1" w:rsidRDefault="00D67878" w:rsidP="00AA76AE">
      <w:pPr>
        <w:pStyle w:val="SingleTxtG"/>
      </w:pPr>
      <w:r>
        <w:tab/>
      </w:r>
      <w:r w:rsidRPr="000D3CD1">
        <w:t>18</w:t>
      </w:r>
      <w:r>
        <w:t>.</w:t>
      </w:r>
      <w:r>
        <w:tab/>
      </w:r>
      <w:r w:rsidRPr="000D3CD1">
        <w:rPr>
          <w:i/>
        </w:rPr>
        <w:t>Encourages</w:t>
      </w:r>
      <w:r w:rsidRPr="000D3CD1">
        <w:t xml:space="preserve"> all parties to </w:t>
      </w:r>
      <w:r w:rsidR="00AA76AE" w:rsidRPr="000D3CD1">
        <w:t xml:space="preserve">facilitate access to populations in need of </w:t>
      </w:r>
      <w:r w:rsidR="00AA76AE">
        <w:t xml:space="preserve">humanitarian </w:t>
      </w:r>
      <w:r w:rsidR="00AA76AE" w:rsidRPr="000D3CD1">
        <w:t>assistance</w:t>
      </w:r>
      <w:r w:rsidRPr="000D3CD1">
        <w:t>, and encourages the Government of the Sudan to intensify its endeavo</w:t>
      </w:r>
      <w:r w:rsidR="00B8689B">
        <w:t>u</w:t>
      </w:r>
      <w:r w:rsidRPr="000D3CD1">
        <w:t>rs to address humanitarian needs in conflict-affec</w:t>
      </w:r>
      <w:r w:rsidR="003F0F90">
        <w:t>ted areas;</w:t>
      </w:r>
    </w:p>
    <w:p w14:paraId="78944109" w14:textId="5DC772C5" w:rsidR="00D67878" w:rsidRPr="000D3CD1" w:rsidRDefault="00D67878" w:rsidP="00D67878">
      <w:pPr>
        <w:pStyle w:val="SingleTxtG"/>
      </w:pPr>
      <w:r>
        <w:tab/>
      </w:r>
      <w:r w:rsidRPr="000D3CD1">
        <w:t>19</w:t>
      </w:r>
      <w:r>
        <w:t>.</w:t>
      </w:r>
      <w:r>
        <w:tab/>
      </w:r>
      <w:r w:rsidRPr="000D3CD1">
        <w:rPr>
          <w:i/>
        </w:rPr>
        <w:t>Encourages</w:t>
      </w:r>
      <w:r w:rsidRPr="000D3CD1">
        <w:t xml:space="preserve"> the Government of the Sudan to ratify international </w:t>
      </w:r>
      <w:r w:rsidR="00AA76AE">
        <w:t xml:space="preserve">human rights </w:t>
      </w:r>
      <w:r w:rsidRPr="000D3CD1">
        <w:t xml:space="preserve">instruments, as supported by the Government during </w:t>
      </w:r>
      <w:r w:rsidR="00912181">
        <w:t>the</w:t>
      </w:r>
      <w:r w:rsidR="00912181" w:rsidRPr="000D3CD1">
        <w:t xml:space="preserve"> </w:t>
      </w:r>
      <w:r w:rsidRPr="000D3CD1">
        <w:t xml:space="preserve">universal periodic review </w:t>
      </w:r>
      <w:r w:rsidR="00912181">
        <w:t>of the Sudan</w:t>
      </w:r>
      <w:r w:rsidRPr="000D3CD1">
        <w:t xml:space="preserve">; </w:t>
      </w:r>
    </w:p>
    <w:p w14:paraId="6A8FE709" w14:textId="61F2CB05" w:rsidR="00D67878" w:rsidRPr="000D3CD1" w:rsidRDefault="00D67878" w:rsidP="00D67878">
      <w:pPr>
        <w:pStyle w:val="SingleTxtG"/>
      </w:pPr>
      <w:r>
        <w:tab/>
      </w:r>
      <w:r w:rsidRPr="000D3CD1">
        <w:t>2</w:t>
      </w:r>
      <w:r w:rsidRPr="00AA76AE">
        <w:t>0.</w:t>
      </w:r>
      <w:r w:rsidRPr="00AA76AE">
        <w:tab/>
      </w:r>
      <w:r w:rsidRPr="00AA76AE">
        <w:rPr>
          <w:i/>
        </w:rPr>
        <w:t>Encourages</w:t>
      </w:r>
      <w:r w:rsidRPr="00AA76AE">
        <w:t xml:space="preserve"> the</w:t>
      </w:r>
      <w:r w:rsidRPr="000D3CD1">
        <w:t xml:space="preserve"> commitment of the Government of the Sudan to comprehensive national legal reform initiatives to guarantee further full compliance of the State with its constitutional and international human rights obligations, such as provisions of the Criminal Act</w:t>
      </w:r>
      <w:r w:rsidR="00247E48">
        <w:t>, of</w:t>
      </w:r>
      <w:r w:rsidRPr="000D3CD1">
        <w:t xml:space="preserve"> 1991, including those which redefine the offence of rape and dissociate it from adultery</w:t>
      </w:r>
      <w:r w:rsidR="00247E48">
        <w:t>,</w:t>
      </w:r>
      <w:r w:rsidRPr="000D3CD1">
        <w:t xml:space="preserve"> and </w:t>
      </w:r>
      <w:r w:rsidR="00CD797D">
        <w:t xml:space="preserve">those </w:t>
      </w:r>
      <w:r w:rsidRPr="000D3CD1">
        <w:t xml:space="preserve">which introduce the offence of sexual harassment; the </w:t>
      </w:r>
      <w:r w:rsidRPr="00A34045">
        <w:t xml:space="preserve">promulgation and implementation of the Act on Combating Human Trafficking and </w:t>
      </w:r>
      <w:r w:rsidR="00CD797D" w:rsidRPr="00EC22E6">
        <w:t xml:space="preserve">the </w:t>
      </w:r>
      <w:r w:rsidRPr="00A34045">
        <w:t>Smuggling of Persons, the</w:t>
      </w:r>
      <w:r w:rsidRPr="000D3CD1">
        <w:t xml:space="preserve"> Anti-Corruption Act</w:t>
      </w:r>
      <w:r w:rsidR="00ED2C66">
        <w:t>,</w:t>
      </w:r>
      <w:r w:rsidR="00247E48">
        <w:t xml:space="preserve"> and</w:t>
      </w:r>
      <w:r w:rsidRPr="000D3CD1">
        <w:t xml:space="preserve"> the Act on the Rights of Persons with Disabilities; and the revision of the Press Act, the Community Protection Law</w:t>
      </w:r>
      <w:r w:rsidR="00AA76AE">
        <w:t xml:space="preserve"> at the state level,</w:t>
      </w:r>
      <w:r w:rsidRPr="000D3CD1">
        <w:t xml:space="preserve"> and the National Security Act; </w:t>
      </w:r>
    </w:p>
    <w:p w14:paraId="2D9F2C59" w14:textId="2FFB1010" w:rsidR="00D67878" w:rsidRPr="00E62F4F" w:rsidRDefault="00D67878" w:rsidP="00AA76AE">
      <w:pPr>
        <w:pStyle w:val="SingleTxtG"/>
      </w:pPr>
      <w:r>
        <w:tab/>
      </w:r>
      <w:r w:rsidRPr="000D3CD1">
        <w:t>21</w:t>
      </w:r>
      <w:r>
        <w:t>.</w:t>
      </w:r>
      <w:r>
        <w:tab/>
      </w:r>
      <w:r w:rsidRPr="000D3CD1">
        <w:rPr>
          <w:i/>
        </w:rPr>
        <w:t>Urges</w:t>
      </w:r>
      <w:r w:rsidRPr="000D3CD1">
        <w:t xml:space="preserve"> Member States, the United Nations High Commissioner for Human Rights, relevant United Nations agencies and other stakeholders to support the efforts of the Government of the Sudan in accordance with the present resolution with a view to further improving the </w:t>
      </w:r>
      <w:r w:rsidR="005278AD">
        <w:t>human rights situation</w:t>
      </w:r>
      <w:r w:rsidRPr="000D3CD1">
        <w:t xml:space="preserve"> in the country</w:t>
      </w:r>
      <w:r w:rsidR="00466F0D">
        <w:t>,</w:t>
      </w:r>
      <w:r w:rsidRPr="000D3CD1">
        <w:t xml:space="preserve"> by responding to the Government’s </w:t>
      </w:r>
      <w:r w:rsidRPr="00E62F4F">
        <w:t xml:space="preserve">requests for technical assistance;  </w:t>
      </w:r>
    </w:p>
    <w:p w14:paraId="4E751145" w14:textId="01AC2688" w:rsidR="00D67878" w:rsidRPr="000D3CD1" w:rsidRDefault="00D67878" w:rsidP="00AA76AE">
      <w:pPr>
        <w:pStyle w:val="SingleTxtG"/>
      </w:pPr>
      <w:r w:rsidRPr="00E62F4F">
        <w:tab/>
        <w:t>22.</w:t>
      </w:r>
      <w:r w:rsidRPr="00E62F4F">
        <w:tab/>
      </w:r>
      <w:r w:rsidRPr="00E62F4F">
        <w:rPr>
          <w:i/>
        </w:rPr>
        <w:t>Requests</w:t>
      </w:r>
      <w:r w:rsidRPr="00E62F4F">
        <w:t xml:space="preserve"> the Office of the High Commissioner, taking into account the recommendations of the Independent Expert, to provide technical assistance and capacity</w:t>
      </w:r>
      <w:r w:rsidR="00466F0D" w:rsidRPr="00E62F4F">
        <w:t>-</w:t>
      </w:r>
      <w:r w:rsidRPr="00E62F4F">
        <w:t xml:space="preserve">building in response to the </w:t>
      </w:r>
      <w:r w:rsidR="00AA76AE" w:rsidRPr="00E62F4F">
        <w:t>request from the Government of the Sudan for support</w:t>
      </w:r>
      <w:r w:rsidRPr="00E62F4F">
        <w:t xml:space="preserve"> on ways to improve the </w:t>
      </w:r>
      <w:r w:rsidR="00466F0D" w:rsidRPr="00E62F4F">
        <w:t>human rights situation</w:t>
      </w:r>
      <w:r w:rsidRPr="00E62F4F">
        <w:t xml:space="preserve"> in the country </w:t>
      </w:r>
      <w:r w:rsidR="00507888">
        <w:t xml:space="preserve">and </w:t>
      </w:r>
      <w:r w:rsidRPr="00E62F4F">
        <w:t>with a view to providing support for the country to fulfil its human rights obligations, including specifically assistance with</w:t>
      </w:r>
      <w:r w:rsidRPr="000D3CD1">
        <w:t xml:space="preserve"> the legal reforms under way in the country </w:t>
      </w:r>
      <w:r w:rsidR="00466F0D">
        <w:t xml:space="preserve">as </w:t>
      </w:r>
      <w:r w:rsidRPr="000D3CD1">
        <w:t xml:space="preserve">described in paragraph 20 above so as to help to reconcile those laws with the international obligations of the Sudan; </w:t>
      </w:r>
    </w:p>
    <w:p w14:paraId="7C247415" w14:textId="65FE338A" w:rsidR="00D67878" w:rsidRPr="000D3CD1" w:rsidRDefault="00D67878" w:rsidP="00D67878">
      <w:pPr>
        <w:pStyle w:val="SingleTxtG"/>
      </w:pPr>
      <w:r>
        <w:tab/>
      </w:r>
      <w:r w:rsidRPr="000D3CD1">
        <w:t>23</w:t>
      </w:r>
      <w:r>
        <w:t>.</w:t>
      </w:r>
      <w:r>
        <w:tab/>
      </w:r>
      <w:r w:rsidR="001E2616">
        <w:rPr>
          <w:i/>
        </w:rPr>
        <w:t>Notes</w:t>
      </w:r>
      <w:r w:rsidRPr="000D3CD1">
        <w:t xml:space="preserve"> the </w:t>
      </w:r>
      <w:r w:rsidR="00367B9F">
        <w:t>human rights situation and the security situation</w:t>
      </w:r>
      <w:r w:rsidRPr="000D3CD1">
        <w:t xml:space="preserve"> in conflict-</w:t>
      </w:r>
      <w:r w:rsidR="00367B9F">
        <w:t>affected</w:t>
      </w:r>
      <w:r w:rsidR="00367B9F" w:rsidRPr="000D3CD1">
        <w:t xml:space="preserve"> </w:t>
      </w:r>
      <w:r w:rsidRPr="000D3CD1">
        <w:t xml:space="preserve">areas, particularly in the Darfur region and </w:t>
      </w:r>
      <w:r w:rsidR="00AA76AE">
        <w:t xml:space="preserve">in </w:t>
      </w:r>
      <w:r w:rsidRPr="000D3CD1">
        <w:t xml:space="preserve">the States of Southern </w:t>
      </w:r>
      <w:proofErr w:type="spellStart"/>
      <w:r w:rsidRPr="000D3CD1">
        <w:t>Kordofan</w:t>
      </w:r>
      <w:proofErr w:type="spellEnd"/>
      <w:r w:rsidRPr="000D3CD1">
        <w:t xml:space="preserve"> and Blue Nile, and the profound</w:t>
      </w:r>
      <w:r w:rsidR="00367B9F">
        <w:t>ly</w:t>
      </w:r>
      <w:r w:rsidRPr="000D3CD1">
        <w:t xml:space="preserve"> negative impact of this on civilians, in particular women and children, and encourages the </w:t>
      </w:r>
      <w:r w:rsidR="00367B9F">
        <w:t>Government of the Sudan</w:t>
      </w:r>
      <w:r w:rsidR="00367B9F" w:rsidRPr="000D3CD1">
        <w:t xml:space="preserve"> </w:t>
      </w:r>
      <w:r w:rsidRPr="000D3CD1">
        <w:t xml:space="preserve">to continue its cooperation </w:t>
      </w:r>
      <w:r w:rsidR="00367B9F">
        <w:t xml:space="preserve">in order </w:t>
      </w:r>
      <w:r w:rsidRPr="000D3CD1">
        <w:t>to facilitate the visits of the I</w:t>
      </w:r>
      <w:r w:rsidR="00367B9F">
        <w:t xml:space="preserve">ndependent </w:t>
      </w:r>
      <w:r w:rsidRPr="000D3CD1">
        <w:t>E</w:t>
      </w:r>
      <w:r w:rsidR="00367B9F">
        <w:t>xpert</w:t>
      </w:r>
      <w:r w:rsidRPr="000D3CD1">
        <w:t xml:space="preserve"> to conflict zones</w:t>
      </w:r>
      <w:r w:rsidR="00367B9F">
        <w:t>,</w:t>
      </w:r>
      <w:r w:rsidRPr="000D3CD1">
        <w:t xml:space="preserve"> in fulfilment of </w:t>
      </w:r>
      <w:r w:rsidR="00367B9F">
        <w:t>his</w:t>
      </w:r>
      <w:r w:rsidR="00367B9F" w:rsidRPr="000D3CD1">
        <w:t xml:space="preserve"> </w:t>
      </w:r>
      <w:r w:rsidRPr="000D3CD1">
        <w:t xml:space="preserve">mandate; </w:t>
      </w:r>
    </w:p>
    <w:p w14:paraId="1D8638AD" w14:textId="2C782A69" w:rsidR="00D67878" w:rsidRPr="00D67878" w:rsidRDefault="00D67878" w:rsidP="00313ECA">
      <w:pPr>
        <w:pStyle w:val="SingleTxtG"/>
        <w:rPr>
          <w:color w:val="000000"/>
        </w:rPr>
      </w:pPr>
      <w:r>
        <w:tab/>
      </w:r>
      <w:r w:rsidRPr="00507888">
        <w:t>24.</w:t>
      </w:r>
      <w:r w:rsidRPr="00507888">
        <w:tab/>
      </w:r>
      <w:r w:rsidRPr="00507888">
        <w:rPr>
          <w:i/>
          <w:color w:val="000000"/>
        </w:rPr>
        <w:t xml:space="preserve">Decides </w:t>
      </w:r>
      <w:r w:rsidRPr="00EC22E6">
        <w:rPr>
          <w:color w:val="000000"/>
        </w:rPr>
        <w:t>to extend</w:t>
      </w:r>
      <w:r w:rsidRPr="00507888">
        <w:rPr>
          <w:color w:val="000000"/>
        </w:rPr>
        <w:t xml:space="preserve"> by one</w:t>
      </w:r>
      <w:r w:rsidRPr="000D3CD1">
        <w:rPr>
          <w:color w:val="000000"/>
        </w:rPr>
        <w:t xml:space="preserve"> </w:t>
      </w:r>
      <w:r w:rsidRPr="00313ECA">
        <w:rPr>
          <w:color w:val="000000"/>
        </w:rPr>
        <w:t>year the mandate of the Independent Expert</w:t>
      </w:r>
      <w:r w:rsidR="006A2B4D">
        <w:rPr>
          <w:color w:val="000000"/>
        </w:rPr>
        <w:t xml:space="preserve"> as Independent Expert </w:t>
      </w:r>
      <w:r w:rsidRPr="00313ECA">
        <w:rPr>
          <w:color w:val="000000"/>
        </w:rPr>
        <w:t xml:space="preserve">on the </w:t>
      </w:r>
      <w:r w:rsidR="006A2B4D">
        <w:rPr>
          <w:color w:val="000000"/>
        </w:rPr>
        <w:t>p</w:t>
      </w:r>
      <w:r w:rsidR="006A2B4D" w:rsidRPr="00313ECA">
        <w:rPr>
          <w:color w:val="000000"/>
        </w:rPr>
        <w:t xml:space="preserve">rovision </w:t>
      </w:r>
      <w:r w:rsidRPr="00313ECA">
        <w:rPr>
          <w:color w:val="000000"/>
        </w:rPr>
        <w:t xml:space="preserve">of technical assistance for the Sudan, and requests the Independent Expert to report </w:t>
      </w:r>
      <w:r w:rsidR="00945D70" w:rsidRPr="00313ECA">
        <w:rPr>
          <w:color w:val="000000"/>
        </w:rPr>
        <w:t xml:space="preserve">to the Council </w:t>
      </w:r>
      <w:r w:rsidRPr="00313ECA">
        <w:rPr>
          <w:color w:val="000000"/>
        </w:rPr>
        <w:t xml:space="preserve">on the implementation of his mandate </w:t>
      </w:r>
      <w:r w:rsidR="00945D70" w:rsidRPr="00313ECA">
        <w:rPr>
          <w:color w:val="000000"/>
        </w:rPr>
        <w:t>as regards</w:t>
      </w:r>
      <w:r w:rsidRPr="00313ECA">
        <w:rPr>
          <w:color w:val="000000"/>
        </w:rPr>
        <w:t xml:space="preserve"> </w:t>
      </w:r>
      <w:r w:rsidR="00945D70" w:rsidRPr="00313ECA">
        <w:rPr>
          <w:color w:val="000000"/>
        </w:rPr>
        <w:t xml:space="preserve">technical assistance and capacity-building </w:t>
      </w:r>
      <w:r w:rsidRPr="00313ECA">
        <w:rPr>
          <w:color w:val="000000"/>
        </w:rPr>
        <w:t>needs</w:t>
      </w:r>
      <w:r w:rsidR="00945D70" w:rsidRPr="00313ECA">
        <w:rPr>
          <w:color w:val="000000"/>
        </w:rPr>
        <w:t>,</w:t>
      </w:r>
      <w:r w:rsidRPr="00313ECA">
        <w:rPr>
          <w:color w:val="000000"/>
        </w:rPr>
        <w:t xml:space="preserve"> at its thirty-sixth session, </w:t>
      </w:r>
      <w:r w:rsidR="00945D70" w:rsidRPr="00313ECA">
        <w:rPr>
          <w:color w:val="000000"/>
        </w:rPr>
        <w:t xml:space="preserve">under agenda item 10, </w:t>
      </w:r>
      <w:r w:rsidRPr="00313ECA">
        <w:rPr>
          <w:color w:val="000000"/>
        </w:rPr>
        <w:t>and to engage</w:t>
      </w:r>
      <w:r w:rsidRPr="000D3CD1">
        <w:rPr>
          <w:color w:val="000000"/>
        </w:rPr>
        <w:t xml:space="preserve"> in a constructive manner with the Government of the Sudan, civil society and other relevant stakeholders for the further improvement of the </w:t>
      </w:r>
      <w:r w:rsidR="005E01B1">
        <w:rPr>
          <w:color w:val="000000"/>
        </w:rPr>
        <w:t>human rights situation</w:t>
      </w:r>
      <w:r w:rsidRPr="000D3CD1">
        <w:rPr>
          <w:color w:val="000000"/>
        </w:rPr>
        <w:t xml:space="preserve"> in the country;</w:t>
      </w:r>
    </w:p>
    <w:p w14:paraId="4138FFD1" w14:textId="77777777" w:rsidR="00D67878" w:rsidRPr="000D3CD1" w:rsidRDefault="00D67878" w:rsidP="00D67878">
      <w:pPr>
        <w:pStyle w:val="SingleTxtG"/>
      </w:pPr>
      <w:r>
        <w:tab/>
      </w:r>
      <w:r w:rsidRPr="000D3CD1">
        <w:t>25</w:t>
      </w:r>
      <w:r>
        <w:t>.</w:t>
      </w:r>
      <w:r>
        <w:tab/>
      </w:r>
      <w:r w:rsidRPr="000D3CD1">
        <w:rPr>
          <w:i/>
        </w:rPr>
        <w:t>Calls upon</w:t>
      </w:r>
      <w:r w:rsidRPr="000D3CD1">
        <w:t xml:space="preserve"> the Government of the Sudan to continue its full cooperation with </w:t>
      </w:r>
      <w:r w:rsidRPr="00E370A8">
        <w:t>the Independent Expert and to</w:t>
      </w:r>
      <w:r w:rsidRPr="000D3CD1">
        <w:t xml:space="preserve"> continue to permit effective access to visit all areas of the country, and to meet with all relevant actors; </w:t>
      </w:r>
    </w:p>
    <w:p w14:paraId="42BACCE4" w14:textId="6C723CF7" w:rsidR="00F704E1" w:rsidRDefault="00D67878" w:rsidP="00D67878">
      <w:pPr>
        <w:pStyle w:val="SingleTxtG"/>
      </w:pPr>
      <w:r>
        <w:tab/>
      </w:r>
      <w:r w:rsidRPr="000D3CD1">
        <w:t>26</w:t>
      </w:r>
      <w:r>
        <w:t>.</w:t>
      </w:r>
      <w:r>
        <w:tab/>
      </w:r>
      <w:r w:rsidRPr="000D3CD1">
        <w:rPr>
          <w:i/>
        </w:rPr>
        <w:t>Requests</w:t>
      </w:r>
      <w:r w:rsidRPr="000D3CD1">
        <w:t xml:space="preserve"> the High Commissioner to provide all necessary financial and human resources support to the Independent Expert </w:t>
      </w:r>
      <w:r w:rsidR="009C7CCF">
        <w:t>for</w:t>
      </w:r>
      <w:r w:rsidRPr="000D3CD1">
        <w:t xml:space="preserve"> the implement</w:t>
      </w:r>
      <w:r w:rsidRPr="00A34045">
        <w:t>ation of the mandate</w:t>
      </w:r>
      <w:r w:rsidR="00F704E1">
        <w:t>;</w:t>
      </w:r>
    </w:p>
    <w:p w14:paraId="7599C37E" w14:textId="77777777" w:rsidR="00F704E1" w:rsidRDefault="00F704E1">
      <w:pPr>
        <w:suppressAutoHyphens w:val="0"/>
        <w:spacing w:line="240" w:lineRule="auto"/>
      </w:pPr>
      <w:r>
        <w:br w:type="page"/>
      </w:r>
    </w:p>
    <w:p w14:paraId="13532A1C" w14:textId="77777777" w:rsidR="00D67878" w:rsidRPr="000D3CD1" w:rsidRDefault="00D67878" w:rsidP="00D67878">
      <w:pPr>
        <w:pStyle w:val="SingleTxtG"/>
      </w:pPr>
      <w:r>
        <w:tab/>
      </w:r>
      <w:r w:rsidRPr="000D3CD1">
        <w:t>27</w:t>
      </w:r>
      <w:r>
        <w:t>.</w:t>
      </w:r>
      <w:r>
        <w:tab/>
      </w:r>
      <w:r w:rsidRPr="000D3CD1">
        <w:rPr>
          <w:i/>
        </w:rPr>
        <w:t>Calls upon</w:t>
      </w:r>
      <w:r w:rsidRPr="000D3CD1">
        <w:t xml:space="preserve"> the Government of the Sudan to continue to cooperate with the Office of the High Commissioner in the implementation of the present resolution; </w:t>
      </w:r>
    </w:p>
    <w:p w14:paraId="7883417F" w14:textId="77777777" w:rsidR="00915F4E" w:rsidRPr="00D67878" w:rsidRDefault="00D67878" w:rsidP="00D67878">
      <w:pPr>
        <w:pStyle w:val="SingleTxtG"/>
      </w:pPr>
      <w:r>
        <w:tab/>
      </w:r>
      <w:r w:rsidRPr="000D3CD1">
        <w:t>28</w:t>
      </w:r>
      <w:r>
        <w:t>.</w:t>
      </w:r>
      <w:r>
        <w:tab/>
      </w:r>
      <w:r w:rsidRPr="000D3CD1">
        <w:rPr>
          <w:i/>
        </w:rPr>
        <w:t>Decides</w:t>
      </w:r>
      <w:r w:rsidRPr="000D3CD1">
        <w:t xml:space="preserve"> to consider this issue under agenda item 10.</w:t>
      </w:r>
    </w:p>
    <w:p w14:paraId="5E74905C" w14:textId="77777777" w:rsidR="00FE7BB7" w:rsidRPr="006D46DC" w:rsidRDefault="006D46DC" w:rsidP="006D46DC">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FE7BB7" w:rsidRPr="006D46DC" w:rsidSect="001758F3">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D490A" w14:textId="77777777" w:rsidR="005E01B1" w:rsidRDefault="005E01B1"/>
  </w:endnote>
  <w:endnote w:type="continuationSeparator" w:id="0">
    <w:p w14:paraId="02076915" w14:textId="77777777" w:rsidR="005E01B1" w:rsidRDefault="005E01B1"/>
  </w:endnote>
  <w:endnote w:type="continuationNotice" w:id="1">
    <w:p w14:paraId="301D31F8" w14:textId="77777777" w:rsidR="005E01B1" w:rsidRDefault="005E01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A326B" w14:textId="77777777" w:rsidR="005E01B1" w:rsidRPr="001D18FE" w:rsidRDefault="005E01B1" w:rsidP="001D18FE">
    <w:pPr>
      <w:pStyle w:val="Footer"/>
      <w:tabs>
        <w:tab w:val="right" w:pos="9638"/>
      </w:tabs>
    </w:pPr>
    <w:r w:rsidRPr="001D18FE">
      <w:rPr>
        <w:b/>
        <w:sz w:val="18"/>
      </w:rPr>
      <w:fldChar w:fldCharType="begin"/>
    </w:r>
    <w:r w:rsidRPr="001D18FE">
      <w:rPr>
        <w:b/>
        <w:sz w:val="18"/>
      </w:rPr>
      <w:instrText xml:space="preserve"> PAGE  \* MERGEFORMAT </w:instrText>
    </w:r>
    <w:r w:rsidRPr="001D18FE">
      <w:rPr>
        <w:b/>
        <w:sz w:val="18"/>
      </w:rPr>
      <w:fldChar w:fldCharType="separate"/>
    </w:r>
    <w:r w:rsidR="0045430E">
      <w:rPr>
        <w:b/>
        <w:noProof/>
        <w:sz w:val="18"/>
      </w:rPr>
      <w:t>2</w:t>
    </w:r>
    <w:r w:rsidRPr="001D18F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406EE" w14:textId="77777777" w:rsidR="005E01B1" w:rsidRPr="001D18FE" w:rsidRDefault="005E01B1" w:rsidP="001D18FE">
    <w:pPr>
      <w:pStyle w:val="Footer"/>
      <w:tabs>
        <w:tab w:val="right" w:pos="9638"/>
      </w:tabs>
      <w:rPr>
        <w:b/>
        <w:sz w:val="18"/>
      </w:rPr>
    </w:pPr>
    <w:r>
      <w:tab/>
    </w:r>
    <w:r w:rsidRPr="001D18FE">
      <w:rPr>
        <w:b/>
        <w:sz w:val="18"/>
      </w:rPr>
      <w:fldChar w:fldCharType="begin"/>
    </w:r>
    <w:r w:rsidRPr="001D18FE">
      <w:rPr>
        <w:b/>
        <w:sz w:val="18"/>
      </w:rPr>
      <w:instrText xml:space="preserve"> PAGE  \* MERGEFORMAT </w:instrText>
    </w:r>
    <w:r w:rsidRPr="001D18FE">
      <w:rPr>
        <w:b/>
        <w:sz w:val="18"/>
      </w:rPr>
      <w:fldChar w:fldCharType="separate"/>
    </w:r>
    <w:r w:rsidR="0045430E">
      <w:rPr>
        <w:b/>
        <w:noProof/>
        <w:sz w:val="18"/>
      </w:rPr>
      <w:t>5</w:t>
    </w:r>
    <w:r w:rsidRPr="001D18F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DA433" w14:textId="1CB0C842" w:rsidR="0045430E" w:rsidRDefault="0045430E" w:rsidP="0045430E">
    <w:pPr>
      <w:pStyle w:val="Footer"/>
    </w:pPr>
    <w:r>
      <w:rPr>
        <w:rFonts w:ascii="C39T30Lfz" w:hAnsi="C39T30Lfz"/>
        <w:noProof/>
        <w:sz w:val="56"/>
        <w:lang w:eastAsia="zh-CN"/>
      </w:rPr>
      <w:drawing>
        <wp:anchor distT="0" distB="0" distL="114300" distR="114300" simplePos="0" relativeHeight="251660288" behindDoc="0" locked="0" layoutInCell="1" allowOverlap="1" wp14:anchorId="288F0C9D" wp14:editId="37DB3B0F">
          <wp:simplePos x="0" y="0"/>
          <wp:positionH relativeFrom="margin">
            <wp:posOffset>5489575</wp:posOffset>
          </wp:positionH>
          <wp:positionV relativeFrom="margin">
            <wp:posOffset>8081645</wp:posOffset>
          </wp:positionV>
          <wp:extent cx="638175" cy="638175"/>
          <wp:effectExtent l="0" t="0" r="9525" b="9525"/>
          <wp:wrapNone/>
          <wp:docPr id="2" name="Picture 1" descr="http://undocs.org/m2/QRCode.ashx?DS=A/HRC/33/L.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3/L.4&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057D69" w14:textId="27B3F261" w:rsidR="0045430E" w:rsidRDefault="0045430E" w:rsidP="0045430E">
    <w:pPr>
      <w:pStyle w:val="Footer"/>
      <w:ind w:right="1134"/>
      <w:rPr>
        <w:sz w:val="20"/>
      </w:rPr>
    </w:pPr>
    <w:r>
      <w:rPr>
        <w:sz w:val="20"/>
      </w:rPr>
      <w:t>GE.16-16671(E)</w:t>
    </w:r>
  </w:p>
  <w:p w14:paraId="3D664031" w14:textId="44FF4EF6" w:rsidR="0045430E" w:rsidRPr="0045430E" w:rsidRDefault="0045430E" w:rsidP="0045430E">
    <w:pPr>
      <w:pStyle w:val="Footer"/>
      <w:ind w:right="1134"/>
      <w:rPr>
        <w:rFonts w:ascii="C39T30Lfz" w:hAnsi="C39T30Lfz"/>
        <w:sz w:val="56"/>
      </w:rPr>
    </w:pPr>
    <w:r w:rsidRPr="00DA43F5">
      <w:rPr>
        <w:rFonts w:ascii="C39T30Lfz" w:hAnsi="C39T30Lfz"/>
        <w:noProof/>
        <w:sz w:val="56"/>
        <w:u w:val="single"/>
      </w:rPr>
      <w:drawing>
        <wp:anchor distT="0" distB="0" distL="114300" distR="114300" simplePos="0" relativeHeight="251659264" behindDoc="0" locked="0" layoutInCell="1" allowOverlap="1" wp14:anchorId="27A02102" wp14:editId="11851C0C">
          <wp:simplePos x="0" y="0"/>
          <wp:positionH relativeFrom="margin">
            <wp:posOffset>4340860</wp:posOffset>
          </wp:positionH>
          <wp:positionV relativeFrom="margin">
            <wp:posOffset>8402320</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41F69" w14:textId="77777777" w:rsidR="005E01B1" w:rsidRPr="000B175B" w:rsidRDefault="005E01B1" w:rsidP="000B175B">
      <w:pPr>
        <w:tabs>
          <w:tab w:val="right" w:pos="2155"/>
        </w:tabs>
        <w:spacing w:after="80"/>
        <w:ind w:left="680"/>
        <w:rPr>
          <w:u w:val="single"/>
        </w:rPr>
      </w:pPr>
      <w:r>
        <w:rPr>
          <w:u w:val="single"/>
        </w:rPr>
        <w:tab/>
      </w:r>
    </w:p>
  </w:footnote>
  <w:footnote w:type="continuationSeparator" w:id="0">
    <w:p w14:paraId="47AE941D" w14:textId="77777777" w:rsidR="005E01B1" w:rsidRPr="00FC68B7" w:rsidRDefault="005E01B1" w:rsidP="00FC68B7">
      <w:pPr>
        <w:tabs>
          <w:tab w:val="left" w:pos="2155"/>
        </w:tabs>
        <w:spacing w:after="80"/>
        <w:ind w:left="680"/>
        <w:rPr>
          <w:u w:val="single"/>
        </w:rPr>
      </w:pPr>
      <w:r>
        <w:rPr>
          <w:u w:val="single"/>
        </w:rPr>
        <w:tab/>
      </w:r>
    </w:p>
  </w:footnote>
  <w:footnote w:type="continuationNotice" w:id="1">
    <w:p w14:paraId="14FA141A" w14:textId="77777777" w:rsidR="005E01B1" w:rsidRDefault="005E01B1"/>
  </w:footnote>
  <w:footnote w:id="2">
    <w:p w14:paraId="4CD9632F" w14:textId="77777777" w:rsidR="005E01B1" w:rsidRPr="00AA1FDA" w:rsidRDefault="005E01B1">
      <w:pPr>
        <w:pStyle w:val="FootnoteText"/>
      </w:pPr>
      <w:r>
        <w:rPr>
          <w:rStyle w:val="FootnoteReference"/>
        </w:rPr>
        <w:tab/>
      </w:r>
      <w:r w:rsidRPr="00AA1FDA">
        <w:rPr>
          <w:rStyle w:val="FootnoteReference"/>
          <w:sz w:val="20"/>
          <w:vertAlign w:val="baseline"/>
        </w:rPr>
        <w:t>*</w:t>
      </w:r>
      <w:r w:rsidRPr="00AA1FDA">
        <w:rPr>
          <w:rStyle w:val="FootnoteReference"/>
          <w:sz w:val="20"/>
          <w:vertAlign w:val="baseline"/>
        </w:rPr>
        <w:tab/>
      </w:r>
      <w:r w:rsidRPr="00AA1FDA">
        <w:t>On behalf of the States Members of the United Nations that are members of the Group of African States.</w:t>
      </w:r>
    </w:p>
  </w:footnote>
  <w:footnote w:id="3">
    <w:p w14:paraId="4ABECEBA" w14:textId="77777777" w:rsidR="005E01B1" w:rsidRPr="00AA1FDA" w:rsidRDefault="005E01B1">
      <w:pPr>
        <w:pStyle w:val="FootnoteText"/>
      </w:pPr>
      <w:r w:rsidRPr="00AA1FDA">
        <w:tab/>
      </w:r>
      <w:r w:rsidRPr="00AA1FDA">
        <w:rPr>
          <w:rStyle w:val="FootnoteReference"/>
        </w:rPr>
        <w:t>†</w:t>
      </w:r>
      <w:r w:rsidRPr="00AA1FDA">
        <w:tab/>
        <w:t>State not a member of the Human Rights Council.</w:t>
      </w:r>
    </w:p>
  </w:footnote>
  <w:footnote w:id="4">
    <w:p w14:paraId="150D8872" w14:textId="77777777" w:rsidR="005E01B1" w:rsidRDefault="005E01B1">
      <w:pPr>
        <w:pStyle w:val="FootnoteText"/>
      </w:pPr>
      <w:r w:rsidRPr="00AA1FDA">
        <w:tab/>
      </w:r>
      <w:r w:rsidRPr="00AA1FDA">
        <w:rPr>
          <w:rStyle w:val="FootnoteReference"/>
        </w:rPr>
        <w:t>‡</w:t>
      </w:r>
      <w:r w:rsidRPr="00AA1FDA">
        <w:rPr>
          <w:rStyle w:val="FootnoteReference"/>
        </w:rPr>
        <w:tab/>
      </w:r>
      <w:r w:rsidRPr="00AA1FDA">
        <w:t>On behalf of the States Members of the United Nations that are members of the Group of Arab States.</w:t>
      </w:r>
    </w:p>
  </w:footnote>
  <w:footnote w:id="5">
    <w:p w14:paraId="43382CD8" w14:textId="02D5237D" w:rsidR="005E01B1" w:rsidRPr="003F0F90" w:rsidRDefault="005E01B1" w:rsidP="003F0F90">
      <w:pPr>
        <w:pStyle w:val="FootnoteText"/>
        <w:widowControl w:val="0"/>
        <w:tabs>
          <w:tab w:val="clear" w:pos="1021"/>
          <w:tab w:val="right" w:pos="1020"/>
        </w:tabs>
        <w:rPr>
          <w:lang w:val="fr-CH"/>
        </w:rPr>
      </w:pPr>
      <w:r>
        <w:tab/>
      </w:r>
      <w:r w:rsidRPr="00A34045">
        <w:rPr>
          <w:rStyle w:val="FootnoteReference"/>
        </w:rPr>
        <w:footnoteRef/>
      </w:r>
      <w:r w:rsidRPr="00A34045">
        <w:tab/>
      </w:r>
      <w:proofErr w:type="gramStart"/>
      <w:r w:rsidRPr="00A34045">
        <w:t>A/HRC/33/65.</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88B96" w14:textId="77777777" w:rsidR="005E01B1" w:rsidRPr="001D18FE" w:rsidRDefault="005E01B1">
    <w:pPr>
      <w:pStyle w:val="Header"/>
    </w:pPr>
    <w:r>
      <w:t>A/HRC/33/L.4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E40EF" w14:textId="77777777" w:rsidR="005E01B1" w:rsidRPr="001D18FE" w:rsidRDefault="005E01B1" w:rsidP="001D18FE">
    <w:pPr>
      <w:pStyle w:val="Header"/>
      <w:jc w:val="right"/>
    </w:pPr>
    <w:r>
      <w:t>A/HRC/33/L.4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9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FE"/>
    <w:rsid w:val="000030F5"/>
    <w:rsid w:val="000044BA"/>
    <w:rsid w:val="00007F7F"/>
    <w:rsid w:val="00012F43"/>
    <w:rsid w:val="00022DB5"/>
    <w:rsid w:val="000358F6"/>
    <w:rsid w:val="00037E2A"/>
    <w:rsid w:val="000403D1"/>
    <w:rsid w:val="000434CF"/>
    <w:rsid w:val="000449AA"/>
    <w:rsid w:val="00050F6B"/>
    <w:rsid w:val="00052CA5"/>
    <w:rsid w:val="00053F4C"/>
    <w:rsid w:val="00072C8C"/>
    <w:rsid w:val="00073E70"/>
    <w:rsid w:val="00081968"/>
    <w:rsid w:val="000876EB"/>
    <w:rsid w:val="00091419"/>
    <w:rsid w:val="000931C0"/>
    <w:rsid w:val="000A03F8"/>
    <w:rsid w:val="000B175B"/>
    <w:rsid w:val="000B3A0F"/>
    <w:rsid w:val="000B4A3B"/>
    <w:rsid w:val="000C2939"/>
    <w:rsid w:val="000D1851"/>
    <w:rsid w:val="000E0415"/>
    <w:rsid w:val="000E42B9"/>
    <w:rsid w:val="000F3302"/>
    <w:rsid w:val="00101F24"/>
    <w:rsid w:val="001140EA"/>
    <w:rsid w:val="00117DF3"/>
    <w:rsid w:val="00124288"/>
    <w:rsid w:val="001367F4"/>
    <w:rsid w:val="00146D32"/>
    <w:rsid w:val="001509BA"/>
    <w:rsid w:val="001758F3"/>
    <w:rsid w:val="00190FA7"/>
    <w:rsid w:val="00191CE1"/>
    <w:rsid w:val="001B4B04"/>
    <w:rsid w:val="001C506F"/>
    <w:rsid w:val="001C6663"/>
    <w:rsid w:val="001C70AA"/>
    <w:rsid w:val="001C7895"/>
    <w:rsid w:val="001D18FE"/>
    <w:rsid w:val="001D26DF"/>
    <w:rsid w:val="001E2616"/>
    <w:rsid w:val="001E2790"/>
    <w:rsid w:val="001F721E"/>
    <w:rsid w:val="00211E0B"/>
    <w:rsid w:val="00211E72"/>
    <w:rsid w:val="00214047"/>
    <w:rsid w:val="00214157"/>
    <w:rsid w:val="00215F91"/>
    <w:rsid w:val="00217485"/>
    <w:rsid w:val="0022130F"/>
    <w:rsid w:val="002262B1"/>
    <w:rsid w:val="00237785"/>
    <w:rsid w:val="002410DD"/>
    <w:rsid w:val="00241466"/>
    <w:rsid w:val="002458D0"/>
    <w:rsid w:val="00247E48"/>
    <w:rsid w:val="00253D58"/>
    <w:rsid w:val="002576C6"/>
    <w:rsid w:val="00257F84"/>
    <w:rsid w:val="00262A33"/>
    <w:rsid w:val="00263549"/>
    <w:rsid w:val="00271B64"/>
    <w:rsid w:val="0027530E"/>
    <w:rsid w:val="0027725F"/>
    <w:rsid w:val="00281A12"/>
    <w:rsid w:val="00287D9C"/>
    <w:rsid w:val="002900CA"/>
    <w:rsid w:val="002C21F0"/>
    <w:rsid w:val="002C7FF5"/>
    <w:rsid w:val="002D07F6"/>
    <w:rsid w:val="002D3FCC"/>
    <w:rsid w:val="002E145E"/>
    <w:rsid w:val="00302026"/>
    <w:rsid w:val="003101AA"/>
    <w:rsid w:val="003107FA"/>
    <w:rsid w:val="003134BC"/>
    <w:rsid w:val="00313ECA"/>
    <w:rsid w:val="0031464D"/>
    <w:rsid w:val="00322686"/>
    <w:rsid w:val="003229D8"/>
    <w:rsid w:val="00323453"/>
    <w:rsid w:val="003314D1"/>
    <w:rsid w:val="00335A2F"/>
    <w:rsid w:val="00341937"/>
    <w:rsid w:val="00367B9F"/>
    <w:rsid w:val="00372AA9"/>
    <w:rsid w:val="00386016"/>
    <w:rsid w:val="0039277A"/>
    <w:rsid w:val="003972E0"/>
    <w:rsid w:val="003975ED"/>
    <w:rsid w:val="003B1E2A"/>
    <w:rsid w:val="003C2CC4"/>
    <w:rsid w:val="003D4B23"/>
    <w:rsid w:val="003F0F90"/>
    <w:rsid w:val="003F31D3"/>
    <w:rsid w:val="00404C8D"/>
    <w:rsid w:val="00414570"/>
    <w:rsid w:val="00420FB3"/>
    <w:rsid w:val="004248E6"/>
    <w:rsid w:val="00424C80"/>
    <w:rsid w:val="004250CF"/>
    <w:rsid w:val="004325CB"/>
    <w:rsid w:val="004325EC"/>
    <w:rsid w:val="0044022F"/>
    <w:rsid w:val="004403BA"/>
    <w:rsid w:val="0044503A"/>
    <w:rsid w:val="00446DE4"/>
    <w:rsid w:val="00447761"/>
    <w:rsid w:val="00447FCF"/>
    <w:rsid w:val="00451EC3"/>
    <w:rsid w:val="0045430E"/>
    <w:rsid w:val="00455C08"/>
    <w:rsid w:val="00466F0D"/>
    <w:rsid w:val="004721B1"/>
    <w:rsid w:val="004859EC"/>
    <w:rsid w:val="00493F1B"/>
    <w:rsid w:val="004947A9"/>
    <w:rsid w:val="00496A15"/>
    <w:rsid w:val="004B75D2"/>
    <w:rsid w:val="004D1140"/>
    <w:rsid w:val="004E16E9"/>
    <w:rsid w:val="004F55ED"/>
    <w:rsid w:val="00505AE6"/>
    <w:rsid w:val="00505EEC"/>
    <w:rsid w:val="00506882"/>
    <w:rsid w:val="00507888"/>
    <w:rsid w:val="00510AE3"/>
    <w:rsid w:val="0052176C"/>
    <w:rsid w:val="005261E5"/>
    <w:rsid w:val="005278AD"/>
    <w:rsid w:val="005420F2"/>
    <w:rsid w:val="00542574"/>
    <w:rsid w:val="005436AB"/>
    <w:rsid w:val="00546DBF"/>
    <w:rsid w:val="00552E7C"/>
    <w:rsid w:val="00553D76"/>
    <w:rsid w:val="005552B5"/>
    <w:rsid w:val="0056117B"/>
    <w:rsid w:val="00565E00"/>
    <w:rsid w:val="00567B4E"/>
    <w:rsid w:val="00571365"/>
    <w:rsid w:val="005B3DB3"/>
    <w:rsid w:val="005B408F"/>
    <w:rsid w:val="005B6E48"/>
    <w:rsid w:val="005E01B1"/>
    <w:rsid w:val="005E1712"/>
    <w:rsid w:val="00611FC4"/>
    <w:rsid w:val="0061455C"/>
    <w:rsid w:val="00616560"/>
    <w:rsid w:val="006176FB"/>
    <w:rsid w:val="00627187"/>
    <w:rsid w:val="00640B26"/>
    <w:rsid w:val="00641896"/>
    <w:rsid w:val="00645DC1"/>
    <w:rsid w:val="006477DD"/>
    <w:rsid w:val="00661A47"/>
    <w:rsid w:val="00670741"/>
    <w:rsid w:val="00671700"/>
    <w:rsid w:val="00690F34"/>
    <w:rsid w:val="0069480B"/>
    <w:rsid w:val="00696BD6"/>
    <w:rsid w:val="006A2B4D"/>
    <w:rsid w:val="006A6B9D"/>
    <w:rsid w:val="006A7392"/>
    <w:rsid w:val="006B3189"/>
    <w:rsid w:val="006B7D65"/>
    <w:rsid w:val="006C6C32"/>
    <w:rsid w:val="006D46DC"/>
    <w:rsid w:val="006D53FC"/>
    <w:rsid w:val="006D5C61"/>
    <w:rsid w:val="006D6DA6"/>
    <w:rsid w:val="006E1EFE"/>
    <w:rsid w:val="006E564B"/>
    <w:rsid w:val="006E5D67"/>
    <w:rsid w:val="006E6279"/>
    <w:rsid w:val="006F13F0"/>
    <w:rsid w:val="006F5035"/>
    <w:rsid w:val="006F5874"/>
    <w:rsid w:val="0070443E"/>
    <w:rsid w:val="00704C15"/>
    <w:rsid w:val="007065EB"/>
    <w:rsid w:val="00710165"/>
    <w:rsid w:val="00720183"/>
    <w:rsid w:val="00722F17"/>
    <w:rsid w:val="007235AE"/>
    <w:rsid w:val="00724AA6"/>
    <w:rsid w:val="0072632A"/>
    <w:rsid w:val="0074200B"/>
    <w:rsid w:val="00746537"/>
    <w:rsid w:val="00755322"/>
    <w:rsid w:val="00756FB4"/>
    <w:rsid w:val="00762AB2"/>
    <w:rsid w:val="007651C8"/>
    <w:rsid w:val="00772F71"/>
    <w:rsid w:val="0077346B"/>
    <w:rsid w:val="007808C0"/>
    <w:rsid w:val="00786CF7"/>
    <w:rsid w:val="007912B8"/>
    <w:rsid w:val="0079216F"/>
    <w:rsid w:val="00796B3E"/>
    <w:rsid w:val="007A6296"/>
    <w:rsid w:val="007A67C1"/>
    <w:rsid w:val="007B690D"/>
    <w:rsid w:val="007B6BA5"/>
    <w:rsid w:val="007C1B62"/>
    <w:rsid w:val="007C3390"/>
    <w:rsid w:val="007C4F4B"/>
    <w:rsid w:val="007C6739"/>
    <w:rsid w:val="007C7275"/>
    <w:rsid w:val="007D2CDC"/>
    <w:rsid w:val="007D5327"/>
    <w:rsid w:val="007F03D9"/>
    <w:rsid w:val="007F6611"/>
    <w:rsid w:val="00811BA8"/>
    <w:rsid w:val="008155C3"/>
    <w:rsid w:val="008175E9"/>
    <w:rsid w:val="00822338"/>
    <w:rsid w:val="0082243E"/>
    <w:rsid w:val="008242D7"/>
    <w:rsid w:val="008262ED"/>
    <w:rsid w:val="008440D8"/>
    <w:rsid w:val="008453C6"/>
    <w:rsid w:val="00856CD2"/>
    <w:rsid w:val="00861BC6"/>
    <w:rsid w:val="00862C7B"/>
    <w:rsid w:val="00870250"/>
    <w:rsid w:val="00871FD5"/>
    <w:rsid w:val="008964E4"/>
    <w:rsid w:val="008979B1"/>
    <w:rsid w:val="008A6B25"/>
    <w:rsid w:val="008A6C4F"/>
    <w:rsid w:val="008C1E4D"/>
    <w:rsid w:val="008E0E46"/>
    <w:rsid w:val="008E3FE5"/>
    <w:rsid w:val="008E5187"/>
    <w:rsid w:val="008F377D"/>
    <w:rsid w:val="0090452C"/>
    <w:rsid w:val="00907C3F"/>
    <w:rsid w:val="00912181"/>
    <w:rsid w:val="009142CB"/>
    <w:rsid w:val="00915F4E"/>
    <w:rsid w:val="0092237C"/>
    <w:rsid w:val="0093707B"/>
    <w:rsid w:val="009400EB"/>
    <w:rsid w:val="009427E3"/>
    <w:rsid w:val="00945D70"/>
    <w:rsid w:val="00956D9B"/>
    <w:rsid w:val="00962CC7"/>
    <w:rsid w:val="00963CBA"/>
    <w:rsid w:val="009654B7"/>
    <w:rsid w:val="009834A1"/>
    <w:rsid w:val="009847C4"/>
    <w:rsid w:val="00990F17"/>
    <w:rsid w:val="00991261"/>
    <w:rsid w:val="009A0B83"/>
    <w:rsid w:val="009B3800"/>
    <w:rsid w:val="009C7CCF"/>
    <w:rsid w:val="009D22AC"/>
    <w:rsid w:val="009D2705"/>
    <w:rsid w:val="009D50DB"/>
    <w:rsid w:val="009E1C4E"/>
    <w:rsid w:val="009E3CB9"/>
    <w:rsid w:val="009E5238"/>
    <w:rsid w:val="009E61A4"/>
    <w:rsid w:val="009E6ABE"/>
    <w:rsid w:val="00A05E0B"/>
    <w:rsid w:val="00A10128"/>
    <w:rsid w:val="00A1427D"/>
    <w:rsid w:val="00A34045"/>
    <w:rsid w:val="00A43058"/>
    <w:rsid w:val="00A4634F"/>
    <w:rsid w:val="00A51CF3"/>
    <w:rsid w:val="00A55F06"/>
    <w:rsid w:val="00A64F79"/>
    <w:rsid w:val="00A72F22"/>
    <w:rsid w:val="00A748A6"/>
    <w:rsid w:val="00A854EA"/>
    <w:rsid w:val="00A879A4"/>
    <w:rsid w:val="00A87E95"/>
    <w:rsid w:val="00A92E29"/>
    <w:rsid w:val="00AA1FDA"/>
    <w:rsid w:val="00AA3896"/>
    <w:rsid w:val="00AA76AE"/>
    <w:rsid w:val="00AB6D2F"/>
    <w:rsid w:val="00AD09E9"/>
    <w:rsid w:val="00AD6E63"/>
    <w:rsid w:val="00AE28B7"/>
    <w:rsid w:val="00AF0576"/>
    <w:rsid w:val="00AF3829"/>
    <w:rsid w:val="00B037F0"/>
    <w:rsid w:val="00B21E9C"/>
    <w:rsid w:val="00B2327D"/>
    <w:rsid w:val="00B2718F"/>
    <w:rsid w:val="00B30179"/>
    <w:rsid w:val="00B30D91"/>
    <w:rsid w:val="00B32C6E"/>
    <w:rsid w:val="00B3317B"/>
    <w:rsid w:val="00B334DC"/>
    <w:rsid w:val="00B3631A"/>
    <w:rsid w:val="00B53013"/>
    <w:rsid w:val="00B577DB"/>
    <w:rsid w:val="00B67F5E"/>
    <w:rsid w:val="00B73E65"/>
    <w:rsid w:val="00B81E12"/>
    <w:rsid w:val="00B8689B"/>
    <w:rsid w:val="00B87110"/>
    <w:rsid w:val="00B97FA8"/>
    <w:rsid w:val="00BA0027"/>
    <w:rsid w:val="00BB133C"/>
    <w:rsid w:val="00BB3841"/>
    <w:rsid w:val="00BB3D09"/>
    <w:rsid w:val="00BB41D2"/>
    <w:rsid w:val="00BC0829"/>
    <w:rsid w:val="00BC1385"/>
    <w:rsid w:val="00BC1D40"/>
    <w:rsid w:val="00BC74E9"/>
    <w:rsid w:val="00BE618E"/>
    <w:rsid w:val="00BE74DC"/>
    <w:rsid w:val="00C13A62"/>
    <w:rsid w:val="00C24693"/>
    <w:rsid w:val="00C35F0B"/>
    <w:rsid w:val="00C416B0"/>
    <w:rsid w:val="00C463DD"/>
    <w:rsid w:val="00C64458"/>
    <w:rsid w:val="00C6596F"/>
    <w:rsid w:val="00C67838"/>
    <w:rsid w:val="00C745C3"/>
    <w:rsid w:val="00C82E1D"/>
    <w:rsid w:val="00C84B51"/>
    <w:rsid w:val="00C90392"/>
    <w:rsid w:val="00CA2A58"/>
    <w:rsid w:val="00CA3959"/>
    <w:rsid w:val="00CC0B55"/>
    <w:rsid w:val="00CD6995"/>
    <w:rsid w:val="00CD797D"/>
    <w:rsid w:val="00CE4A8F"/>
    <w:rsid w:val="00CF0214"/>
    <w:rsid w:val="00CF2967"/>
    <w:rsid w:val="00CF2AA8"/>
    <w:rsid w:val="00CF586F"/>
    <w:rsid w:val="00CF7D43"/>
    <w:rsid w:val="00D011B3"/>
    <w:rsid w:val="00D0350F"/>
    <w:rsid w:val="00D11129"/>
    <w:rsid w:val="00D11B4A"/>
    <w:rsid w:val="00D2031B"/>
    <w:rsid w:val="00D22332"/>
    <w:rsid w:val="00D25FE2"/>
    <w:rsid w:val="00D429FD"/>
    <w:rsid w:val="00D43252"/>
    <w:rsid w:val="00D51CF8"/>
    <w:rsid w:val="00D51EF4"/>
    <w:rsid w:val="00D550F9"/>
    <w:rsid w:val="00D57265"/>
    <w:rsid w:val="00D572B0"/>
    <w:rsid w:val="00D62E90"/>
    <w:rsid w:val="00D67878"/>
    <w:rsid w:val="00D70C7B"/>
    <w:rsid w:val="00D764F0"/>
    <w:rsid w:val="00D76BE5"/>
    <w:rsid w:val="00D771FD"/>
    <w:rsid w:val="00D85542"/>
    <w:rsid w:val="00D978C6"/>
    <w:rsid w:val="00DA67AD"/>
    <w:rsid w:val="00DB18CE"/>
    <w:rsid w:val="00DB2517"/>
    <w:rsid w:val="00DD39E5"/>
    <w:rsid w:val="00DE3EC0"/>
    <w:rsid w:val="00DF2B6C"/>
    <w:rsid w:val="00E11593"/>
    <w:rsid w:val="00E12B6B"/>
    <w:rsid w:val="00E130AB"/>
    <w:rsid w:val="00E24DA6"/>
    <w:rsid w:val="00E24DBE"/>
    <w:rsid w:val="00E32257"/>
    <w:rsid w:val="00E370A8"/>
    <w:rsid w:val="00E438D9"/>
    <w:rsid w:val="00E56238"/>
    <w:rsid w:val="00E5644E"/>
    <w:rsid w:val="00E60D02"/>
    <w:rsid w:val="00E62F4F"/>
    <w:rsid w:val="00E64FE8"/>
    <w:rsid w:val="00E7260F"/>
    <w:rsid w:val="00E73AB8"/>
    <w:rsid w:val="00E806EE"/>
    <w:rsid w:val="00E857F8"/>
    <w:rsid w:val="00E928D2"/>
    <w:rsid w:val="00E93E59"/>
    <w:rsid w:val="00E96630"/>
    <w:rsid w:val="00EA39B4"/>
    <w:rsid w:val="00EA5ACD"/>
    <w:rsid w:val="00EB0FB9"/>
    <w:rsid w:val="00EC22E6"/>
    <w:rsid w:val="00EC281B"/>
    <w:rsid w:val="00ED0AFA"/>
    <w:rsid w:val="00ED0CA9"/>
    <w:rsid w:val="00ED2C66"/>
    <w:rsid w:val="00ED6805"/>
    <w:rsid w:val="00ED7421"/>
    <w:rsid w:val="00ED7A2A"/>
    <w:rsid w:val="00EF1D7F"/>
    <w:rsid w:val="00EF506B"/>
    <w:rsid w:val="00EF5BDB"/>
    <w:rsid w:val="00F01679"/>
    <w:rsid w:val="00F07FD9"/>
    <w:rsid w:val="00F20B77"/>
    <w:rsid w:val="00F22266"/>
    <w:rsid w:val="00F23933"/>
    <w:rsid w:val="00F24119"/>
    <w:rsid w:val="00F30380"/>
    <w:rsid w:val="00F40E0D"/>
    <w:rsid w:val="00F40E75"/>
    <w:rsid w:val="00F41F66"/>
    <w:rsid w:val="00F42CD9"/>
    <w:rsid w:val="00F51444"/>
    <w:rsid w:val="00F52936"/>
    <w:rsid w:val="00F57DFF"/>
    <w:rsid w:val="00F62691"/>
    <w:rsid w:val="00F677CB"/>
    <w:rsid w:val="00F704E1"/>
    <w:rsid w:val="00F76B4E"/>
    <w:rsid w:val="00FA7DF3"/>
    <w:rsid w:val="00FB349E"/>
    <w:rsid w:val="00FC1EDA"/>
    <w:rsid w:val="00FC68B7"/>
    <w:rsid w:val="00FD7C12"/>
    <w:rsid w:val="00FE5FA9"/>
    <w:rsid w:val="00FE7B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14:docId w14:val="564B6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BB41D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B41D2"/>
    <w:rPr>
      <w:rFonts w:ascii="Tahoma" w:hAnsi="Tahoma" w:cs="Tahoma"/>
      <w:sz w:val="16"/>
      <w:szCs w:val="16"/>
      <w:lang w:eastAsia="en-US"/>
    </w:rPr>
  </w:style>
  <w:style w:type="character" w:styleId="CommentReference">
    <w:name w:val="annotation reference"/>
    <w:basedOn w:val="DefaultParagraphFont"/>
    <w:rsid w:val="001758F3"/>
    <w:rPr>
      <w:sz w:val="16"/>
      <w:szCs w:val="16"/>
    </w:rPr>
  </w:style>
  <w:style w:type="paragraph" w:styleId="CommentText">
    <w:name w:val="annotation text"/>
    <w:basedOn w:val="Normal"/>
    <w:link w:val="CommentTextChar"/>
    <w:rsid w:val="001758F3"/>
    <w:pPr>
      <w:spacing w:line="240" w:lineRule="auto"/>
    </w:pPr>
  </w:style>
  <w:style w:type="character" w:customStyle="1" w:styleId="CommentTextChar">
    <w:name w:val="Comment Text Char"/>
    <w:basedOn w:val="DefaultParagraphFont"/>
    <w:link w:val="CommentText"/>
    <w:rsid w:val="001758F3"/>
    <w:rPr>
      <w:lang w:eastAsia="en-US"/>
    </w:rPr>
  </w:style>
  <w:style w:type="paragraph" w:styleId="CommentSubject">
    <w:name w:val="annotation subject"/>
    <w:basedOn w:val="CommentText"/>
    <w:next w:val="CommentText"/>
    <w:link w:val="CommentSubjectChar"/>
    <w:rsid w:val="001758F3"/>
    <w:rPr>
      <w:b/>
      <w:bCs/>
    </w:rPr>
  </w:style>
  <w:style w:type="character" w:customStyle="1" w:styleId="CommentSubjectChar">
    <w:name w:val="Comment Subject Char"/>
    <w:basedOn w:val="CommentTextChar"/>
    <w:link w:val="CommentSubject"/>
    <w:rsid w:val="001758F3"/>
    <w:rPr>
      <w:b/>
      <w:bCs/>
      <w:lang w:eastAsia="en-US"/>
    </w:rPr>
  </w:style>
  <w:style w:type="character" w:customStyle="1" w:styleId="FootnoteTextChar">
    <w:name w:val="Footnote Text Char"/>
    <w:aliases w:val="5_G Char"/>
    <w:link w:val="FootnoteText"/>
    <w:uiPriority w:val="99"/>
    <w:rsid w:val="00D67878"/>
    <w:rPr>
      <w:sz w:val="18"/>
      <w:lang w:eastAsia="en-US"/>
    </w:rPr>
  </w:style>
  <w:style w:type="character" w:customStyle="1" w:styleId="en">
    <w:name w:val="en"/>
    <w:basedOn w:val="DefaultParagraphFont"/>
    <w:rsid w:val="00EA39B4"/>
  </w:style>
  <w:style w:type="character" w:customStyle="1" w:styleId="preferred">
    <w:name w:val="preferred"/>
    <w:basedOn w:val="DefaultParagraphFont"/>
    <w:rsid w:val="00704C15"/>
  </w:style>
  <w:style w:type="character" w:styleId="Emphasis">
    <w:name w:val="Emphasis"/>
    <w:basedOn w:val="DefaultParagraphFont"/>
    <w:uiPriority w:val="20"/>
    <w:qFormat/>
    <w:rsid w:val="00704C15"/>
    <w:rPr>
      <w:i/>
      <w:iCs/>
    </w:rPr>
  </w:style>
  <w:style w:type="character" w:customStyle="1" w:styleId="highlight">
    <w:name w:val="highlight"/>
    <w:basedOn w:val="DefaultParagraphFont"/>
    <w:rsid w:val="006E6279"/>
  </w:style>
  <w:style w:type="paragraph" w:styleId="Revision">
    <w:name w:val="Revision"/>
    <w:hidden/>
    <w:uiPriority w:val="99"/>
    <w:semiHidden/>
    <w:rsid w:val="00D51EF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BB41D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B41D2"/>
    <w:rPr>
      <w:rFonts w:ascii="Tahoma" w:hAnsi="Tahoma" w:cs="Tahoma"/>
      <w:sz w:val="16"/>
      <w:szCs w:val="16"/>
      <w:lang w:eastAsia="en-US"/>
    </w:rPr>
  </w:style>
  <w:style w:type="character" w:styleId="CommentReference">
    <w:name w:val="annotation reference"/>
    <w:basedOn w:val="DefaultParagraphFont"/>
    <w:rsid w:val="001758F3"/>
    <w:rPr>
      <w:sz w:val="16"/>
      <w:szCs w:val="16"/>
    </w:rPr>
  </w:style>
  <w:style w:type="paragraph" w:styleId="CommentText">
    <w:name w:val="annotation text"/>
    <w:basedOn w:val="Normal"/>
    <w:link w:val="CommentTextChar"/>
    <w:rsid w:val="001758F3"/>
    <w:pPr>
      <w:spacing w:line="240" w:lineRule="auto"/>
    </w:pPr>
  </w:style>
  <w:style w:type="character" w:customStyle="1" w:styleId="CommentTextChar">
    <w:name w:val="Comment Text Char"/>
    <w:basedOn w:val="DefaultParagraphFont"/>
    <w:link w:val="CommentText"/>
    <w:rsid w:val="001758F3"/>
    <w:rPr>
      <w:lang w:eastAsia="en-US"/>
    </w:rPr>
  </w:style>
  <w:style w:type="paragraph" w:styleId="CommentSubject">
    <w:name w:val="annotation subject"/>
    <w:basedOn w:val="CommentText"/>
    <w:next w:val="CommentText"/>
    <w:link w:val="CommentSubjectChar"/>
    <w:rsid w:val="001758F3"/>
    <w:rPr>
      <w:b/>
      <w:bCs/>
    </w:rPr>
  </w:style>
  <w:style w:type="character" w:customStyle="1" w:styleId="CommentSubjectChar">
    <w:name w:val="Comment Subject Char"/>
    <w:basedOn w:val="CommentTextChar"/>
    <w:link w:val="CommentSubject"/>
    <w:rsid w:val="001758F3"/>
    <w:rPr>
      <w:b/>
      <w:bCs/>
      <w:lang w:eastAsia="en-US"/>
    </w:rPr>
  </w:style>
  <w:style w:type="character" w:customStyle="1" w:styleId="FootnoteTextChar">
    <w:name w:val="Footnote Text Char"/>
    <w:aliases w:val="5_G Char"/>
    <w:link w:val="FootnoteText"/>
    <w:uiPriority w:val="99"/>
    <w:rsid w:val="00D67878"/>
    <w:rPr>
      <w:sz w:val="18"/>
      <w:lang w:eastAsia="en-US"/>
    </w:rPr>
  </w:style>
  <w:style w:type="character" w:customStyle="1" w:styleId="en">
    <w:name w:val="en"/>
    <w:basedOn w:val="DefaultParagraphFont"/>
    <w:rsid w:val="00EA39B4"/>
  </w:style>
  <w:style w:type="character" w:customStyle="1" w:styleId="preferred">
    <w:name w:val="preferred"/>
    <w:basedOn w:val="DefaultParagraphFont"/>
    <w:rsid w:val="00704C15"/>
  </w:style>
  <w:style w:type="character" w:styleId="Emphasis">
    <w:name w:val="Emphasis"/>
    <w:basedOn w:val="DefaultParagraphFont"/>
    <w:uiPriority w:val="20"/>
    <w:qFormat/>
    <w:rsid w:val="00704C15"/>
    <w:rPr>
      <w:i/>
      <w:iCs/>
    </w:rPr>
  </w:style>
  <w:style w:type="character" w:customStyle="1" w:styleId="highlight">
    <w:name w:val="highlight"/>
    <w:basedOn w:val="DefaultParagraphFont"/>
    <w:rsid w:val="006E6279"/>
  </w:style>
  <w:style w:type="paragraph" w:styleId="Revision">
    <w:name w:val="Revision"/>
    <w:hidden/>
    <w:uiPriority w:val="99"/>
    <w:semiHidden/>
    <w:rsid w:val="00D51EF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78791">
      <w:bodyDiv w:val="1"/>
      <w:marLeft w:val="0"/>
      <w:marRight w:val="0"/>
      <w:marTop w:val="0"/>
      <w:marBottom w:val="0"/>
      <w:divBdr>
        <w:top w:val="none" w:sz="0" w:space="0" w:color="auto"/>
        <w:left w:val="none" w:sz="0" w:space="0" w:color="auto"/>
        <w:bottom w:val="none" w:sz="0" w:space="0" w:color="auto"/>
        <w:right w:val="none" w:sz="0" w:space="0" w:color="auto"/>
      </w:divBdr>
      <w:divsChild>
        <w:div w:id="699476389">
          <w:marLeft w:val="0"/>
          <w:marRight w:val="0"/>
          <w:marTop w:val="0"/>
          <w:marBottom w:val="0"/>
          <w:divBdr>
            <w:top w:val="none" w:sz="0" w:space="0" w:color="auto"/>
            <w:left w:val="none" w:sz="0" w:space="0" w:color="auto"/>
            <w:bottom w:val="none" w:sz="0" w:space="0" w:color="auto"/>
            <w:right w:val="none" w:sz="0" w:space="0" w:color="auto"/>
          </w:divBdr>
        </w:div>
        <w:div w:id="1033653822">
          <w:marLeft w:val="0"/>
          <w:marRight w:val="0"/>
          <w:marTop w:val="0"/>
          <w:marBottom w:val="0"/>
          <w:divBdr>
            <w:top w:val="none" w:sz="0" w:space="0" w:color="auto"/>
            <w:left w:val="none" w:sz="0" w:space="0" w:color="auto"/>
            <w:bottom w:val="none" w:sz="0" w:space="0" w:color="auto"/>
            <w:right w:val="none" w:sz="0" w:space="0" w:color="auto"/>
          </w:divBdr>
        </w:div>
        <w:div w:id="1062673986">
          <w:marLeft w:val="0"/>
          <w:marRight w:val="0"/>
          <w:marTop w:val="0"/>
          <w:marBottom w:val="0"/>
          <w:divBdr>
            <w:top w:val="none" w:sz="0" w:space="0" w:color="auto"/>
            <w:left w:val="none" w:sz="0" w:space="0" w:color="auto"/>
            <w:bottom w:val="none" w:sz="0" w:space="0" w:color="auto"/>
            <w:right w:val="none" w:sz="0" w:space="0" w:color="auto"/>
          </w:divBdr>
        </w:div>
        <w:div w:id="1766685782">
          <w:marLeft w:val="0"/>
          <w:marRight w:val="0"/>
          <w:marTop w:val="0"/>
          <w:marBottom w:val="0"/>
          <w:divBdr>
            <w:top w:val="none" w:sz="0" w:space="0" w:color="auto"/>
            <w:left w:val="none" w:sz="0" w:space="0" w:color="auto"/>
            <w:bottom w:val="none" w:sz="0" w:space="0" w:color="auto"/>
            <w:right w:val="none" w:sz="0" w:space="0" w:color="auto"/>
          </w:divBdr>
        </w:div>
        <w:div w:id="324166726">
          <w:marLeft w:val="0"/>
          <w:marRight w:val="0"/>
          <w:marTop w:val="0"/>
          <w:marBottom w:val="0"/>
          <w:divBdr>
            <w:top w:val="none" w:sz="0" w:space="0" w:color="auto"/>
            <w:left w:val="none" w:sz="0" w:space="0" w:color="auto"/>
            <w:bottom w:val="none" w:sz="0" w:space="0" w:color="auto"/>
            <w:right w:val="none" w:sz="0" w:space="0" w:color="auto"/>
          </w:divBdr>
        </w:div>
        <w:div w:id="67267885">
          <w:marLeft w:val="0"/>
          <w:marRight w:val="0"/>
          <w:marTop w:val="0"/>
          <w:marBottom w:val="0"/>
          <w:divBdr>
            <w:top w:val="none" w:sz="0" w:space="0" w:color="auto"/>
            <w:left w:val="none" w:sz="0" w:space="0" w:color="auto"/>
            <w:bottom w:val="none" w:sz="0" w:space="0" w:color="auto"/>
            <w:right w:val="none" w:sz="0" w:space="0" w:color="auto"/>
          </w:divBdr>
        </w:div>
      </w:divsChild>
    </w:div>
    <w:div w:id="732435752">
      <w:bodyDiv w:val="1"/>
      <w:marLeft w:val="0"/>
      <w:marRight w:val="0"/>
      <w:marTop w:val="0"/>
      <w:marBottom w:val="0"/>
      <w:divBdr>
        <w:top w:val="none" w:sz="0" w:space="0" w:color="auto"/>
        <w:left w:val="none" w:sz="0" w:space="0" w:color="auto"/>
        <w:bottom w:val="none" w:sz="0" w:space="0" w:color="auto"/>
        <w:right w:val="none" w:sz="0" w:space="0" w:color="auto"/>
      </w:divBdr>
      <w:divsChild>
        <w:div w:id="2063402144">
          <w:marLeft w:val="0"/>
          <w:marRight w:val="0"/>
          <w:marTop w:val="0"/>
          <w:marBottom w:val="0"/>
          <w:divBdr>
            <w:top w:val="none" w:sz="0" w:space="0" w:color="auto"/>
            <w:left w:val="none" w:sz="0" w:space="0" w:color="auto"/>
            <w:bottom w:val="none" w:sz="0" w:space="0" w:color="auto"/>
            <w:right w:val="none" w:sz="0" w:space="0" w:color="auto"/>
          </w:divBdr>
        </w:div>
        <w:div w:id="2117404150">
          <w:marLeft w:val="0"/>
          <w:marRight w:val="0"/>
          <w:marTop w:val="0"/>
          <w:marBottom w:val="0"/>
          <w:divBdr>
            <w:top w:val="none" w:sz="0" w:space="0" w:color="auto"/>
            <w:left w:val="none" w:sz="0" w:space="0" w:color="auto"/>
            <w:bottom w:val="none" w:sz="0" w:space="0" w:color="auto"/>
            <w:right w:val="none" w:sz="0" w:space="0" w:color="auto"/>
          </w:divBdr>
        </w:div>
        <w:div w:id="1156841816">
          <w:marLeft w:val="0"/>
          <w:marRight w:val="0"/>
          <w:marTop w:val="0"/>
          <w:marBottom w:val="0"/>
          <w:divBdr>
            <w:top w:val="none" w:sz="0" w:space="0" w:color="auto"/>
            <w:left w:val="none" w:sz="0" w:space="0" w:color="auto"/>
            <w:bottom w:val="none" w:sz="0" w:space="0" w:color="auto"/>
            <w:right w:val="none" w:sz="0" w:space="0" w:color="auto"/>
          </w:divBdr>
        </w:div>
        <w:div w:id="292710687">
          <w:marLeft w:val="0"/>
          <w:marRight w:val="0"/>
          <w:marTop w:val="0"/>
          <w:marBottom w:val="0"/>
          <w:divBdr>
            <w:top w:val="none" w:sz="0" w:space="0" w:color="auto"/>
            <w:left w:val="none" w:sz="0" w:space="0" w:color="auto"/>
            <w:bottom w:val="none" w:sz="0" w:space="0" w:color="auto"/>
            <w:right w:val="none" w:sz="0" w:space="0" w:color="auto"/>
          </w:divBdr>
        </w:div>
        <w:div w:id="1613052931">
          <w:marLeft w:val="0"/>
          <w:marRight w:val="0"/>
          <w:marTop w:val="0"/>
          <w:marBottom w:val="0"/>
          <w:divBdr>
            <w:top w:val="none" w:sz="0" w:space="0" w:color="auto"/>
            <w:left w:val="none" w:sz="0" w:space="0" w:color="auto"/>
            <w:bottom w:val="none" w:sz="0" w:space="0" w:color="auto"/>
            <w:right w:val="none" w:sz="0" w:space="0" w:color="auto"/>
          </w:divBdr>
        </w:div>
        <w:div w:id="1518345353">
          <w:marLeft w:val="0"/>
          <w:marRight w:val="0"/>
          <w:marTop w:val="0"/>
          <w:marBottom w:val="0"/>
          <w:divBdr>
            <w:top w:val="none" w:sz="0" w:space="0" w:color="auto"/>
            <w:left w:val="none" w:sz="0" w:space="0" w:color="auto"/>
            <w:bottom w:val="none" w:sz="0" w:space="0" w:color="auto"/>
            <w:right w:val="none" w:sz="0" w:space="0" w:color="auto"/>
          </w:divBdr>
        </w:div>
        <w:div w:id="1056779602">
          <w:marLeft w:val="0"/>
          <w:marRight w:val="0"/>
          <w:marTop w:val="0"/>
          <w:marBottom w:val="0"/>
          <w:divBdr>
            <w:top w:val="none" w:sz="0" w:space="0" w:color="auto"/>
            <w:left w:val="none" w:sz="0" w:space="0" w:color="auto"/>
            <w:bottom w:val="none" w:sz="0" w:space="0" w:color="auto"/>
            <w:right w:val="none" w:sz="0" w:space="0" w:color="auto"/>
          </w:divBdr>
        </w:div>
      </w:divsChild>
    </w:div>
    <w:div w:id="1073817112">
      <w:bodyDiv w:val="1"/>
      <w:marLeft w:val="0"/>
      <w:marRight w:val="0"/>
      <w:marTop w:val="0"/>
      <w:marBottom w:val="0"/>
      <w:divBdr>
        <w:top w:val="none" w:sz="0" w:space="0" w:color="auto"/>
        <w:left w:val="none" w:sz="0" w:space="0" w:color="auto"/>
        <w:bottom w:val="none" w:sz="0" w:space="0" w:color="auto"/>
        <w:right w:val="none" w:sz="0" w:space="0" w:color="auto"/>
      </w:divBdr>
      <w:divsChild>
        <w:div w:id="134681964">
          <w:marLeft w:val="0"/>
          <w:marRight w:val="0"/>
          <w:marTop w:val="0"/>
          <w:marBottom w:val="0"/>
          <w:divBdr>
            <w:top w:val="none" w:sz="0" w:space="0" w:color="auto"/>
            <w:left w:val="none" w:sz="0" w:space="0" w:color="auto"/>
            <w:bottom w:val="none" w:sz="0" w:space="0" w:color="auto"/>
            <w:right w:val="none" w:sz="0" w:space="0" w:color="auto"/>
          </w:divBdr>
        </w:div>
        <w:div w:id="1431584584">
          <w:marLeft w:val="0"/>
          <w:marRight w:val="0"/>
          <w:marTop w:val="0"/>
          <w:marBottom w:val="0"/>
          <w:divBdr>
            <w:top w:val="none" w:sz="0" w:space="0" w:color="auto"/>
            <w:left w:val="none" w:sz="0" w:space="0" w:color="auto"/>
            <w:bottom w:val="none" w:sz="0" w:space="0" w:color="auto"/>
            <w:right w:val="none" w:sz="0" w:space="0" w:color="auto"/>
          </w:divBdr>
        </w:div>
        <w:div w:id="1079983566">
          <w:marLeft w:val="0"/>
          <w:marRight w:val="0"/>
          <w:marTop w:val="0"/>
          <w:marBottom w:val="0"/>
          <w:divBdr>
            <w:top w:val="none" w:sz="0" w:space="0" w:color="auto"/>
            <w:left w:val="none" w:sz="0" w:space="0" w:color="auto"/>
            <w:bottom w:val="none" w:sz="0" w:space="0" w:color="auto"/>
            <w:right w:val="none" w:sz="0" w:space="0" w:color="auto"/>
          </w:divBdr>
        </w:div>
        <w:div w:id="819463664">
          <w:marLeft w:val="0"/>
          <w:marRight w:val="0"/>
          <w:marTop w:val="0"/>
          <w:marBottom w:val="0"/>
          <w:divBdr>
            <w:top w:val="none" w:sz="0" w:space="0" w:color="auto"/>
            <w:left w:val="none" w:sz="0" w:space="0" w:color="auto"/>
            <w:bottom w:val="none" w:sz="0" w:space="0" w:color="auto"/>
            <w:right w:val="none" w:sz="0" w:space="0" w:color="auto"/>
          </w:divBdr>
        </w:div>
        <w:div w:id="1168136490">
          <w:marLeft w:val="0"/>
          <w:marRight w:val="0"/>
          <w:marTop w:val="0"/>
          <w:marBottom w:val="0"/>
          <w:divBdr>
            <w:top w:val="none" w:sz="0" w:space="0" w:color="auto"/>
            <w:left w:val="none" w:sz="0" w:space="0" w:color="auto"/>
            <w:bottom w:val="none" w:sz="0" w:space="0" w:color="auto"/>
            <w:right w:val="none" w:sz="0" w:space="0" w:color="auto"/>
          </w:divBdr>
        </w:div>
        <w:div w:id="811210902">
          <w:marLeft w:val="0"/>
          <w:marRight w:val="0"/>
          <w:marTop w:val="0"/>
          <w:marBottom w:val="0"/>
          <w:divBdr>
            <w:top w:val="none" w:sz="0" w:space="0" w:color="auto"/>
            <w:left w:val="none" w:sz="0" w:space="0" w:color="auto"/>
            <w:bottom w:val="none" w:sz="0" w:space="0" w:color="auto"/>
            <w:right w:val="none" w:sz="0" w:space="0" w:color="auto"/>
          </w:divBdr>
        </w:div>
      </w:divsChild>
    </w:div>
    <w:div w:id="1131095896">
      <w:bodyDiv w:val="1"/>
      <w:marLeft w:val="0"/>
      <w:marRight w:val="0"/>
      <w:marTop w:val="0"/>
      <w:marBottom w:val="0"/>
      <w:divBdr>
        <w:top w:val="none" w:sz="0" w:space="0" w:color="auto"/>
        <w:left w:val="none" w:sz="0" w:space="0" w:color="auto"/>
        <w:bottom w:val="none" w:sz="0" w:space="0" w:color="auto"/>
        <w:right w:val="none" w:sz="0" w:space="0" w:color="auto"/>
      </w:divBdr>
    </w:div>
    <w:div w:id="1705934331">
      <w:bodyDiv w:val="1"/>
      <w:marLeft w:val="0"/>
      <w:marRight w:val="0"/>
      <w:marTop w:val="0"/>
      <w:marBottom w:val="0"/>
      <w:divBdr>
        <w:top w:val="none" w:sz="0" w:space="0" w:color="auto"/>
        <w:left w:val="none" w:sz="0" w:space="0" w:color="auto"/>
        <w:bottom w:val="none" w:sz="0" w:space="0" w:color="auto"/>
        <w:right w:val="none" w:sz="0" w:space="0" w:color="auto"/>
      </w:divBdr>
      <w:divsChild>
        <w:div w:id="209223408">
          <w:marLeft w:val="0"/>
          <w:marRight w:val="0"/>
          <w:marTop w:val="0"/>
          <w:marBottom w:val="0"/>
          <w:divBdr>
            <w:top w:val="none" w:sz="0" w:space="0" w:color="auto"/>
            <w:left w:val="none" w:sz="0" w:space="0" w:color="auto"/>
            <w:bottom w:val="none" w:sz="0" w:space="0" w:color="auto"/>
            <w:right w:val="none" w:sz="0" w:space="0" w:color="auto"/>
          </w:divBdr>
          <w:divsChild>
            <w:div w:id="92703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00CE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AEDA3-5608-44C0-94ED-14A537463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1890</Words>
  <Characters>10385</Characters>
  <Application>Microsoft Office Word</Application>
  <DocSecurity>0</DocSecurity>
  <Lines>178</Lines>
  <Paragraphs>54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1616671</dc:title>
  <dc:subject>A/HRC/33/L.4</dc:subject>
  <dc:creator>Kiatsurayanon</dc:creator>
  <cp:keywords/>
  <dc:description/>
  <cp:lastModifiedBy>Cecile Pacis</cp:lastModifiedBy>
  <cp:revision>2</cp:revision>
  <cp:lastPrinted>2016-09-27T07:16:00Z</cp:lastPrinted>
  <dcterms:created xsi:type="dcterms:W3CDTF">2016-09-27T14:37:00Z</dcterms:created>
  <dcterms:modified xsi:type="dcterms:W3CDTF">2016-09-27T14:37:00Z</dcterms:modified>
</cp:coreProperties>
</file>