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081E13">
            <w:pPr>
              <w:jc w:val="right"/>
            </w:pPr>
            <w:r w:rsidRPr="00EE2A77">
              <w:rPr>
                <w:sz w:val="40"/>
              </w:rPr>
              <w:t>A</w:t>
            </w:r>
            <w:r>
              <w:t>/HRC/</w:t>
            </w:r>
            <w:r w:rsidR="00944104">
              <w:t>3</w:t>
            </w:r>
            <w:r w:rsidR="00C53250">
              <w:t>4</w:t>
            </w:r>
            <w:r>
              <w:t>/L</w:t>
            </w:r>
            <w:r w:rsidR="0036088C">
              <w:t>.</w:t>
            </w:r>
            <w:r w:rsidR="00081E13">
              <w:t>12</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081E13" w:rsidP="00EE2A77">
            <w:pPr>
              <w:spacing w:line="240" w:lineRule="exact"/>
            </w:pPr>
            <w:r>
              <w:t>1</w:t>
            </w:r>
            <w:r w:rsidR="004C505C">
              <w:t>7</w:t>
            </w:r>
            <w:r>
              <w:t xml:space="preserve"> </w:t>
            </w:r>
            <w:r w:rsidR="00C53250">
              <w:t>March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fourth</w:t>
      </w:r>
      <w:r w:rsidR="00674C17">
        <w:rPr>
          <w:b/>
        </w:rPr>
        <w:t xml:space="preserve"> </w:t>
      </w:r>
      <w:proofErr w:type="gramStart"/>
      <w:r w:rsidR="00EE2A77">
        <w:rPr>
          <w:b/>
        </w:rPr>
        <w:t>session</w:t>
      </w:r>
      <w:proofErr w:type="gramEnd"/>
    </w:p>
    <w:p w:rsidR="001D6952" w:rsidRPr="001D6952" w:rsidRDefault="001D6952" w:rsidP="00EE2A77">
      <w:r>
        <w:t>27 February–24 March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0554D7">
        <w:t xml:space="preserve">Algeria,* Andorra,* </w:t>
      </w:r>
      <w:r w:rsidR="0020224D">
        <w:t xml:space="preserve">Austria,* Belgium, </w:t>
      </w:r>
      <w:r w:rsidR="000554D7">
        <w:t xml:space="preserve">Bosnia and Herzegovina,* </w:t>
      </w:r>
      <w:r w:rsidR="0020224D">
        <w:t xml:space="preserve">Brazil, </w:t>
      </w:r>
      <w:r w:rsidR="000554D7">
        <w:t xml:space="preserve">Canada,* </w:t>
      </w:r>
      <w:r w:rsidR="0020224D">
        <w:t xml:space="preserve">Chile,* Cyprus,* Denmark* Ecuador, El Salvador, Estonia,* Finland,* </w:t>
      </w:r>
      <w:r w:rsidR="000554D7">
        <w:t xml:space="preserve">Georgia, </w:t>
      </w:r>
      <w:r w:rsidR="0020224D">
        <w:t xml:space="preserve">Germany, </w:t>
      </w:r>
      <w:r w:rsidR="000554D7">
        <w:t xml:space="preserve">Greece,* Haiti,* Honduras,* </w:t>
      </w:r>
      <w:r w:rsidR="0020224D">
        <w:t>Iceland,* Ireland,</w:t>
      </w:r>
      <w:r w:rsidR="0020224D" w:rsidRPr="0020224D">
        <w:rPr>
          <w:rStyle w:val="FootnoteReference"/>
          <w:sz w:val="20"/>
          <w:vertAlign w:val="baseline"/>
        </w:rPr>
        <w:footnoteReference w:customMarkFollows="1" w:id="2"/>
        <w:t>*</w:t>
      </w:r>
      <w:r w:rsidR="0020224D">
        <w:t xml:space="preserve"> </w:t>
      </w:r>
      <w:r w:rsidR="000554D7">
        <w:t xml:space="preserve">Kenya, </w:t>
      </w:r>
      <w:r w:rsidR="0020224D">
        <w:t xml:space="preserve">Latvia, Lithuania,* Luxembourg,* </w:t>
      </w:r>
      <w:r w:rsidR="000554D7">
        <w:t xml:space="preserve">Maldives,* Mexico,* Montenegro,* Namibia,* </w:t>
      </w:r>
      <w:r w:rsidR="0020224D">
        <w:t xml:space="preserve">Netherlands, </w:t>
      </w:r>
      <w:r w:rsidR="000554D7">
        <w:t xml:space="preserve">Panama, </w:t>
      </w:r>
      <w:r w:rsidR="0020224D">
        <w:t xml:space="preserve">Paraguay, </w:t>
      </w:r>
      <w:r w:rsidR="000554D7">
        <w:t xml:space="preserve">Peru,* Philippines, </w:t>
      </w:r>
      <w:r w:rsidR="0020224D">
        <w:t>Poland,* Portugal, Serbi</w:t>
      </w:r>
      <w:r w:rsidR="003530E5">
        <w:t>a,* Slovenia,</w:t>
      </w:r>
      <w:r w:rsidR="0020224D">
        <w:t xml:space="preserve"> Spain,* </w:t>
      </w:r>
      <w:r w:rsidR="005A0A26">
        <w:t xml:space="preserve">Sweden,* </w:t>
      </w:r>
      <w:r w:rsidR="000554D7">
        <w:t xml:space="preserve">Switzerland, Thailand,* </w:t>
      </w:r>
      <w:r w:rsidR="0020224D">
        <w:t xml:space="preserve">Turkey,* </w:t>
      </w:r>
      <w:r w:rsidR="00EF4A43">
        <w:t>Ukraine,* Uruguay:*</w:t>
      </w:r>
      <w:r>
        <w:t xml:space="preserve"> draft resolution</w:t>
      </w:r>
    </w:p>
    <w:p w:rsidR="002F006E" w:rsidRPr="007A45D3" w:rsidRDefault="00944104" w:rsidP="00944104">
      <w:pPr>
        <w:pStyle w:val="H1G"/>
        <w:tabs>
          <w:tab w:val="clear" w:pos="851"/>
        </w:tabs>
        <w:ind w:left="1843" w:hanging="709"/>
      </w:pPr>
      <w:proofErr w:type="gramStart"/>
      <w:r>
        <w:t>3</w:t>
      </w:r>
      <w:r w:rsidR="00C53250">
        <w:t>4</w:t>
      </w:r>
      <w:r>
        <w:t>/…</w:t>
      </w:r>
      <w:proofErr w:type="gramEnd"/>
      <w:r>
        <w:tab/>
      </w:r>
      <w:r w:rsidR="00081E13" w:rsidRPr="00081E13">
        <w:t>Adequate housing as a component of the right to an a</w:t>
      </w:r>
      <w:bookmarkStart w:id="0" w:name="_GoBack"/>
      <w:bookmarkEnd w:id="0"/>
      <w:r w:rsidR="00081E13" w:rsidRPr="00081E13">
        <w:t xml:space="preserve">dequate standard of living </w:t>
      </w:r>
      <w:r w:rsidR="00081E13" w:rsidRPr="00081E13">
        <w:rPr>
          <w:lang w:val="en-US"/>
        </w:rPr>
        <w:t>and the right to non-discrimination in this context</w:t>
      </w:r>
    </w:p>
    <w:p w:rsidR="002F006E" w:rsidRDefault="002F006E" w:rsidP="00402A2C">
      <w:pPr>
        <w:pStyle w:val="SingleTxtG"/>
      </w:pPr>
      <w:r>
        <w:tab/>
      </w:r>
      <w:r w:rsidRPr="00402A2C">
        <w:rPr>
          <w:i/>
        </w:rPr>
        <w:t>The Human Rights Council</w:t>
      </w:r>
      <w:r w:rsidRPr="00402A2C">
        <w:t>,</w:t>
      </w:r>
    </w:p>
    <w:p w:rsidR="00081E13" w:rsidRPr="00081E13" w:rsidRDefault="00081E13" w:rsidP="00081E13">
      <w:pPr>
        <w:pStyle w:val="SingleTxtG"/>
      </w:pPr>
      <w:r>
        <w:tab/>
      </w:r>
      <w:r w:rsidRPr="00081E13">
        <w:rPr>
          <w:i/>
        </w:rPr>
        <w:t>Reaffirming</w:t>
      </w:r>
      <w:r w:rsidRPr="00081E13">
        <w:t xml:space="preserve"> that international human rights law instruments, including the Universal Declaration of Human Rights and the International Covenant on Economic, Social and Cultural Rights, entail obligations and commitments of States parties, including all levels of government, in relation to access to adequate housing,</w:t>
      </w:r>
    </w:p>
    <w:p w:rsidR="00081E13" w:rsidRPr="00081E13" w:rsidRDefault="00081E13" w:rsidP="00081E13">
      <w:pPr>
        <w:pStyle w:val="SingleTxtG"/>
      </w:pPr>
      <w:r>
        <w:tab/>
      </w:r>
      <w:r w:rsidRPr="00081E13">
        <w:rPr>
          <w:i/>
        </w:rPr>
        <w:t>Recalling</w:t>
      </w:r>
      <w:r w:rsidRPr="00081E13">
        <w:t xml:space="preserve"> all previous resolutions of the Human Rights Council, </w:t>
      </w:r>
      <w:r w:rsidR="00DC2FDA">
        <w:t>and</w:t>
      </w:r>
      <w:r w:rsidRPr="00081E13">
        <w:t xml:space="preserve"> those adopted by the Commission on Human Rights, on the issue of the right to adequate housing as a component of the right to an adequate standard of living, including Council resolutions 25/17 of 28 March 2014 and 31/9 of 23 March 2016,</w:t>
      </w:r>
    </w:p>
    <w:p w:rsidR="00081E13" w:rsidRPr="00081E13" w:rsidRDefault="00081E13" w:rsidP="00081E13">
      <w:pPr>
        <w:pStyle w:val="SingleTxtG"/>
      </w:pPr>
      <w:r>
        <w:tab/>
      </w:r>
      <w:r w:rsidRPr="00081E13">
        <w:rPr>
          <w:i/>
        </w:rPr>
        <w:t>Recalling</w:t>
      </w:r>
      <w:r w:rsidRPr="00081E13">
        <w:t xml:space="preserve"> </w:t>
      </w:r>
      <w:r w:rsidR="00DC2FDA" w:rsidRPr="00081E13">
        <w:rPr>
          <w:i/>
        </w:rPr>
        <w:t>also</w:t>
      </w:r>
      <w:r w:rsidR="00DC2FDA" w:rsidRPr="00081E13">
        <w:t xml:space="preserve"> </w:t>
      </w:r>
      <w:r w:rsidR="00DC2FDA">
        <w:t>its</w:t>
      </w:r>
      <w:r w:rsidRPr="00081E13">
        <w:t xml:space="preserve"> resolutions 5/1, on </w:t>
      </w:r>
      <w:r w:rsidR="00DC2FDA">
        <w:t>i</w:t>
      </w:r>
      <w:r w:rsidRPr="00081E13">
        <w:t>nstitution-building of the Human Rights Council, and 5/2, on the Code of Conduct for Special Procedures Mandate Holders of the Council, of 18 June 2007,</w:t>
      </w:r>
    </w:p>
    <w:p w:rsidR="00081E13" w:rsidRPr="00081E13" w:rsidRDefault="00081E13" w:rsidP="00081E13">
      <w:pPr>
        <w:pStyle w:val="SingleTxtG"/>
      </w:pPr>
      <w:r>
        <w:tab/>
      </w:r>
      <w:r w:rsidRPr="00081E13">
        <w:rPr>
          <w:i/>
        </w:rPr>
        <w:t xml:space="preserve">Reaffirming </w:t>
      </w:r>
      <w:r w:rsidRPr="00081E13">
        <w:t xml:space="preserve">the principles and commitments with regard to adequate housing enshrined in the relevant provisions of declarations and programmes adopted by major </w:t>
      </w:r>
      <w:r w:rsidRPr="00081E13">
        <w:lastRenderedPageBreak/>
        <w:t xml:space="preserve">United Nations conferences and summits, inter alia, the outcome of </w:t>
      </w:r>
      <w:r w:rsidR="00DC2FDA">
        <w:t>t</w:t>
      </w:r>
      <w:r w:rsidRPr="00081E13">
        <w:t>he United Nations Conference on Housing and Sustainable Urban Development (Habitat III)</w:t>
      </w:r>
      <w:r w:rsidR="00DC2FDA">
        <w:t>,</w:t>
      </w:r>
      <w:r w:rsidRPr="00081E13">
        <w:t xml:space="preserve"> held from 17 to 20 October 2016 in Quito,</w:t>
      </w:r>
      <w:r w:rsidR="00DC2FDA">
        <w:rPr>
          <w:rStyle w:val="FootnoteReference"/>
        </w:rPr>
        <w:footnoteReference w:id="3"/>
      </w:r>
      <w:r w:rsidRPr="00081E13">
        <w:t xml:space="preserve"> and underlining the importance of the implementation of the 2030 Agenda for Sustainable Development, including target 11.1,</w:t>
      </w:r>
    </w:p>
    <w:p w:rsidR="00081E13" w:rsidRPr="00081E13" w:rsidRDefault="00081E13" w:rsidP="00081E13">
      <w:pPr>
        <w:pStyle w:val="SingleTxtG"/>
      </w:pPr>
      <w:r>
        <w:tab/>
        <w:t>1.</w:t>
      </w:r>
      <w:r>
        <w:tab/>
      </w:r>
      <w:r w:rsidRPr="00081E13">
        <w:rPr>
          <w:i/>
        </w:rPr>
        <w:t>Welcomes</w:t>
      </w:r>
      <w:r w:rsidRPr="00081E13">
        <w:t xml:space="preserve"> the work of the Special Rapporteur on adequate housing as a component of the right to an adequate standard of living, and on the right to non- discrimination in this context, including the undertaking of country missions</w:t>
      </w:r>
      <w:r>
        <w:t>;</w:t>
      </w:r>
    </w:p>
    <w:p w:rsidR="00081E13" w:rsidRPr="00081E13" w:rsidRDefault="00081E13" w:rsidP="00081E13">
      <w:pPr>
        <w:pStyle w:val="SingleTxtG"/>
      </w:pPr>
      <w:r>
        <w:tab/>
        <w:t>2.</w:t>
      </w:r>
      <w:r>
        <w:tab/>
      </w:r>
      <w:r w:rsidR="00DC2FDA" w:rsidRPr="00601501">
        <w:rPr>
          <w:i/>
        </w:rPr>
        <w:t>Takes n</w:t>
      </w:r>
      <w:r w:rsidRPr="00DC2FDA">
        <w:rPr>
          <w:i/>
        </w:rPr>
        <w:t>ote</w:t>
      </w:r>
      <w:r w:rsidRPr="00081E13">
        <w:t xml:space="preserve"> </w:t>
      </w:r>
      <w:r w:rsidRPr="00601501">
        <w:rPr>
          <w:i/>
        </w:rPr>
        <w:t>in particular</w:t>
      </w:r>
      <w:r w:rsidRPr="00081E13">
        <w:t xml:space="preserve"> </w:t>
      </w:r>
      <w:r w:rsidR="00DC2FDA">
        <w:t xml:space="preserve">of </w:t>
      </w:r>
      <w:r w:rsidRPr="00081E13">
        <w:t>the report by the Special Rapporteur on the “</w:t>
      </w:r>
      <w:proofErr w:type="spellStart"/>
      <w:r w:rsidRPr="00081E13">
        <w:t>financialization</w:t>
      </w:r>
      <w:proofErr w:type="spellEnd"/>
      <w:r w:rsidRPr="00081E13">
        <w:t xml:space="preserve"> of housing” and its impact on human rights</w:t>
      </w:r>
      <w:r>
        <w:t>;</w:t>
      </w:r>
      <w:r w:rsidR="00DC2FDA">
        <w:rPr>
          <w:rStyle w:val="FootnoteReference"/>
        </w:rPr>
        <w:footnoteReference w:id="4"/>
      </w:r>
    </w:p>
    <w:p w:rsidR="00081E13" w:rsidRPr="00081E13" w:rsidRDefault="00081E13" w:rsidP="00081E13">
      <w:pPr>
        <w:pStyle w:val="SingleTxtG"/>
      </w:pPr>
      <w:r>
        <w:tab/>
      </w:r>
      <w:r w:rsidRPr="00081E13">
        <w:t>3</w:t>
      </w:r>
      <w:r>
        <w:t>.</w:t>
      </w:r>
      <w:r>
        <w:tab/>
      </w:r>
      <w:r w:rsidRPr="00081E13">
        <w:rPr>
          <w:i/>
        </w:rPr>
        <w:t>Decides</w:t>
      </w:r>
      <w:r w:rsidRPr="00081E13">
        <w:t xml:space="preserve"> to extend, for a period of three years, the mandate of the Special Rapporteur on adequate housing as a component of the right to an adequate standard of living, and on the right to non-discrimination in this context, as set out in Human Rights Council resolution</w:t>
      </w:r>
      <w:r w:rsidR="00DC2FDA">
        <w:t>s</w:t>
      </w:r>
      <w:r w:rsidRPr="00081E13">
        <w:t xml:space="preserve"> 15/8 of 30 September 2010 and 25/17 of 28 March 2014</w:t>
      </w:r>
      <w:r>
        <w:t>;</w:t>
      </w:r>
    </w:p>
    <w:p w:rsidR="00081E13" w:rsidRPr="00081E13" w:rsidRDefault="00081E13" w:rsidP="00081E13">
      <w:pPr>
        <w:pStyle w:val="SingleTxtG"/>
      </w:pPr>
      <w:r>
        <w:tab/>
      </w:r>
      <w:r w:rsidRPr="00081E13">
        <w:t>4</w:t>
      </w:r>
      <w:r>
        <w:t>.</w:t>
      </w:r>
      <w:r>
        <w:tab/>
      </w:r>
      <w:r w:rsidRPr="00081E13">
        <w:rPr>
          <w:i/>
        </w:rPr>
        <w:t>Encourages</w:t>
      </w:r>
      <w:r w:rsidRPr="00081E13">
        <w:t xml:space="preserve"> the Special Rapporteur, in fulfilling the mandate, to submit proposals that could support states in the implementation of the housing-related Sustainable Development Goals and targets and the New Urban Agenda</w:t>
      </w:r>
      <w:r>
        <w:t>;</w:t>
      </w:r>
      <w:r w:rsidR="00BC07FD">
        <w:rPr>
          <w:rStyle w:val="FootnoteReference"/>
        </w:rPr>
        <w:footnoteReference w:id="5"/>
      </w:r>
    </w:p>
    <w:p w:rsidR="00081E13" w:rsidRPr="00081E13" w:rsidRDefault="00081E13" w:rsidP="00081E13">
      <w:pPr>
        <w:pStyle w:val="SingleTxtG"/>
      </w:pPr>
      <w:r>
        <w:tab/>
        <w:t>5.</w:t>
      </w:r>
      <w:r>
        <w:tab/>
      </w:r>
      <w:r w:rsidRPr="00081E13">
        <w:rPr>
          <w:i/>
        </w:rPr>
        <w:t>Notes with appreciation</w:t>
      </w:r>
      <w:r w:rsidRPr="00081E13">
        <w:t xml:space="preserve"> the cooperation extended to the Special Rapporteur by different actors, and calls upon States:</w:t>
      </w:r>
    </w:p>
    <w:p w:rsidR="00081E13" w:rsidRPr="00081E13" w:rsidRDefault="00081E13" w:rsidP="00081E13">
      <w:pPr>
        <w:pStyle w:val="SingleTxtG"/>
      </w:pPr>
      <w:r>
        <w:tab/>
      </w:r>
      <w:r w:rsidRPr="00081E13">
        <w:t>(</w:t>
      </w:r>
      <w:r w:rsidRPr="00081E13">
        <w:rPr>
          <w:i/>
        </w:rPr>
        <w:t>a</w:t>
      </w:r>
      <w:r w:rsidRPr="00081E13">
        <w:t>)</w:t>
      </w:r>
      <w:r>
        <w:tab/>
      </w:r>
      <w:r w:rsidRPr="00081E13">
        <w:t>To cooperate fully with the Special Rapporteur in the discharge of his</w:t>
      </w:r>
      <w:r w:rsidR="00BC07FD">
        <w:t xml:space="preserve"> or </w:t>
      </w:r>
      <w:r w:rsidRPr="00081E13">
        <w:t>her mandate and to respond favo</w:t>
      </w:r>
      <w:r w:rsidR="00DC2FDA">
        <w:t>u</w:t>
      </w:r>
      <w:r w:rsidRPr="00081E13">
        <w:t>rably to his</w:t>
      </w:r>
      <w:r w:rsidR="00DC2FDA">
        <w:t xml:space="preserve"> or </w:t>
      </w:r>
      <w:r w:rsidRPr="00081E13">
        <w:t>her requests for information and visits;</w:t>
      </w:r>
    </w:p>
    <w:p w:rsidR="00081E13" w:rsidRPr="00081E13" w:rsidRDefault="00081E13" w:rsidP="00081E13">
      <w:pPr>
        <w:pStyle w:val="SingleTxtG"/>
      </w:pPr>
      <w:r>
        <w:tab/>
        <w:t>(</w:t>
      </w:r>
      <w:r w:rsidRPr="00081E13">
        <w:rPr>
          <w:i/>
        </w:rPr>
        <w:t>b</w:t>
      </w:r>
      <w:r>
        <w:t>)</w:t>
      </w:r>
      <w:r>
        <w:tab/>
      </w:r>
      <w:r w:rsidRPr="00081E13">
        <w:t>To enter into a constructive dialogue with the Special Rapporteur with respect to the follow-up to and implementation of his</w:t>
      </w:r>
      <w:r w:rsidR="00BC07FD">
        <w:t xml:space="preserve"> or </w:t>
      </w:r>
      <w:r w:rsidRPr="00081E13">
        <w:t>her recommendations;</w:t>
      </w:r>
    </w:p>
    <w:p w:rsidR="00081E13" w:rsidRPr="00081E13" w:rsidRDefault="00081E13" w:rsidP="00081E13">
      <w:pPr>
        <w:pStyle w:val="SingleTxtG"/>
      </w:pPr>
      <w:r>
        <w:tab/>
      </w:r>
      <w:r w:rsidRPr="00081E13">
        <w:t>6</w:t>
      </w:r>
      <w:r>
        <w:t>.</w:t>
      </w:r>
      <w:r>
        <w:tab/>
      </w:r>
      <w:r w:rsidRPr="00081E13">
        <w:rPr>
          <w:i/>
        </w:rPr>
        <w:t>Requests</w:t>
      </w:r>
      <w:r w:rsidRPr="00081E13">
        <w:t xml:space="preserve"> the Secretary-General and the United Nations High Commissioner for Human Rights to continue to provide all the resources necessary for the effective fulfilment of the mandate of the Special Rapporteur</w:t>
      </w:r>
      <w:r>
        <w:t>;</w:t>
      </w:r>
    </w:p>
    <w:p w:rsidR="00081E13" w:rsidRPr="00081E13" w:rsidRDefault="00081E13" w:rsidP="00081E13">
      <w:pPr>
        <w:pStyle w:val="SingleTxtG"/>
      </w:pPr>
      <w:r>
        <w:tab/>
      </w:r>
      <w:r w:rsidRPr="00081E13">
        <w:t>7</w:t>
      </w:r>
      <w:r>
        <w:t>.</w:t>
      </w:r>
      <w:r>
        <w:tab/>
      </w:r>
      <w:r w:rsidRPr="00081E13">
        <w:rPr>
          <w:i/>
        </w:rPr>
        <w:t>Requests</w:t>
      </w:r>
      <w:r w:rsidRPr="00081E13">
        <w:t xml:space="preserve"> the Special Rapporteur to submit an annual report on the implementation of his</w:t>
      </w:r>
      <w:r w:rsidR="00BC07FD">
        <w:t xml:space="preserve"> or </w:t>
      </w:r>
      <w:r w:rsidRPr="00081E13">
        <w:t xml:space="preserve">her mandate to the </w:t>
      </w:r>
      <w:r w:rsidR="00BC07FD">
        <w:t xml:space="preserve">Human Rights </w:t>
      </w:r>
      <w:r w:rsidRPr="00081E13">
        <w:t>Council and the General Assembly in accordance with their annual programme of work</w:t>
      </w:r>
      <w:r>
        <w:t>;</w:t>
      </w:r>
    </w:p>
    <w:p w:rsidR="00081E13" w:rsidRPr="00081E13" w:rsidRDefault="00081E13" w:rsidP="00081E13">
      <w:pPr>
        <w:pStyle w:val="SingleTxtG"/>
      </w:pPr>
      <w:r>
        <w:tab/>
      </w:r>
      <w:r w:rsidRPr="00081E13">
        <w:t>8.</w:t>
      </w:r>
      <w:r>
        <w:tab/>
      </w:r>
      <w:r w:rsidRPr="00081E13">
        <w:rPr>
          <w:i/>
        </w:rPr>
        <w:t>Decides</w:t>
      </w:r>
      <w:r w:rsidRPr="00081E13">
        <w:t xml:space="preserve"> to continue its consideration of this matter under the same agenda item.</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panose1 w:val="020B0803050302020204"/>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3A4B64">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F225CB" w:rsidTr="00F225CB">
      <w:tc>
        <w:tcPr>
          <w:tcW w:w="3614" w:type="dxa"/>
          <w:shd w:val="clear" w:color="auto" w:fill="auto"/>
        </w:tcPr>
        <w:p w:rsidR="00F225CB" w:rsidRPr="00F225CB" w:rsidRDefault="003A4B64" w:rsidP="00F225CB">
          <w:pPr>
            <w:pStyle w:val="Footer"/>
            <w:rPr>
              <w:rFonts w:ascii="Barcode 3 of 9 by request" w:hAnsi="Barcode 3 of 9 by request"/>
              <w:sz w:val="24"/>
            </w:rPr>
          </w:pPr>
          <w:r w:rsidRPr="003A4B64">
            <w:rPr>
              <w:rFonts w:ascii="Barcode 3 of 9 by request" w:hAnsi="Barcode 3 of 9 by request"/>
              <w:noProof/>
              <w:sz w:val="24"/>
            </w:rPr>
            <w:drawing>
              <wp:anchor distT="0" distB="0" distL="114300" distR="114300" simplePos="0" relativeHeight="251659264" behindDoc="0" locked="1" layoutInCell="1" allowOverlap="1" wp14:anchorId="08EF9C12" wp14:editId="6B431216">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2" w:type="dxa"/>
          <w:shd w:val="clear" w:color="auto" w:fill="auto"/>
        </w:tcPr>
        <w:p w:rsidR="00F225CB" w:rsidRDefault="00F225CB" w:rsidP="00F225CB">
          <w:pPr>
            <w:pStyle w:val="Footer"/>
            <w:spacing w:line="240" w:lineRule="atLeast"/>
            <w:jc w:val="right"/>
            <w:rPr>
              <w:sz w:val="20"/>
            </w:rPr>
          </w:pPr>
        </w:p>
      </w:tc>
    </w:tr>
  </w:tbl>
  <w:p w:rsidR="00F225CB" w:rsidRDefault="003A4B64" w:rsidP="003A4B64">
    <w:pPr>
      <w:pStyle w:val="Footer"/>
      <w:rPr>
        <w:sz w:val="20"/>
      </w:rPr>
    </w:pPr>
    <w:r>
      <w:rPr>
        <w:rFonts w:ascii="C39T30Lfz" w:hAnsi="C39T30Lfz"/>
        <w:noProof/>
        <w:sz w:val="56"/>
        <w:lang w:eastAsia="zh-CN"/>
      </w:rPr>
      <w:drawing>
        <wp:anchor distT="0" distB="0" distL="114300" distR="114300" simplePos="0" relativeHeight="251660288" behindDoc="0" locked="0" layoutInCell="1" allowOverlap="1" wp14:anchorId="0719D500" wp14:editId="050D0FFC">
          <wp:simplePos x="0" y="0"/>
          <wp:positionH relativeFrom="margin">
            <wp:posOffset>5482590</wp:posOffset>
          </wp:positionH>
          <wp:positionV relativeFrom="margin">
            <wp:posOffset>8101330</wp:posOffset>
          </wp:positionV>
          <wp:extent cx="643890" cy="643890"/>
          <wp:effectExtent l="0" t="0" r="3810" b="3810"/>
          <wp:wrapNone/>
          <wp:docPr id="2" name="Picture 1" descr="http://undocs.org/m2/QRCode.ashx?DS=A/HRC/34/L.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B64" w:rsidRDefault="003A4B64" w:rsidP="003A4B64">
    <w:pPr>
      <w:pStyle w:val="Footer"/>
      <w:ind w:right="1134"/>
      <w:rPr>
        <w:sz w:val="20"/>
      </w:rPr>
    </w:pPr>
    <w:r>
      <w:rPr>
        <w:sz w:val="20"/>
      </w:rPr>
      <w:t>GE.17-04334(E)</w:t>
    </w:r>
  </w:p>
  <w:p w:rsidR="003A4B64" w:rsidRPr="003A4B64" w:rsidRDefault="003A4B64" w:rsidP="003A4B6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noProof/>
      </w:rPr>
      <w:drawing>
        <wp:anchor distT="0" distB="0" distL="114300" distR="114300" simplePos="0" relativeHeight="251662336" behindDoc="0" locked="1" layoutInCell="1" allowOverlap="1" wp14:anchorId="612AE5C0" wp14:editId="45BCE139">
          <wp:simplePos x="0" y="0"/>
          <wp:positionH relativeFrom="margin">
            <wp:posOffset>4431030</wp:posOffset>
          </wp:positionH>
          <wp:positionV relativeFrom="margin">
            <wp:posOffset>8317865</wp:posOffset>
          </wp:positionV>
          <wp:extent cx="930275" cy="230505"/>
          <wp:effectExtent l="0" t="0" r="3175"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 w:id="2">
    <w:p w:rsidR="0020224D" w:rsidRPr="0020224D" w:rsidRDefault="0020224D">
      <w:pPr>
        <w:pStyle w:val="FootnoteText"/>
      </w:pPr>
      <w:r>
        <w:rPr>
          <w:rStyle w:val="FootnoteReference"/>
        </w:rPr>
        <w:tab/>
      </w:r>
      <w:r w:rsidRPr="0020224D">
        <w:rPr>
          <w:rStyle w:val="FootnoteReference"/>
          <w:sz w:val="20"/>
          <w:vertAlign w:val="baseline"/>
        </w:rPr>
        <w:t>*</w:t>
      </w:r>
      <w:r>
        <w:rPr>
          <w:rStyle w:val="FootnoteReference"/>
          <w:sz w:val="20"/>
          <w:vertAlign w:val="baseline"/>
        </w:rPr>
        <w:tab/>
      </w:r>
      <w:r>
        <w:t>State not a member of the Human Rights Council.</w:t>
      </w:r>
    </w:p>
  </w:footnote>
  <w:footnote w:id="3">
    <w:p w:rsidR="00DC2FDA" w:rsidRPr="00601501" w:rsidRDefault="00DC2FDA">
      <w:pPr>
        <w:pStyle w:val="FootnoteText"/>
        <w:rPr>
          <w:lang w:val="en-US"/>
        </w:rPr>
      </w:pPr>
      <w:r>
        <w:tab/>
      </w:r>
      <w:r>
        <w:rPr>
          <w:rStyle w:val="FootnoteReference"/>
        </w:rPr>
        <w:footnoteRef/>
      </w:r>
      <w:r>
        <w:t xml:space="preserve"> </w:t>
      </w:r>
      <w:r>
        <w:tab/>
      </w:r>
      <w:r>
        <w:rPr>
          <w:lang w:val="en-US"/>
        </w:rPr>
        <w:t>See General Assembly resolution</w:t>
      </w:r>
      <w:r w:rsidR="00BC07FD">
        <w:rPr>
          <w:lang w:val="en-US"/>
        </w:rPr>
        <w:t xml:space="preserve"> 71/235</w:t>
      </w:r>
      <w:r>
        <w:rPr>
          <w:lang w:val="en-US"/>
        </w:rPr>
        <w:t>.</w:t>
      </w:r>
    </w:p>
  </w:footnote>
  <w:footnote w:id="4">
    <w:p w:rsidR="00DC2FDA" w:rsidRPr="00601501" w:rsidRDefault="00DC2FDA">
      <w:pPr>
        <w:pStyle w:val="FootnoteText"/>
        <w:rPr>
          <w:lang w:val="en-US"/>
        </w:rPr>
      </w:pPr>
      <w:r>
        <w:tab/>
      </w:r>
      <w:r>
        <w:rPr>
          <w:rStyle w:val="FootnoteReference"/>
        </w:rPr>
        <w:footnoteRef/>
      </w:r>
      <w:r>
        <w:t xml:space="preserve"> </w:t>
      </w:r>
      <w:r>
        <w:tab/>
      </w:r>
      <w:proofErr w:type="gramStart"/>
      <w:r>
        <w:t>A/HRC/34/51.</w:t>
      </w:r>
      <w:proofErr w:type="gramEnd"/>
      <w:r w:rsidR="00BC07FD" w:rsidRPr="00BC07FD">
        <w:rPr>
          <w:lang w:val="en-US"/>
        </w:rPr>
        <w:t xml:space="preserve"> </w:t>
      </w:r>
    </w:p>
  </w:footnote>
  <w:footnote w:id="5">
    <w:p w:rsidR="00BC07FD" w:rsidRPr="00601501" w:rsidRDefault="00BC07FD">
      <w:pPr>
        <w:pStyle w:val="FootnoteText"/>
        <w:rPr>
          <w:lang w:val="en-US"/>
        </w:rPr>
      </w:pPr>
      <w:r>
        <w:tab/>
      </w:r>
      <w:r>
        <w:rPr>
          <w:rStyle w:val="FootnoteReference"/>
        </w:rPr>
        <w:footnoteRef/>
      </w:r>
      <w:r>
        <w:t xml:space="preserve"> </w:t>
      </w:r>
      <w:r>
        <w:tab/>
      </w:r>
      <w:proofErr w:type="gramStart"/>
      <w:r>
        <w:rPr>
          <w:lang w:val="en-US"/>
        </w:rPr>
        <w:t>General Assembly resolution 71/256.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C53250">
      <w:t>4</w:t>
    </w:r>
    <w:r w:rsidR="00E10083">
      <w:t>/L.</w:t>
    </w:r>
    <w:r w:rsidR="000B0FB0">
      <w:t>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554D7"/>
    <w:rsid w:val="00072C8C"/>
    <w:rsid w:val="00073E70"/>
    <w:rsid w:val="00081E13"/>
    <w:rsid w:val="000876EB"/>
    <w:rsid w:val="00091419"/>
    <w:rsid w:val="000931C0"/>
    <w:rsid w:val="000A2AFE"/>
    <w:rsid w:val="000B0FB0"/>
    <w:rsid w:val="000B175B"/>
    <w:rsid w:val="000B1E07"/>
    <w:rsid w:val="000B3A0F"/>
    <w:rsid w:val="000B4A3B"/>
    <w:rsid w:val="000C3B42"/>
    <w:rsid w:val="000D1851"/>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D6952"/>
    <w:rsid w:val="001E2790"/>
    <w:rsid w:val="0020224D"/>
    <w:rsid w:val="00211E0B"/>
    <w:rsid w:val="00211E72"/>
    <w:rsid w:val="00214047"/>
    <w:rsid w:val="0022130F"/>
    <w:rsid w:val="00237785"/>
    <w:rsid w:val="002410DD"/>
    <w:rsid w:val="00241466"/>
    <w:rsid w:val="00253D58"/>
    <w:rsid w:val="0027725F"/>
    <w:rsid w:val="0028185A"/>
    <w:rsid w:val="002C21F0"/>
    <w:rsid w:val="002D4176"/>
    <w:rsid w:val="002E0F97"/>
    <w:rsid w:val="002E7C76"/>
    <w:rsid w:val="002F006E"/>
    <w:rsid w:val="003107FA"/>
    <w:rsid w:val="00317071"/>
    <w:rsid w:val="003229D8"/>
    <w:rsid w:val="003314D1"/>
    <w:rsid w:val="00335A2F"/>
    <w:rsid w:val="00341937"/>
    <w:rsid w:val="003530E5"/>
    <w:rsid w:val="0036088C"/>
    <w:rsid w:val="00364A1C"/>
    <w:rsid w:val="00390052"/>
    <w:rsid w:val="0039277A"/>
    <w:rsid w:val="003972E0"/>
    <w:rsid w:val="003975ED"/>
    <w:rsid w:val="003A4B64"/>
    <w:rsid w:val="003C2CC4"/>
    <w:rsid w:val="003D206B"/>
    <w:rsid w:val="003D2765"/>
    <w:rsid w:val="003D4B23"/>
    <w:rsid w:val="003E7D53"/>
    <w:rsid w:val="00402A2C"/>
    <w:rsid w:val="0041346B"/>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C505C"/>
    <w:rsid w:val="004D0109"/>
    <w:rsid w:val="004D1140"/>
    <w:rsid w:val="004D1C4B"/>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0A26"/>
    <w:rsid w:val="005A69B3"/>
    <w:rsid w:val="005B2825"/>
    <w:rsid w:val="005B3DB3"/>
    <w:rsid w:val="005B4D83"/>
    <w:rsid w:val="005B6E48"/>
    <w:rsid w:val="005C2413"/>
    <w:rsid w:val="005C69BB"/>
    <w:rsid w:val="005E1712"/>
    <w:rsid w:val="005F52A9"/>
    <w:rsid w:val="00601501"/>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4226"/>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44104"/>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07FD"/>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A2A58"/>
    <w:rsid w:val="00CC0B55"/>
    <w:rsid w:val="00CD1E06"/>
    <w:rsid w:val="00CD6995"/>
    <w:rsid w:val="00CE4A8F"/>
    <w:rsid w:val="00CE5514"/>
    <w:rsid w:val="00CF0214"/>
    <w:rsid w:val="00CF0545"/>
    <w:rsid w:val="00CF3588"/>
    <w:rsid w:val="00CF52DA"/>
    <w:rsid w:val="00CF5399"/>
    <w:rsid w:val="00CF586F"/>
    <w:rsid w:val="00CF7D43"/>
    <w:rsid w:val="00D11129"/>
    <w:rsid w:val="00D2031B"/>
    <w:rsid w:val="00D21012"/>
    <w:rsid w:val="00D22332"/>
    <w:rsid w:val="00D25FE2"/>
    <w:rsid w:val="00D42B42"/>
    <w:rsid w:val="00D43252"/>
    <w:rsid w:val="00D550F9"/>
    <w:rsid w:val="00D572B0"/>
    <w:rsid w:val="00D62E90"/>
    <w:rsid w:val="00D76BE5"/>
    <w:rsid w:val="00D978C6"/>
    <w:rsid w:val="00DA5A30"/>
    <w:rsid w:val="00DA67AD"/>
    <w:rsid w:val="00DB18CE"/>
    <w:rsid w:val="00DB2344"/>
    <w:rsid w:val="00DC2FDA"/>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4A43"/>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722E-9710-4DFE-8912-BB02BD53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3505</Characters>
  <Application>Microsoft Office Word</Application>
  <DocSecurity>0</DocSecurity>
  <Lines>72</Lines>
  <Paragraphs>28</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1704334</dc:title>
  <dc:subject>A/HRC/34/L.12</dc:subject>
  <dc:creator>Kiatsurayanon</dc:creator>
  <cp:keywords/>
  <dc:description/>
  <cp:lastModifiedBy>Tpseng</cp:lastModifiedBy>
  <cp:revision>2</cp:revision>
  <cp:lastPrinted>2017-03-16T15:38:00Z</cp:lastPrinted>
  <dcterms:created xsi:type="dcterms:W3CDTF">2017-03-17T12:30:00Z</dcterms:created>
  <dcterms:modified xsi:type="dcterms:W3CDTF">2017-03-17T12:30:00Z</dcterms:modified>
</cp:coreProperties>
</file>