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CD7DE9">
            <w:pPr>
              <w:jc w:val="right"/>
            </w:pPr>
            <w:r w:rsidRPr="00EE2A77">
              <w:rPr>
                <w:sz w:val="40"/>
              </w:rPr>
              <w:t>A</w:t>
            </w:r>
            <w:r>
              <w:t>/HRC/</w:t>
            </w:r>
            <w:r w:rsidR="00944104">
              <w:t>3</w:t>
            </w:r>
            <w:r w:rsidR="008F22EA">
              <w:t>5</w:t>
            </w:r>
            <w:r>
              <w:t>/L</w:t>
            </w:r>
            <w:r w:rsidR="0036088C">
              <w:t>.</w:t>
            </w:r>
            <w:r w:rsidR="00CD7DE9">
              <w:t>1</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en-GB"/>
              </w:rPr>
              <w:drawing>
                <wp:inline distT="0" distB="0" distL="0" distR="0" wp14:anchorId="152D4D8C" wp14:editId="0604AFA8">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CD7DE9" w:rsidP="00EE2A77">
            <w:pPr>
              <w:spacing w:line="240" w:lineRule="exact"/>
            </w:pPr>
            <w:r>
              <w:t>1</w:t>
            </w:r>
            <w:r w:rsidR="000016AE">
              <w:t>6</w:t>
            </w:r>
            <w:r>
              <w:t xml:space="preserve"> </w:t>
            </w:r>
            <w:r w:rsidR="008F22EA">
              <w:t>June</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r w:rsidR="00EE2A77">
        <w:rPr>
          <w:b/>
        </w:rPr>
        <w:t>session</w:t>
      </w:r>
    </w:p>
    <w:p w:rsidR="001D6952" w:rsidRPr="001D6952" w:rsidRDefault="008F22EA" w:rsidP="00EE2A77">
      <w:r>
        <w:t>6–23 June 2017</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CD7DE9">
        <w:t xml:space="preserve">Algeria,* </w:t>
      </w:r>
      <w:r w:rsidR="008429FE">
        <w:t>Austria,</w:t>
      </w:r>
      <w:r w:rsidR="00854534" w:rsidRPr="00CD7DE9">
        <w:rPr>
          <w:rStyle w:val="FootnoteReference"/>
          <w:sz w:val="20"/>
          <w:vertAlign w:val="baseline"/>
        </w:rPr>
        <w:footnoteReference w:customMarkFollows="1" w:id="2"/>
        <w:t>*</w:t>
      </w:r>
      <w:r w:rsidR="008429FE">
        <w:t xml:space="preserve"> </w:t>
      </w:r>
      <w:r w:rsidR="00EB5186">
        <w:t xml:space="preserve">Azerbaijan,* Belarus,* </w:t>
      </w:r>
      <w:r w:rsidR="00932D42">
        <w:t xml:space="preserve">Belgium, </w:t>
      </w:r>
      <w:r w:rsidR="00EB5186">
        <w:t xml:space="preserve">Bolivia (Plurinational State of), </w:t>
      </w:r>
      <w:r w:rsidR="00854534">
        <w:t>Bosnia and Herzegovina,*</w:t>
      </w:r>
      <w:r w:rsidR="00854534" w:rsidRPr="00854534">
        <w:rPr>
          <w:rStyle w:val="FootnoteReference"/>
        </w:rPr>
        <w:t xml:space="preserve"> </w:t>
      </w:r>
      <w:r w:rsidR="00854534">
        <w:t xml:space="preserve">Botswana, </w:t>
      </w:r>
      <w:r w:rsidR="00CD7DE9">
        <w:t xml:space="preserve">Brazil, </w:t>
      </w:r>
      <w:r w:rsidR="008429FE">
        <w:t>Bulgaria,*</w:t>
      </w:r>
      <w:r w:rsidR="008429FE" w:rsidRPr="008429FE">
        <w:t xml:space="preserve"> </w:t>
      </w:r>
      <w:r w:rsidR="00CD7DE9">
        <w:t xml:space="preserve">China, </w:t>
      </w:r>
      <w:r w:rsidR="00932D42">
        <w:t xml:space="preserve">Croatia, </w:t>
      </w:r>
      <w:r w:rsidR="002F4DA2">
        <w:t xml:space="preserve">Cyprus,* </w:t>
      </w:r>
      <w:r w:rsidR="00EB5186" w:rsidRPr="00EB5186">
        <w:t xml:space="preserve">Democratic People’s Republic of Korea,* </w:t>
      </w:r>
      <w:r w:rsidR="00854534">
        <w:t xml:space="preserve">Ecuador, </w:t>
      </w:r>
      <w:r w:rsidR="00CD7DE9">
        <w:t>Egypt,</w:t>
      </w:r>
      <w:r w:rsidR="00854534" w:rsidRPr="009C23D4">
        <w:rPr>
          <w:rStyle w:val="FootnoteReference"/>
        </w:rPr>
        <w:footnoteReference w:customMarkFollows="1" w:id="3"/>
        <w:t>†</w:t>
      </w:r>
      <w:r w:rsidR="00CD7DE9">
        <w:t xml:space="preserve"> El Salvador, </w:t>
      </w:r>
      <w:r w:rsidR="00EB5186">
        <w:t xml:space="preserve">Ethiopia, </w:t>
      </w:r>
      <w:r w:rsidR="008803F0">
        <w:t xml:space="preserve">Iceland,* </w:t>
      </w:r>
      <w:r w:rsidR="00CD7DE9">
        <w:t xml:space="preserve">India, </w:t>
      </w:r>
      <w:r w:rsidR="00EB5186">
        <w:t xml:space="preserve">Iraq, </w:t>
      </w:r>
      <w:r w:rsidR="008803F0">
        <w:t xml:space="preserve">Luxembourg,* </w:t>
      </w:r>
      <w:r w:rsidR="008429FE">
        <w:t xml:space="preserve">Montenegro,* </w:t>
      </w:r>
      <w:r w:rsidR="00CD7DE9">
        <w:t>Nicaragua,</w:t>
      </w:r>
      <w:r w:rsidR="00854534" w:rsidRPr="00854534">
        <w:rPr>
          <w:rStyle w:val="FootnoteReference"/>
        </w:rPr>
        <w:t xml:space="preserve"> </w:t>
      </w:r>
      <w:r w:rsidR="00854534">
        <w:t>*</w:t>
      </w:r>
      <w:r w:rsidR="00CD7DE9">
        <w:t xml:space="preserve"> </w:t>
      </w:r>
      <w:r w:rsidR="00EB5186">
        <w:t xml:space="preserve">Panama, </w:t>
      </w:r>
      <w:r w:rsidR="00854534">
        <w:t xml:space="preserve">Paraguay,* </w:t>
      </w:r>
      <w:r w:rsidR="00CD7DE9">
        <w:t xml:space="preserve">Peru,* </w:t>
      </w:r>
      <w:r w:rsidR="002F4DA2">
        <w:t xml:space="preserve">Philippines, </w:t>
      </w:r>
      <w:r w:rsidR="008803F0">
        <w:t xml:space="preserve">Portugal, Republic of Moldova,* </w:t>
      </w:r>
      <w:r w:rsidR="00CD7DE9">
        <w:t xml:space="preserve">Russian Federation,* </w:t>
      </w:r>
      <w:r w:rsidR="00932D42">
        <w:t xml:space="preserve">Serbia,* </w:t>
      </w:r>
      <w:r w:rsidR="008803F0">
        <w:t xml:space="preserve">Slovenia, </w:t>
      </w:r>
      <w:r w:rsidR="00EB5186">
        <w:t xml:space="preserve">South Africa, </w:t>
      </w:r>
      <w:r w:rsidR="008429FE">
        <w:t xml:space="preserve">Spain,* Switzerland, </w:t>
      </w:r>
      <w:r w:rsidR="00CD7DE9">
        <w:t xml:space="preserve">Syrian Arab Republic,* </w:t>
      </w:r>
      <w:r w:rsidR="008803F0">
        <w:t xml:space="preserve">the former Yugoslav Republic of Macedonia,* </w:t>
      </w:r>
      <w:r w:rsidR="008429FE">
        <w:t xml:space="preserve">Turkey,* </w:t>
      </w:r>
      <w:r w:rsidR="00CD7DE9">
        <w:t>Venezuela (Bolivarian Republic of)</w:t>
      </w:r>
      <w:r w:rsidR="00EB5186">
        <w:t>, Viet Nam</w:t>
      </w:r>
      <w:r w:rsidR="00B114C5">
        <w:t>,</w:t>
      </w:r>
      <w:r w:rsidR="00EB5186">
        <w:t>*</w:t>
      </w:r>
      <w:r w:rsidR="00B114C5">
        <w:t xml:space="preserve"> State of Palestine:*</w:t>
      </w:r>
      <w:r>
        <w:t xml:space="preserve"> draft resolution</w:t>
      </w:r>
    </w:p>
    <w:p w:rsidR="002F006E" w:rsidRPr="007A45D3" w:rsidRDefault="00944104" w:rsidP="00CD7DE9">
      <w:pPr>
        <w:pStyle w:val="H1G"/>
        <w:ind w:left="1843" w:hanging="709"/>
      </w:pPr>
      <w:r>
        <w:t>3</w:t>
      </w:r>
      <w:r w:rsidR="008F22EA">
        <w:t>5</w:t>
      </w:r>
      <w:r>
        <w:t>/…</w:t>
      </w:r>
      <w:r>
        <w:tab/>
      </w:r>
      <w:r w:rsidR="00937383">
        <w:rPr>
          <w:bCs/>
          <w:lang w:val="en-US"/>
        </w:rPr>
        <w:t>Seventieth a</w:t>
      </w:r>
      <w:r w:rsidR="00CD7DE9" w:rsidRPr="00CD7DE9">
        <w:rPr>
          <w:bCs/>
          <w:lang w:val="en-US"/>
        </w:rPr>
        <w:t>nniversary of the Universal Declaration of Human Rights and</w:t>
      </w:r>
      <w:r w:rsidR="008E4F3A">
        <w:rPr>
          <w:bCs/>
          <w:lang w:val="en-US"/>
        </w:rPr>
        <w:t xml:space="preserve"> </w:t>
      </w:r>
      <w:r w:rsidR="00937383">
        <w:rPr>
          <w:bCs/>
          <w:lang w:val="en-US"/>
        </w:rPr>
        <w:t>twenty-fifth a</w:t>
      </w:r>
      <w:r w:rsidR="00CD7DE9" w:rsidRPr="00CD7DE9">
        <w:rPr>
          <w:bCs/>
          <w:lang w:val="en-US"/>
        </w:rPr>
        <w:t>nniversary of the Vienna Declaration and Programme of Action</w:t>
      </w:r>
    </w:p>
    <w:p w:rsidR="002F006E" w:rsidRDefault="002F006E" w:rsidP="00402A2C">
      <w:pPr>
        <w:pStyle w:val="SingleTxtG"/>
      </w:pPr>
      <w:r>
        <w:tab/>
      </w:r>
      <w:r w:rsidRPr="00402A2C">
        <w:rPr>
          <w:i/>
        </w:rPr>
        <w:t>The Human Rights Council</w:t>
      </w:r>
      <w:r w:rsidRPr="00402A2C">
        <w:t>,</w:t>
      </w:r>
    </w:p>
    <w:p w:rsidR="00CD7DE9" w:rsidRPr="00CD7DE9" w:rsidRDefault="00CD7DE9" w:rsidP="00CD7DE9">
      <w:pPr>
        <w:pStyle w:val="SingleTxtG"/>
      </w:pPr>
      <w:r>
        <w:tab/>
      </w:r>
      <w:r w:rsidRPr="00CD7DE9">
        <w:rPr>
          <w:i/>
        </w:rPr>
        <w:t>Guided</w:t>
      </w:r>
      <w:r w:rsidRPr="00CD7DE9">
        <w:t xml:space="preserve"> by the Charter of the United Nations, the Universal Declaration of Human Rights,</w:t>
      </w:r>
      <w:bookmarkStart w:id="0" w:name="_Ref485204089"/>
      <w:r w:rsidR="00F41E22">
        <w:rPr>
          <w:rStyle w:val="FootnoteReference"/>
        </w:rPr>
        <w:footnoteReference w:id="4"/>
      </w:r>
      <w:bookmarkEnd w:id="0"/>
      <w:r w:rsidRPr="00CD7DE9">
        <w:t xml:space="preserve"> the International Covenants on </w:t>
      </w:r>
      <w:r w:rsidR="00937383">
        <w:t>H</w:t>
      </w:r>
      <w:r w:rsidRPr="00CD7DE9">
        <w:t xml:space="preserve">uman </w:t>
      </w:r>
      <w:r w:rsidR="00937383">
        <w:t>R</w:t>
      </w:r>
      <w:r w:rsidRPr="00CD7DE9">
        <w:t>ights</w:t>
      </w:r>
      <w:r w:rsidR="00057857">
        <w:rPr>
          <w:rStyle w:val="FootnoteReference"/>
        </w:rPr>
        <w:footnoteReference w:id="5"/>
      </w:r>
      <w:r w:rsidRPr="00CD7DE9">
        <w:t xml:space="preserve"> and other relevant human rights instruments,</w:t>
      </w:r>
    </w:p>
    <w:p w:rsidR="00CD7DE9" w:rsidRPr="00CD7DE9" w:rsidRDefault="00CD7DE9" w:rsidP="00CD7DE9">
      <w:pPr>
        <w:pStyle w:val="SingleTxtG"/>
      </w:pPr>
      <w:r>
        <w:tab/>
      </w:r>
      <w:r w:rsidRPr="00CD7DE9">
        <w:rPr>
          <w:i/>
        </w:rPr>
        <w:t>Noting</w:t>
      </w:r>
      <w:r w:rsidRPr="00CD7DE9">
        <w:t xml:space="preserve"> that 2018 will mark </w:t>
      </w:r>
      <w:r w:rsidR="00937383">
        <w:t xml:space="preserve">the </w:t>
      </w:r>
      <w:r w:rsidRPr="00CD7DE9">
        <w:t>seventieth anniversary of the Univ</w:t>
      </w:r>
      <w:bookmarkStart w:id="1" w:name="_GoBack"/>
      <w:bookmarkEnd w:id="1"/>
      <w:r w:rsidRPr="00CD7DE9">
        <w:t xml:space="preserve">ersal Declaration of Human Rights as well as </w:t>
      </w:r>
      <w:r w:rsidR="00937383">
        <w:t xml:space="preserve">the </w:t>
      </w:r>
      <w:r w:rsidRPr="00CD7DE9">
        <w:t>twenty-fifth anniversary of the Vienna Declaration and Programme of Action</w:t>
      </w:r>
      <w:r w:rsidR="00F64CC0">
        <w:t xml:space="preserve"> adopted by the World Conference on Human Rights on 25 June 1993,</w:t>
      </w:r>
      <w:bookmarkStart w:id="2" w:name="_Ref485204108"/>
      <w:r>
        <w:rPr>
          <w:rStyle w:val="FootnoteReference"/>
        </w:rPr>
        <w:footnoteReference w:id="6"/>
      </w:r>
      <w:bookmarkEnd w:id="2"/>
      <w:r w:rsidRPr="00CD7DE9">
        <w:t xml:space="preserve"> and acknowledging the importance of these instruments for the promotion and the protection of all human rights,</w:t>
      </w:r>
    </w:p>
    <w:p w:rsidR="00CD7DE9" w:rsidRPr="00CD7DE9" w:rsidRDefault="008E4F3A" w:rsidP="00CD7DE9">
      <w:pPr>
        <w:pStyle w:val="SingleTxtG"/>
      </w:pPr>
      <w:r>
        <w:tab/>
      </w:r>
      <w:r w:rsidR="00CD7DE9" w:rsidRPr="00CD7DE9">
        <w:rPr>
          <w:i/>
        </w:rPr>
        <w:t>Emphasizing</w:t>
      </w:r>
      <w:r w:rsidR="00CD7DE9" w:rsidRPr="00CD7DE9">
        <w:t xml:space="preserve"> that the anniversaries offer a valuable opportunity to raise awareness, as well as to reflect on achievements, best practices and challenges with regard to the full </w:t>
      </w:r>
      <w:r w:rsidR="00CD7DE9" w:rsidRPr="00CD7DE9">
        <w:lastRenderedPageBreak/>
        <w:t>realization of human rights for all, without distinction of any kind, such as race, colour, sex, language, religion, political or other opinion, national or social origin, p</w:t>
      </w:r>
      <w:r w:rsidR="00CD7DE9">
        <w:t>roperty, birth or other status,</w:t>
      </w:r>
    </w:p>
    <w:p w:rsidR="00CD7DE9" w:rsidRPr="00CD7DE9" w:rsidRDefault="00CD7DE9" w:rsidP="00CD7DE9">
      <w:pPr>
        <w:pStyle w:val="SingleTxtG"/>
      </w:pPr>
      <w:r>
        <w:tab/>
      </w:r>
      <w:r w:rsidRPr="00CD7DE9">
        <w:rPr>
          <w:i/>
        </w:rPr>
        <w:t>Reaffirming</w:t>
      </w:r>
      <w:r w:rsidRPr="00CD7DE9">
        <w:t xml:space="preserve"> that all human rights are universal, indivisible, interdependent and interrelated and that the international community must treat them globally in a fair and equal manner, on the same footing and with the same emphasis, and that</w:t>
      </w:r>
      <w:r w:rsidR="00937383">
        <w:t>,</w:t>
      </w:r>
      <w:r w:rsidRPr="00CD7DE9">
        <w:t xml:space="preserve"> while the significance of national and regional particularities and various historical, cultural and religious backgrounds must be borne in mind, it is the duty of States, regardless of their political, economic and cultural systems, to promote and protect all human rights and fundamental freedoms,</w:t>
      </w:r>
    </w:p>
    <w:p w:rsidR="00CD7DE9" w:rsidRPr="00CD7DE9" w:rsidRDefault="00CD7DE9" w:rsidP="00CD7DE9">
      <w:pPr>
        <w:pStyle w:val="SingleTxtG"/>
      </w:pPr>
      <w:r>
        <w:tab/>
      </w:r>
      <w:r w:rsidRPr="00CD7DE9">
        <w:rPr>
          <w:i/>
        </w:rPr>
        <w:t>Stressing</w:t>
      </w:r>
      <w:r w:rsidRPr="00CD7DE9">
        <w:t xml:space="preserve"> the necessity for continued national efforts with a view to the full realization of all human rights and fundamental freedoms, and acknowledging </w:t>
      </w:r>
      <w:r w:rsidR="00937383">
        <w:t xml:space="preserve">the </w:t>
      </w:r>
      <w:r w:rsidRPr="00CD7DE9">
        <w:t>benefits of enhanced international cooperation to that end,</w:t>
      </w:r>
    </w:p>
    <w:p w:rsidR="00CD7DE9" w:rsidRPr="00CD7DE9" w:rsidRDefault="008E4F3A" w:rsidP="00CD7DE9">
      <w:pPr>
        <w:pStyle w:val="SingleTxtG"/>
      </w:pPr>
      <w:r>
        <w:tab/>
      </w:r>
      <w:r w:rsidR="00CD7DE9">
        <w:t>1.</w:t>
      </w:r>
      <w:r w:rsidR="00CD7DE9">
        <w:tab/>
      </w:r>
      <w:r w:rsidR="00CD7DE9" w:rsidRPr="00CD7DE9">
        <w:rPr>
          <w:i/>
        </w:rPr>
        <w:t>Decides</w:t>
      </w:r>
      <w:r w:rsidR="00CD7DE9" w:rsidRPr="00CD7DE9">
        <w:t xml:space="preserve"> to convene, at its thirty-seventh session, a high-level panel discussion to commemorate the seventieth anniversary of the Universal Declaration of Human Rights</w:t>
      </w:r>
      <w:r w:rsidR="001A52D0" w:rsidRPr="00191856">
        <w:rPr>
          <w:vertAlign w:val="superscript"/>
        </w:rPr>
        <w:fldChar w:fldCharType="begin"/>
      </w:r>
      <w:r w:rsidR="001A52D0" w:rsidRPr="00191856">
        <w:rPr>
          <w:vertAlign w:val="superscript"/>
        </w:rPr>
        <w:instrText xml:space="preserve"> NOTEREF _Ref485204089 \h </w:instrText>
      </w:r>
      <w:r w:rsidR="001A52D0">
        <w:rPr>
          <w:vertAlign w:val="superscript"/>
        </w:rPr>
        <w:instrText xml:space="preserve"> \* MERGEFORMAT </w:instrText>
      </w:r>
      <w:r w:rsidR="001A52D0" w:rsidRPr="00191856">
        <w:rPr>
          <w:vertAlign w:val="superscript"/>
        </w:rPr>
      </w:r>
      <w:r w:rsidR="001A52D0" w:rsidRPr="00191856">
        <w:rPr>
          <w:vertAlign w:val="superscript"/>
        </w:rPr>
        <w:fldChar w:fldCharType="separate"/>
      </w:r>
      <w:r w:rsidR="005D276E">
        <w:rPr>
          <w:vertAlign w:val="superscript"/>
        </w:rPr>
        <w:t>1</w:t>
      </w:r>
      <w:r w:rsidR="001A52D0" w:rsidRPr="00191856">
        <w:rPr>
          <w:vertAlign w:val="superscript"/>
        </w:rPr>
        <w:fldChar w:fldCharType="end"/>
      </w:r>
      <w:r w:rsidR="00CD7DE9" w:rsidRPr="00CD7DE9">
        <w:t xml:space="preserve"> and </w:t>
      </w:r>
      <w:r w:rsidR="00937383">
        <w:t xml:space="preserve">the </w:t>
      </w:r>
      <w:r w:rsidR="00CD7DE9" w:rsidRPr="00CD7DE9">
        <w:t>twenty-fifth anniversary of the Vienna Declaration and Programme of Action</w:t>
      </w:r>
      <w:r w:rsidR="00937383">
        <w:t>,</w:t>
      </w:r>
      <w:r w:rsidR="001A52D0" w:rsidRPr="00191856">
        <w:rPr>
          <w:vertAlign w:val="superscript"/>
        </w:rPr>
        <w:fldChar w:fldCharType="begin"/>
      </w:r>
      <w:r w:rsidR="001A52D0" w:rsidRPr="00191856">
        <w:rPr>
          <w:vertAlign w:val="superscript"/>
        </w:rPr>
        <w:instrText xml:space="preserve"> NOTEREF _Ref485204108 \h </w:instrText>
      </w:r>
      <w:r w:rsidR="001A52D0">
        <w:rPr>
          <w:vertAlign w:val="superscript"/>
        </w:rPr>
        <w:instrText xml:space="preserve"> \* MERGEFORMAT </w:instrText>
      </w:r>
      <w:r w:rsidR="001A52D0" w:rsidRPr="00191856">
        <w:rPr>
          <w:vertAlign w:val="superscript"/>
        </w:rPr>
      </w:r>
      <w:r w:rsidR="001A52D0" w:rsidRPr="00191856">
        <w:rPr>
          <w:vertAlign w:val="superscript"/>
        </w:rPr>
        <w:fldChar w:fldCharType="separate"/>
      </w:r>
      <w:r w:rsidR="005D276E">
        <w:rPr>
          <w:vertAlign w:val="superscript"/>
        </w:rPr>
        <w:t>3</w:t>
      </w:r>
      <w:r w:rsidR="001A52D0" w:rsidRPr="00191856">
        <w:rPr>
          <w:vertAlign w:val="superscript"/>
        </w:rPr>
        <w:fldChar w:fldCharType="end"/>
      </w:r>
      <w:r w:rsidR="00CD7DE9" w:rsidRPr="00CD7DE9">
        <w:t xml:space="preserve"> with a particular focus on </w:t>
      </w:r>
      <w:r>
        <w:t xml:space="preserve">the </w:t>
      </w:r>
      <w:r w:rsidR="00CD7DE9" w:rsidRPr="00CD7DE9">
        <w:t>implementation of the provisions</w:t>
      </w:r>
      <w:r>
        <w:t xml:space="preserve"> thereof</w:t>
      </w:r>
      <w:r w:rsidR="00CD7DE9" w:rsidRPr="00CD7DE9">
        <w:t>, including the benefits of enhanced international cooperation in that regard</w:t>
      </w:r>
      <w:r w:rsidR="00F64CC0">
        <w:t>;</w:t>
      </w:r>
    </w:p>
    <w:p w:rsidR="00CD7DE9" w:rsidRPr="00CD7DE9" w:rsidRDefault="00CD7DE9" w:rsidP="00CD7DE9">
      <w:pPr>
        <w:pStyle w:val="SingleTxtG"/>
      </w:pPr>
      <w:r>
        <w:tab/>
        <w:t>2.</w:t>
      </w:r>
      <w:r>
        <w:tab/>
      </w:r>
      <w:r w:rsidRPr="00CD7DE9">
        <w:rPr>
          <w:i/>
        </w:rPr>
        <w:t>Requests</w:t>
      </w:r>
      <w:r w:rsidRPr="00CD7DE9">
        <w:t xml:space="preserve"> the Office of the United Nations High Commissioner for Human Rights to liaise with States, relevant United Nations bodies and agencies, treaty bodies, special procedures and regional human rights mechanisms, as well as with civil society, including non-governmental organizations, and national human rights institutions, with a view to ensuring their participation in the panel discussion, and </w:t>
      </w:r>
      <w:r w:rsidR="00937383">
        <w:t xml:space="preserve">to </w:t>
      </w:r>
      <w:r w:rsidRPr="00CD7DE9">
        <w:t>make it fully accessible for persons with disabilities</w:t>
      </w:r>
      <w:r w:rsidR="00F64CC0">
        <w:t>;</w:t>
      </w:r>
    </w:p>
    <w:p w:rsidR="00CD7DE9" w:rsidRPr="00CD7DE9" w:rsidRDefault="00CD7DE9" w:rsidP="00CD7DE9">
      <w:pPr>
        <w:pStyle w:val="SingleTxtG"/>
      </w:pPr>
      <w:r>
        <w:tab/>
        <w:t>3.</w:t>
      </w:r>
      <w:r>
        <w:tab/>
      </w:r>
      <w:r w:rsidRPr="00CD7DE9">
        <w:rPr>
          <w:i/>
        </w:rPr>
        <w:t>Also requests</w:t>
      </w:r>
      <w:r w:rsidRPr="00CD7DE9">
        <w:t xml:space="preserve"> the Office of the High Commissioner to prepare a summary report on the panel discussion and to submit it to the Human Rights Council at its thirty-eighth session and to the General Assembly</w:t>
      </w:r>
      <w:r w:rsidR="00F64CC0">
        <w:t>;</w:t>
      </w:r>
    </w:p>
    <w:p w:rsidR="00CD7DE9" w:rsidRPr="00CD7DE9" w:rsidRDefault="00CD7DE9" w:rsidP="00CD7DE9">
      <w:pPr>
        <w:pStyle w:val="SingleTxtG"/>
      </w:pPr>
      <w:r>
        <w:tab/>
        <w:t>4.</w:t>
      </w:r>
      <w:r>
        <w:tab/>
      </w:r>
      <w:r w:rsidRPr="00CD7DE9">
        <w:rPr>
          <w:i/>
        </w:rPr>
        <w:t>Invites</w:t>
      </w:r>
      <w:r w:rsidRPr="00CD7DE9">
        <w:t xml:space="preserve"> the United Nations High Commissioner for Human Rights to make provisions for events and arrangements aimed at the celebration of the anniversaries and to circulate the relevant information among States and other stakeholders</w:t>
      </w:r>
      <w:r w:rsidR="00F64CC0">
        <w:t>;</w:t>
      </w:r>
    </w:p>
    <w:p w:rsidR="00CD7DE9" w:rsidRPr="00CD7DE9" w:rsidRDefault="008E4F3A" w:rsidP="00CD7DE9">
      <w:pPr>
        <w:pStyle w:val="SingleTxtG"/>
      </w:pPr>
      <w:r>
        <w:tab/>
      </w:r>
      <w:r w:rsidR="00CD7DE9" w:rsidRPr="00CD7DE9">
        <w:t>5.</w:t>
      </w:r>
      <w:r w:rsidR="00CD7DE9">
        <w:tab/>
      </w:r>
      <w:r w:rsidR="00CD7DE9" w:rsidRPr="00CD7DE9">
        <w:rPr>
          <w:i/>
        </w:rPr>
        <w:t>Encourages</w:t>
      </w:r>
      <w:r w:rsidR="00CD7DE9" w:rsidRPr="00CD7DE9">
        <w:t xml:space="preserve"> States to use these anniversaries as a tool to raise awareness of the Universal Declaration of Human Rights and the Vienna Declaration and Programme of Action and their role in the promotion and protection of all human rights and fundamental freedoms</w:t>
      </w:r>
      <w:r w:rsidR="00F64CC0">
        <w:t>;</w:t>
      </w:r>
    </w:p>
    <w:p w:rsidR="00CD7DE9" w:rsidRPr="00CD7DE9" w:rsidRDefault="00CD7DE9" w:rsidP="00CD7DE9">
      <w:pPr>
        <w:pStyle w:val="SingleTxtG"/>
        <w:rPr>
          <w:rFonts w:eastAsia="Arial Unicode MS"/>
        </w:rPr>
      </w:pPr>
      <w:r>
        <w:tab/>
      </w:r>
      <w:r w:rsidRPr="00CD7DE9">
        <w:t>6.</w:t>
      </w:r>
      <w:r>
        <w:tab/>
      </w:r>
      <w:r w:rsidRPr="00CD7DE9">
        <w:rPr>
          <w:i/>
        </w:rPr>
        <w:t>Invites</w:t>
      </w:r>
      <w:r w:rsidRPr="00CD7DE9">
        <w:t xml:space="preserve"> the General Assembly to consider holding a special commemorative meeting on the occasion of the anniversaries in 2018.</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57E" w:rsidRDefault="0008657E"/>
  </w:endnote>
  <w:endnote w:type="continuationSeparator" w:id="0">
    <w:p w:rsidR="0008657E" w:rsidRDefault="0008657E"/>
  </w:endnote>
  <w:endnote w:type="continuationNotice" w:id="1">
    <w:p w:rsidR="0008657E" w:rsidRDefault="00086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5D276E">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A5EC1">
      <w:rPr>
        <w:b/>
        <w:noProof/>
        <w:sz w:val="18"/>
      </w:rPr>
      <w:t>9</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52D" w:rsidRDefault="00C4652D" w:rsidP="00C4652D">
    <w:pPr>
      <w:pStyle w:val="Footer"/>
    </w:pPr>
    <w:r>
      <w:rPr>
        <w:rFonts w:ascii="C39T30Lfz" w:hAnsi="C39T30Lfz"/>
        <w:noProof/>
        <w:sz w:val="56"/>
        <w:lang w:eastAsia="en-GB"/>
      </w:rPr>
      <w:drawing>
        <wp:anchor distT="0" distB="0" distL="114300" distR="114300" simplePos="0" relativeHeight="251658752" behindDoc="0" locked="0" layoutInCell="1" allowOverlap="1">
          <wp:simplePos x="0" y="0"/>
          <wp:positionH relativeFrom="margin">
            <wp:posOffset>5467057</wp:posOffset>
          </wp:positionH>
          <wp:positionV relativeFrom="margin">
            <wp:posOffset>8114811</wp:posOffset>
          </wp:positionV>
          <wp:extent cx="638175" cy="638175"/>
          <wp:effectExtent l="0" t="0" r="9525" b="9525"/>
          <wp:wrapNone/>
          <wp:docPr id="2" name="Picture 1" descr="https://undocs.org/m2/QRCode.ashx?DS=A/HRC/35/L.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1" layoutInCell="1" allowOverlap="1" wp14:anchorId="0AB8EDB2" wp14:editId="73837EC2">
          <wp:simplePos x="0" y="0"/>
          <wp:positionH relativeFrom="margin">
            <wp:posOffset>4402455</wp:posOffset>
          </wp:positionH>
          <wp:positionV relativeFrom="margin">
            <wp:posOffset>8324215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C4652D" w:rsidRDefault="00C4652D" w:rsidP="00C4652D">
    <w:pPr>
      <w:pStyle w:val="Footer"/>
      <w:ind w:right="1134"/>
      <w:rPr>
        <w:sz w:val="20"/>
      </w:rPr>
    </w:pPr>
    <w:r>
      <w:rPr>
        <w:sz w:val="20"/>
      </w:rPr>
      <w:t>GE.17-09877(E)</w:t>
    </w:r>
  </w:p>
  <w:p w:rsidR="00C4652D" w:rsidRPr="00C4652D" w:rsidRDefault="00C4652D" w:rsidP="00C4652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57E" w:rsidRPr="000B175B" w:rsidRDefault="0008657E" w:rsidP="000B175B">
      <w:pPr>
        <w:tabs>
          <w:tab w:val="right" w:pos="2155"/>
        </w:tabs>
        <w:spacing w:after="80"/>
        <w:ind w:left="680"/>
        <w:rPr>
          <w:u w:val="single"/>
        </w:rPr>
      </w:pPr>
      <w:r>
        <w:rPr>
          <w:u w:val="single"/>
        </w:rPr>
        <w:tab/>
      </w:r>
    </w:p>
  </w:footnote>
  <w:footnote w:type="continuationSeparator" w:id="0">
    <w:p w:rsidR="0008657E" w:rsidRPr="00FC68B7" w:rsidRDefault="0008657E" w:rsidP="00FC68B7">
      <w:pPr>
        <w:tabs>
          <w:tab w:val="left" w:pos="2155"/>
        </w:tabs>
        <w:spacing w:after="80"/>
        <w:ind w:left="680"/>
        <w:rPr>
          <w:u w:val="single"/>
        </w:rPr>
      </w:pPr>
      <w:r>
        <w:rPr>
          <w:u w:val="single"/>
        </w:rPr>
        <w:tab/>
      </w:r>
    </w:p>
  </w:footnote>
  <w:footnote w:type="continuationNotice" w:id="1">
    <w:p w:rsidR="0008657E" w:rsidRDefault="0008657E"/>
  </w:footnote>
  <w:footnote w:id="2">
    <w:p w:rsidR="00854534" w:rsidRPr="00CD7DE9" w:rsidRDefault="00854534" w:rsidP="00854534">
      <w:pPr>
        <w:pStyle w:val="FootnoteText"/>
      </w:pPr>
      <w:r>
        <w:rPr>
          <w:rStyle w:val="FootnoteReference"/>
        </w:rPr>
        <w:tab/>
      </w:r>
      <w:r w:rsidRPr="00CD7DE9">
        <w:rPr>
          <w:rStyle w:val="FootnoteReference"/>
          <w:sz w:val="20"/>
          <w:vertAlign w:val="baseline"/>
        </w:rPr>
        <w:t>*</w:t>
      </w:r>
      <w:r>
        <w:rPr>
          <w:rStyle w:val="FootnoteReference"/>
          <w:sz w:val="20"/>
          <w:vertAlign w:val="baseline"/>
        </w:rPr>
        <w:tab/>
      </w:r>
      <w:r>
        <w:t>State not a member of the Human Rights Council.</w:t>
      </w:r>
    </w:p>
  </w:footnote>
  <w:footnote w:id="3">
    <w:p w:rsidR="00854534" w:rsidRDefault="00854534" w:rsidP="00854534">
      <w:pPr>
        <w:pStyle w:val="FootnoteText"/>
      </w:pPr>
      <w:r>
        <w:tab/>
      </w:r>
      <w:r>
        <w:rPr>
          <w:rStyle w:val="FootnoteReference"/>
        </w:rPr>
        <w:t>†</w:t>
      </w:r>
      <w:r>
        <w:tab/>
        <w:t>On behalf of the States Members of the United Nations that are members of the Group of Arab States.</w:t>
      </w:r>
    </w:p>
  </w:footnote>
  <w:footnote w:id="4">
    <w:p w:rsidR="00F41E22" w:rsidRDefault="00F41E22" w:rsidP="00F41E22">
      <w:pPr>
        <w:pStyle w:val="FootnoteText"/>
        <w:widowControl w:val="0"/>
        <w:tabs>
          <w:tab w:val="clear" w:pos="1021"/>
          <w:tab w:val="right" w:pos="1020"/>
        </w:tabs>
      </w:pPr>
      <w:r>
        <w:tab/>
      </w:r>
      <w:r>
        <w:rPr>
          <w:rStyle w:val="FootnoteReference"/>
        </w:rPr>
        <w:footnoteRef/>
      </w:r>
      <w:r>
        <w:tab/>
      </w:r>
      <w:r w:rsidRPr="00CD7DE9">
        <w:rPr>
          <w:lang w:val="en-US"/>
        </w:rPr>
        <w:t xml:space="preserve">General Assembly </w:t>
      </w:r>
      <w:r>
        <w:rPr>
          <w:lang w:val="en-US"/>
        </w:rPr>
        <w:t>r</w:t>
      </w:r>
      <w:r w:rsidRPr="00CD7DE9">
        <w:rPr>
          <w:lang w:val="en-US"/>
        </w:rPr>
        <w:t>esolution 217 A (III)</w:t>
      </w:r>
      <w:r>
        <w:rPr>
          <w:lang w:val="en-US"/>
        </w:rPr>
        <w:t>.</w:t>
      </w:r>
    </w:p>
  </w:footnote>
  <w:footnote w:id="5">
    <w:p w:rsidR="00057857" w:rsidRDefault="00057857" w:rsidP="00191856">
      <w:pPr>
        <w:pStyle w:val="FootnoteText"/>
        <w:widowControl w:val="0"/>
      </w:pPr>
      <w:r>
        <w:tab/>
      </w:r>
      <w:r>
        <w:rPr>
          <w:rStyle w:val="FootnoteReference"/>
        </w:rPr>
        <w:footnoteRef/>
      </w:r>
      <w:r>
        <w:tab/>
      </w:r>
      <w:r w:rsidRPr="00057857">
        <w:t>General Assembly resolution 2200 A (XXI), annex</w:t>
      </w:r>
      <w:r>
        <w:t xml:space="preserve">. </w:t>
      </w:r>
    </w:p>
  </w:footnote>
  <w:footnote w:id="6">
    <w:p w:rsidR="00CD7DE9" w:rsidRDefault="00CD7DE9" w:rsidP="00CD7DE9">
      <w:pPr>
        <w:pStyle w:val="FootnoteText"/>
        <w:widowControl w:val="0"/>
        <w:tabs>
          <w:tab w:val="clear" w:pos="1021"/>
          <w:tab w:val="right" w:pos="1020"/>
        </w:tabs>
      </w:pPr>
      <w:r>
        <w:tab/>
      </w:r>
      <w:r>
        <w:rPr>
          <w:rStyle w:val="FootnoteReference"/>
        </w:rPr>
        <w:footnoteRef/>
      </w:r>
      <w:r>
        <w:tab/>
      </w:r>
      <w:r w:rsidR="00937383">
        <w:rPr>
          <w:lang w:val="en-US"/>
        </w:rPr>
        <w:t>A/CONF.157/24</w:t>
      </w:r>
      <w:r w:rsidR="00F64CC0">
        <w:rPr>
          <w:lang w:val="en-US"/>
        </w:rPr>
        <w:t xml:space="preserve"> (Part I), chap. III</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pPr>
      <w:pStyle w:val="Header"/>
    </w:pPr>
    <w:r>
      <w:t>A/HRC/</w:t>
    </w:r>
    <w:r w:rsidR="00402A2C">
      <w:t>3</w:t>
    </w:r>
    <w:r w:rsidR="008F22EA">
      <w:t>5</w:t>
    </w:r>
    <w:r w:rsidR="00E10083">
      <w:t>/L.</w:t>
    </w:r>
    <w:r w:rsidR="00CD7DE9">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5A69B3" w:rsidP="00EE2A77">
    <w:pPr>
      <w:pStyle w:val="Header"/>
      <w:jc w:val="right"/>
    </w:pPr>
    <w:r>
      <w:t>A/HRC/</w:t>
    </w:r>
    <w:r w:rsidR="00402A2C">
      <w:t>3</w:t>
    </w:r>
    <w:r w:rsidR="00D42B42">
      <w:t>1</w:t>
    </w:r>
    <w:r w:rsidR="00E10083">
      <w:t>/L.</w:t>
    </w:r>
    <w:r w:rsidR="00154B0E">
      <w:t>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6AE"/>
    <w:rsid w:val="00001D37"/>
    <w:rsid w:val="00007F7F"/>
    <w:rsid w:val="00022DB5"/>
    <w:rsid w:val="00032232"/>
    <w:rsid w:val="000403D1"/>
    <w:rsid w:val="0004169B"/>
    <w:rsid w:val="00042566"/>
    <w:rsid w:val="000449AA"/>
    <w:rsid w:val="00050F6B"/>
    <w:rsid w:val="0005216E"/>
    <w:rsid w:val="00057857"/>
    <w:rsid w:val="00072C8C"/>
    <w:rsid w:val="00073E70"/>
    <w:rsid w:val="0008657E"/>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3013B"/>
    <w:rsid w:val="00146D32"/>
    <w:rsid w:val="001509BA"/>
    <w:rsid w:val="00153FA2"/>
    <w:rsid w:val="00154B0E"/>
    <w:rsid w:val="00190DA0"/>
    <w:rsid w:val="00191856"/>
    <w:rsid w:val="00195879"/>
    <w:rsid w:val="001A52D0"/>
    <w:rsid w:val="001B4B04"/>
    <w:rsid w:val="001C6663"/>
    <w:rsid w:val="001C7895"/>
    <w:rsid w:val="001D26DF"/>
    <w:rsid w:val="001D6952"/>
    <w:rsid w:val="001E2790"/>
    <w:rsid w:val="00211E0B"/>
    <w:rsid w:val="00211E72"/>
    <w:rsid w:val="00214047"/>
    <w:rsid w:val="0022130F"/>
    <w:rsid w:val="00237785"/>
    <w:rsid w:val="002410DD"/>
    <w:rsid w:val="00241466"/>
    <w:rsid w:val="00253D58"/>
    <w:rsid w:val="0027725F"/>
    <w:rsid w:val="0028185A"/>
    <w:rsid w:val="002C21F0"/>
    <w:rsid w:val="002D4176"/>
    <w:rsid w:val="002E7C76"/>
    <w:rsid w:val="002F006E"/>
    <w:rsid w:val="002F4DA2"/>
    <w:rsid w:val="003107FA"/>
    <w:rsid w:val="00317071"/>
    <w:rsid w:val="003229D8"/>
    <w:rsid w:val="0033087A"/>
    <w:rsid w:val="003314D1"/>
    <w:rsid w:val="00335A2F"/>
    <w:rsid w:val="00341937"/>
    <w:rsid w:val="0036088C"/>
    <w:rsid w:val="00364A1C"/>
    <w:rsid w:val="00390052"/>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1E2F"/>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D276E"/>
    <w:rsid w:val="005E1712"/>
    <w:rsid w:val="005F52A9"/>
    <w:rsid w:val="0061165E"/>
    <w:rsid w:val="00611ABD"/>
    <w:rsid w:val="00611FC4"/>
    <w:rsid w:val="006176FB"/>
    <w:rsid w:val="00640B26"/>
    <w:rsid w:val="006601B6"/>
    <w:rsid w:val="00670741"/>
    <w:rsid w:val="00674C17"/>
    <w:rsid w:val="00685DD4"/>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49FC"/>
    <w:rsid w:val="006F5035"/>
    <w:rsid w:val="0070635F"/>
    <w:rsid w:val="007065EB"/>
    <w:rsid w:val="0071701A"/>
    <w:rsid w:val="00720183"/>
    <w:rsid w:val="0072632A"/>
    <w:rsid w:val="0074200B"/>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429FE"/>
    <w:rsid w:val="00854534"/>
    <w:rsid w:val="00856CD2"/>
    <w:rsid w:val="00861BC6"/>
    <w:rsid w:val="00871FD5"/>
    <w:rsid w:val="008803F0"/>
    <w:rsid w:val="008979B1"/>
    <w:rsid w:val="008A6B25"/>
    <w:rsid w:val="008A6C4F"/>
    <w:rsid w:val="008C1E4D"/>
    <w:rsid w:val="008E0E46"/>
    <w:rsid w:val="008E4F3A"/>
    <w:rsid w:val="008F22EA"/>
    <w:rsid w:val="0090452C"/>
    <w:rsid w:val="00907C3F"/>
    <w:rsid w:val="0092237C"/>
    <w:rsid w:val="00932D42"/>
    <w:rsid w:val="0093707B"/>
    <w:rsid w:val="00937383"/>
    <w:rsid w:val="009400EB"/>
    <w:rsid w:val="009427E3"/>
    <w:rsid w:val="00944104"/>
    <w:rsid w:val="00956D9B"/>
    <w:rsid w:val="00963CBA"/>
    <w:rsid w:val="009654B7"/>
    <w:rsid w:val="00976B90"/>
    <w:rsid w:val="00991261"/>
    <w:rsid w:val="0099694B"/>
    <w:rsid w:val="009A0B83"/>
    <w:rsid w:val="009B019A"/>
    <w:rsid w:val="009B3800"/>
    <w:rsid w:val="009D22AC"/>
    <w:rsid w:val="009D50DB"/>
    <w:rsid w:val="009D663E"/>
    <w:rsid w:val="009E1C4E"/>
    <w:rsid w:val="009F34F1"/>
    <w:rsid w:val="009F58A8"/>
    <w:rsid w:val="00A003D2"/>
    <w:rsid w:val="00A02B35"/>
    <w:rsid w:val="00A05E0B"/>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114C5"/>
    <w:rsid w:val="00B2327D"/>
    <w:rsid w:val="00B2715D"/>
    <w:rsid w:val="00B2718F"/>
    <w:rsid w:val="00B30179"/>
    <w:rsid w:val="00B3317B"/>
    <w:rsid w:val="00B334DC"/>
    <w:rsid w:val="00B3631A"/>
    <w:rsid w:val="00B4035F"/>
    <w:rsid w:val="00B53013"/>
    <w:rsid w:val="00B56828"/>
    <w:rsid w:val="00B57EDB"/>
    <w:rsid w:val="00B67F5E"/>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4652D"/>
    <w:rsid w:val="00C53250"/>
    <w:rsid w:val="00C62C58"/>
    <w:rsid w:val="00C64458"/>
    <w:rsid w:val="00C745C3"/>
    <w:rsid w:val="00C86EEF"/>
    <w:rsid w:val="00CA2A58"/>
    <w:rsid w:val="00CC0B55"/>
    <w:rsid w:val="00CD1E06"/>
    <w:rsid w:val="00CD6995"/>
    <w:rsid w:val="00CD7DE9"/>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16FE7"/>
    <w:rsid w:val="00E23BBC"/>
    <w:rsid w:val="00E25A19"/>
    <w:rsid w:val="00E438D9"/>
    <w:rsid w:val="00E5536D"/>
    <w:rsid w:val="00E5644E"/>
    <w:rsid w:val="00E61A6C"/>
    <w:rsid w:val="00E7260F"/>
    <w:rsid w:val="00E806EE"/>
    <w:rsid w:val="00E9471B"/>
    <w:rsid w:val="00E96630"/>
    <w:rsid w:val="00EA5EC1"/>
    <w:rsid w:val="00EB0C95"/>
    <w:rsid w:val="00EB0FB9"/>
    <w:rsid w:val="00EB5186"/>
    <w:rsid w:val="00EC250E"/>
    <w:rsid w:val="00ED0CA9"/>
    <w:rsid w:val="00ED7A2A"/>
    <w:rsid w:val="00EE2A77"/>
    <w:rsid w:val="00EE36FF"/>
    <w:rsid w:val="00EF1D7F"/>
    <w:rsid w:val="00EF5BDB"/>
    <w:rsid w:val="00F07FD9"/>
    <w:rsid w:val="00F15AA7"/>
    <w:rsid w:val="00F225CB"/>
    <w:rsid w:val="00F23933"/>
    <w:rsid w:val="00F24119"/>
    <w:rsid w:val="00F40E75"/>
    <w:rsid w:val="00F41E22"/>
    <w:rsid w:val="00F42CD9"/>
    <w:rsid w:val="00F4793B"/>
    <w:rsid w:val="00F52936"/>
    <w:rsid w:val="00F64CC0"/>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2A1920EB-F701-43E1-AFCC-C132239A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3E46E-C4AE-4359-BE8A-41650FAF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3941</Characters>
  <Application>Microsoft Office Word</Application>
  <DocSecurity>0</DocSecurity>
  <Lines>78</Lines>
  <Paragraphs>29</Paragraphs>
  <ScaleCrop>false</ScaleCrop>
  <HeadingPairs>
    <vt:vector size="2" baseType="variant">
      <vt:variant>
        <vt:lpstr>Title</vt:lpstr>
      </vt:variant>
      <vt:variant>
        <vt:i4>1</vt:i4>
      </vt:variant>
    </vt:vector>
  </HeadingPairs>
  <TitlesOfParts>
    <vt:vector size="1" baseType="lpstr">
      <vt:lpstr>1709877</vt:lpstr>
    </vt:vector>
  </TitlesOfParts>
  <Company>CSD</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1709877</dc:title>
  <dc:subject>A/HRC/35/L.1</dc:subject>
  <dc:creator>Kiatsurayanon</dc:creator>
  <cp:keywords/>
  <dc:description/>
  <cp:lastModifiedBy>Generic Desk Anglais</cp:lastModifiedBy>
  <cp:revision>3</cp:revision>
  <cp:lastPrinted>2017-06-15T15:23:00Z</cp:lastPrinted>
  <dcterms:created xsi:type="dcterms:W3CDTF">2017-06-15T15:23:00Z</dcterms:created>
  <dcterms:modified xsi:type="dcterms:W3CDTF">2017-06-15T15:24:00Z</dcterms:modified>
</cp:coreProperties>
</file>