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0568E54" w14:textId="77777777">
        <w:trPr>
          <w:trHeight w:val="851"/>
        </w:trPr>
        <w:tc>
          <w:tcPr>
            <w:tcW w:w="1259" w:type="dxa"/>
            <w:tcBorders>
              <w:top w:val="nil"/>
              <w:left w:val="nil"/>
              <w:bottom w:val="single" w:sz="4" w:space="0" w:color="auto"/>
              <w:right w:val="nil"/>
            </w:tcBorders>
          </w:tcPr>
          <w:p w14:paraId="722A0E4A"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52731243"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390650A"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580FC28" w14:textId="77777777" w:rsidR="00446DE4" w:rsidRPr="00DE3EC0" w:rsidRDefault="00EE2A77" w:rsidP="002D3566">
            <w:pPr>
              <w:jc w:val="right"/>
            </w:pPr>
            <w:r w:rsidRPr="00EE2A77">
              <w:rPr>
                <w:sz w:val="40"/>
              </w:rPr>
              <w:t>A</w:t>
            </w:r>
            <w:r>
              <w:t>/HRC/</w:t>
            </w:r>
            <w:r w:rsidR="00944104">
              <w:t>3</w:t>
            </w:r>
            <w:r w:rsidR="008F22EA">
              <w:t>5</w:t>
            </w:r>
            <w:r>
              <w:t>/L</w:t>
            </w:r>
            <w:r w:rsidR="0036088C">
              <w:t>.</w:t>
            </w:r>
            <w:r w:rsidR="002D3566">
              <w:t>22</w:t>
            </w:r>
          </w:p>
        </w:tc>
      </w:tr>
      <w:tr w:rsidR="003107FA" w14:paraId="16450233" w14:textId="77777777">
        <w:trPr>
          <w:trHeight w:val="2835"/>
        </w:trPr>
        <w:tc>
          <w:tcPr>
            <w:tcW w:w="1259" w:type="dxa"/>
            <w:tcBorders>
              <w:top w:val="single" w:sz="4" w:space="0" w:color="auto"/>
              <w:left w:val="nil"/>
              <w:bottom w:val="single" w:sz="12" w:space="0" w:color="auto"/>
              <w:right w:val="nil"/>
            </w:tcBorders>
          </w:tcPr>
          <w:p w14:paraId="439F19D6" w14:textId="77777777" w:rsidR="003107FA" w:rsidRDefault="004939B3" w:rsidP="00956D9B">
            <w:pPr>
              <w:spacing w:before="120"/>
              <w:jc w:val="center"/>
            </w:pPr>
            <w:r>
              <w:rPr>
                <w:noProof/>
                <w:lang w:val="en-US" w:eastAsia="zh-CN"/>
              </w:rPr>
              <w:drawing>
                <wp:inline distT="0" distB="0" distL="0" distR="0" wp14:anchorId="01C9A823" wp14:editId="3043F3E6">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9AF012E"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9CD24C4" w14:textId="77777777" w:rsidR="00EE2A77" w:rsidRDefault="00EE2A77" w:rsidP="00EE2A77">
            <w:pPr>
              <w:spacing w:before="240" w:line="240" w:lineRule="exact"/>
            </w:pPr>
            <w:r>
              <w:t>Distr.: Limited</w:t>
            </w:r>
          </w:p>
          <w:p w14:paraId="2E0851FD" w14:textId="00BF77CA" w:rsidR="00EE2A77" w:rsidRDefault="00162536" w:rsidP="00EE2A77">
            <w:pPr>
              <w:spacing w:line="240" w:lineRule="exact"/>
            </w:pPr>
            <w:r>
              <w:t>19</w:t>
            </w:r>
            <w:r w:rsidR="006F32F5">
              <w:t xml:space="preserve"> </w:t>
            </w:r>
            <w:r w:rsidR="008F22EA">
              <w:t>June</w:t>
            </w:r>
            <w:r w:rsidR="00C53250">
              <w:t xml:space="preserve"> 2017</w:t>
            </w:r>
          </w:p>
          <w:p w14:paraId="103E2823" w14:textId="77777777" w:rsidR="006D5F84" w:rsidRDefault="006D5F84" w:rsidP="00EE2A77">
            <w:pPr>
              <w:spacing w:line="240" w:lineRule="exact"/>
            </w:pPr>
          </w:p>
          <w:p w14:paraId="3B96764B" w14:textId="77777777" w:rsidR="003107FA" w:rsidRDefault="00EE2A77" w:rsidP="00EE2A77">
            <w:pPr>
              <w:spacing w:line="240" w:lineRule="exact"/>
            </w:pPr>
            <w:r>
              <w:t>Original: English</w:t>
            </w:r>
          </w:p>
        </w:tc>
      </w:tr>
    </w:tbl>
    <w:p w14:paraId="70722808" w14:textId="77777777" w:rsidR="00EE2A77" w:rsidRDefault="00EE2A77" w:rsidP="00EE2A77">
      <w:pPr>
        <w:spacing w:before="120"/>
        <w:rPr>
          <w:b/>
          <w:sz w:val="24"/>
          <w:szCs w:val="24"/>
        </w:rPr>
      </w:pPr>
      <w:r>
        <w:rPr>
          <w:b/>
          <w:sz w:val="24"/>
          <w:szCs w:val="24"/>
        </w:rPr>
        <w:t>Human Rights Council</w:t>
      </w:r>
    </w:p>
    <w:p w14:paraId="66769C03"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6F4C0883" w14:textId="77777777" w:rsidR="001D6952" w:rsidRPr="001D6952" w:rsidRDefault="008F22EA" w:rsidP="00EE2A77">
      <w:r>
        <w:t>6–23 June 2017</w:t>
      </w:r>
    </w:p>
    <w:p w14:paraId="52EF793B" w14:textId="77777777" w:rsidR="00EE2A77" w:rsidRDefault="00EE2A77" w:rsidP="00EE2A77">
      <w:r>
        <w:t xml:space="preserve">Agenda item </w:t>
      </w:r>
      <w:proofErr w:type="gramStart"/>
      <w:r>
        <w:t>3</w:t>
      </w:r>
      <w:proofErr w:type="gramEnd"/>
    </w:p>
    <w:p w14:paraId="480ABF26" w14:textId="77777777"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5F53F22A" w14:textId="0392AC4A" w:rsidR="002F006E" w:rsidRDefault="002F006E" w:rsidP="002F006E">
      <w:pPr>
        <w:pStyle w:val="H23G"/>
      </w:pPr>
      <w:r>
        <w:tab/>
      </w:r>
      <w:r>
        <w:tab/>
      </w:r>
      <w:proofErr w:type="gramStart"/>
      <w:r w:rsidR="00010DC0">
        <w:t xml:space="preserve">Albania, </w:t>
      </w:r>
      <w:r w:rsidR="00D72F71">
        <w:t>Algeria,</w:t>
      </w:r>
      <w:r w:rsidR="00010DC0" w:rsidRPr="00010DC0">
        <w:rPr>
          <w:rStyle w:val="FootnoteReference"/>
          <w:sz w:val="20"/>
          <w:vertAlign w:val="baseline"/>
        </w:rPr>
        <w:footnoteReference w:customMarkFollows="1" w:id="2"/>
        <w:t>*</w:t>
      </w:r>
      <w:r w:rsidR="00D72F71">
        <w:t xml:space="preserve"> </w:t>
      </w:r>
      <w:r w:rsidR="00010DC0">
        <w:t xml:space="preserve">Andorra,* Australia,* </w:t>
      </w:r>
      <w:r w:rsidR="00D72F71">
        <w:t xml:space="preserve">Austria,* </w:t>
      </w:r>
      <w:r w:rsidR="00010DC0">
        <w:t xml:space="preserve">Belarus,* </w:t>
      </w:r>
      <w:r w:rsidR="006F32F5">
        <w:t xml:space="preserve">Belgium, </w:t>
      </w:r>
      <w:r w:rsidR="00010DC0">
        <w:t>Bolivia (</w:t>
      </w:r>
      <w:proofErr w:type="spellStart"/>
      <w:r w:rsidR="00010DC0">
        <w:t>Plurinational</w:t>
      </w:r>
      <w:proofErr w:type="spellEnd"/>
      <w:r w:rsidR="00010DC0">
        <w:t xml:space="preserve"> State of), </w:t>
      </w:r>
      <w:r w:rsidR="00D72F71">
        <w:t xml:space="preserve">Bosnia and Herzegovina,* </w:t>
      </w:r>
      <w:r w:rsidR="00010DC0">
        <w:t xml:space="preserve">Botswana, </w:t>
      </w:r>
      <w:r w:rsidR="00D72F71">
        <w:t>Bulgaria,* Chile,* Côte</w:t>
      </w:r>
      <w:r w:rsidR="006F32F5">
        <w:t> </w:t>
      </w:r>
      <w:r w:rsidR="00D72F71">
        <w:t xml:space="preserve">d’Ivoire, Croatia, </w:t>
      </w:r>
      <w:r w:rsidR="00010DC0">
        <w:t xml:space="preserve">Cuba, </w:t>
      </w:r>
      <w:r w:rsidR="00D72F71">
        <w:t>Cyprus,* Ecuador, Egypt,</w:t>
      </w:r>
      <w:r w:rsidR="00010DC0">
        <w:rPr>
          <w:rStyle w:val="FootnoteReference"/>
        </w:rPr>
        <w:footnoteReference w:customMarkFollows="1" w:id="3"/>
        <w:t>†</w:t>
      </w:r>
      <w:r w:rsidR="00D72F71">
        <w:t xml:space="preserve"> El Salvador, France,* Germany, Greece,* </w:t>
      </w:r>
      <w:r w:rsidR="00010DC0">
        <w:t xml:space="preserve">Haiti,* Honduras,* </w:t>
      </w:r>
      <w:r w:rsidR="00D72F71">
        <w:t>Italy</w:t>
      </w:r>
      <w:r w:rsidR="006F32F5">
        <w:t>,</w:t>
      </w:r>
      <w:r w:rsidR="00D72F71">
        <w:t xml:space="preserve">* </w:t>
      </w:r>
      <w:r w:rsidR="00010DC0">
        <w:t xml:space="preserve">Luxembourg,* </w:t>
      </w:r>
      <w:r w:rsidR="00D72F71">
        <w:t xml:space="preserve">Madagascar,* </w:t>
      </w:r>
      <w:r w:rsidR="00010DC0">
        <w:t xml:space="preserve">Maldives,* </w:t>
      </w:r>
      <w:r w:rsidR="00D72F71">
        <w:t xml:space="preserve">Monaco,* </w:t>
      </w:r>
      <w:r w:rsidR="00010DC0">
        <w:t xml:space="preserve">Montenegro,* </w:t>
      </w:r>
      <w:r w:rsidR="00D72F71">
        <w:t xml:space="preserve">Morocco,* </w:t>
      </w:r>
      <w:r w:rsidR="00010DC0">
        <w:t xml:space="preserve">Panama, </w:t>
      </w:r>
      <w:r w:rsidR="00D72F71">
        <w:t xml:space="preserve">Paraguay, Philippines, Portugal, Qatar, </w:t>
      </w:r>
      <w:r w:rsidR="00010DC0">
        <w:t xml:space="preserve">Republic of Korea, </w:t>
      </w:r>
      <w:r w:rsidR="00D72F71">
        <w:t>Republic of Moldova,</w:t>
      </w:r>
      <w:r w:rsidR="00010DC0">
        <w:t>*</w:t>
      </w:r>
      <w:r w:rsidR="00D72F71">
        <w:t xml:space="preserve"> </w:t>
      </w:r>
      <w:r w:rsidR="00964463">
        <w:t xml:space="preserve">Saint Kitts and Nevis,* </w:t>
      </w:r>
      <w:r w:rsidR="00010DC0">
        <w:t xml:space="preserve">Spain,* </w:t>
      </w:r>
      <w:r w:rsidR="00D72F71">
        <w:t>the former Yugoslav Republic of Macedonia,*</w:t>
      </w:r>
      <w:r w:rsidR="00010DC0">
        <w:t xml:space="preserve"> </w:t>
      </w:r>
      <w:r w:rsidR="00F57770">
        <w:t xml:space="preserve">Tunisia, </w:t>
      </w:r>
      <w:r w:rsidR="00010DC0">
        <w:t>Turkey,* Ukraine</w:t>
      </w:r>
      <w:r w:rsidR="002E082A">
        <w:t>:</w:t>
      </w:r>
      <w:r w:rsidR="00010DC0">
        <w:t>*</w:t>
      </w:r>
      <w:r>
        <w:t xml:space="preserve"> draft resolution</w:t>
      </w:r>
      <w:proofErr w:type="gramEnd"/>
    </w:p>
    <w:p w14:paraId="327E1B89" w14:textId="77777777" w:rsidR="002F006E" w:rsidRPr="007A45D3" w:rsidRDefault="00944104" w:rsidP="00944104">
      <w:pPr>
        <w:pStyle w:val="H1G"/>
        <w:tabs>
          <w:tab w:val="clear" w:pos="851"/>
        </w:tabs>
        <w:ind w:left="1843" w:hanging="709"/>
      </w:pPr>
      <w:proofErr w:type="gramStart"/>
      <w:r>
        <w:t>3</w:t>
      </w:r>
      <w:r w:rsidR="008F22EA">
        <w:t>5</w:t>
      </w:r>
      <w:r>
        <w:t>/…</w:t>
      </w:r>
      <w:proofErr w:type="gramEnd"/>
      <w:r>
        <w:tab/>
      </w:r>
      <w:r w:rsidR="002D3566" w:rsidRPr="002D3566">
        <w:t>Youth and human rights</w:t>
      </w:r>
    </w:p>
    <w:p w14:paraId="2AF32E4A" w14:textId="77777777" w:rsidR="002F006E" w:rsidRDefault="002F006E" w:rsidP="00402A2C">
      <w:pPr>
        <w:pStyle w:val="SingleTxtG"/>
      </w:pPr>
      <w:r>
        <w:tab/>
      </w:r>
      <w:r w:rsidRPr="00402A2C">
        <w:rPr>
          <w:i/>
        </w:rPr>
        <w:t>The Human Rights Council</w:t>
      </w:r>
      <w:r w:rsidRPr="00402A2C">
        <w:t>,</w:t>
      </w:r>
    </w:p>
    <w:p w14:paraId="4E43865A" w14:textId="2CE83F18" w:rsidR="002D3566" w:rsidRPr="002D3566" w:rsidRDefault="002D3566" w:rsidP="002D3566">
      <w:pPr>
        <w:pStyle w:val="SingleTxtG"/>
      </w:pPr>
      <w:r>
        <w:tab/>
      </w:r>
      <w:r w:rsidRPr="002D3566">
        <w:rPr>
          <w:i/>
        </w:rPr>
        <w:t>Guided</w:t>
      </w:r>
      <w:r w:rsidRPr="002D3566">
        <w:t xml:space="preserve"> by the </w:t>
      </w:r>
      <w:r w:rsidR="00A14DE9">
        <w:t>purposes</w:t>
      </w:r>
      <w:r w:rsidR="00A14DE9" w:rsidRPr="002D3566">
        <w:t xml:space="preserve"> </w:t>
      </w:r>
      <w:r w:rsidRPr="002D3566">
        <w:t>and principles of the</w:t>
      </w:r>
      <w:r>
        <w:t xml:space="preserve"> Charter of the United Nations,</w:t>
      </w:r>
    </w:p>
    <w:p w14:paraId="0F8610C0" w14:textId="161B97B7" w:rsidR="002D3566" w:rsidRPr="002D3566" w:rsidRDefault="002D3566" w:rsidP="002D3566">
      <w:pPr>
        <w:pStyle w:val="SingleTxtG"/>
      </w:pPr>
      <w:r>
        <w:tab/>
      </w:r>
      <w:r w:rsidRPr="002D3566">
        <w:rPr>
          <w:i/>
        </w:rPr>
        <w:t>Recalling</w:t>
      </w:r>
      <w:r w:rsidRPr="002D3566">
        <w:t xml:space="preserve"> the Universal Declaration of Human Rights and relevant international human rights instruments</w:t>
      </w:r>
      <w:r w:rsidR="00964463">
        <w:t>,</w:t>
      </w:r>
      <w:r w:rsidRPr="002D3566">
        <w:t xml:space="preserve"> including the International Covenant on Civil and Political Rights and the International Covenant on Economic, Social and Cultural Rights</w:t>
      </w:r>
      <w:r>
        <w:t>,</w:t>
      </w:r>
    </w:p>
    <w:p w14:paraId="253D585D" w14:textId="3B9817BB" w:rsidR="002D3566" w:rsidRPr="002D3566" w:rsidRDefault="002D3566" w:rsidP="002D3566">
      <w:pPr>
        <w:pStyle w:val="SingleTxtG"/>
      </w:pPr>
      <w:r>
        <w:tab/>
      </w:r>
      <w:r w:rsidRPr="002D3566">
        <w:rPr>
          <w:i/>
        </w:rPr>
        <w:t>Recalling</w:t>
      </w:r>
      <w:r w:rsidR="000E2DDF">
        <w:rPr>
          <w:i/>
        </w:rPr>
        <w:t xml:space="preserve"> also</w:t>
      </w:r>
      <w:r w:rsidRPr="002D3566">
        <w:t xml:space="preserve"> Human Rights Council resolution 32/1 of 30 June 2016 on </w:t>
      </w:r>
      <w:r w:rsidR="00A14DE9">
        <w:t>y</w:t>
      </w:r>
      <w:r w:rsidRPr="002D3566">
        <w:t>outh and human rights,</w:t>
      </w:r>
    </w:p>
    <w:p w14:paraId="3D73AD9E" w14:textId="029BD840" w:rsidR="002D3566" w:rsidRPr="002D3566" w:rsidRDefault="002D3566" w:rsidP="002D3566">
      <w:pPr>
        <w:pStyle w:val="SingleTxtG"/>
      </w:pPr>
      <w:r>
        <w:tab/>
      </w:r>
      <w:r w:rsidRPr="002D3566">
        <w:rPr>
          <w:i/>
        </w:rPr>
        <w:t xml:space="preserve">Recalling </w:t>
      </w:r>
      <w:r w:rsidR="000E2DDF">
        <w:rPr>
          <w:i/>
        </w:rPr>
        <w:t>further</w:t>
      </w:r>
      <w:r w:rsidR="000E2DDF" w:rsidRPr="002D3566">
        <w:t xml:space="preserve"> </w:t>
      </w:r>
      <w:r w:rsidRPr="002D3566">
        <w:t>all previous relevant resolutions, including the most recent, namely General Assembly resolution 70/127 of 17 December 2015 on policies and programmes involving youth, as well as Assembly resolution 50/81 of 14 December 1995, by which the Assembly adopted the World Programme of Action for You</w:t>
      </w:r>
      <w:r>
        <w:t>th to the Year 2000 and Beyond,</w:t>
      </w:r>
    </w:p>
    <w:p w14:paraId="19D86B54" w14:textId="35FAEC7D" w:rsidR="002D3566" w:rsidRPr="002D3566" w:rsidRDefault="002D3566" w:rsidP="002D3566">
      <w:pPr>
        <w:pStyle w:val="SingleTxtG"/>
      </w:pPr>
      <w:r>
        <w:tab/>
      </w:r>
      <w:r w:rsidRPr="002D3566">
        <w:rPr>
          <w:i/>
        </w:rPr>
        <w:t xml:space="preserve">Recalling </w:t>
      </w:r>
      <w:r w:rsidRPr="002D3566">
        <w:t xml:space="preserve">the Vienna Declaration and Programme of Action, </w:t>
      </w:r>
      <w:r w:rsidR="00A14DE9">
        <w:t>in which it is stated</w:t>
      </w:r>
      <w:r w:rsidRPr="002D3566">
        <w:t xml:space="preserve"> that all human rights are universal, indivisible, interrelated, interdependent and mutually </w:t>
      </w:r>
      <w:r w:rsidRPr="002D3566">
        <w:lastRenderedPageBreak/>
        <w:t>reinforcing, and that all human rights must be treated in a fair and equal manner, on the same footing</w:t>
      </w:r>
      <w:r>
        <w:t xml:space="preserve"> and with the same emphasis,</w:t>
      </w:r>
    </w:p>
    <w:p w14:paraId="1E9A42B2" w14:textId="7EBC11DC" w:rsidR="002D3566" w:rsidRPr="002D3566" w:rsidRDefault="002D3566" w:rsidP="002D3566">
      <w:pPr>
        <w:pStyle w:val="SingleTxtG"/>
      </w:pPr>
      <w:r>
        <w:tab/>
      </w:r>
      <w:r w:rsidRPr="002D3566">
        <w:rPr>
          <w:i/>
        </w:rPr>
        <w:t>Welcoming</w:t>
      </w:r>
      <w:r w:rsidRPr="002D3566">
        <w:t xml:space="preserve"> the adoption of the 2030 Agenda for Sustainable Development,</w:t>
      </w:r>
      <w:bookmarkStart w:id="1" w:name="_Ref485648116"/>
      <w:r w:rsidR="00B65385">
        <w:rPr>
          <w:rStyle w:val="FootnoteReference"/>
        </w:rPr>
        <w:footnoteReference w:id="4"/>
      </w:r>
      <w:bookmarkEnd w:id="1"/>
      <w:r w:rsidRPr="002D3566">
        <w:t xml:space="preserve"> and reaffirming the need to develop and implement strategies that give young people everywhere real opportunities to enable </w:t>
      </w:r>
      <w:r w:rsidR="00304DC9">
        <w:t xml:space="preserve">their </w:t>
      </w:r>
      <w:r w:rsidRPr="002D3566">
        <w:t xml:space="preserve">full, effective and meaningful participation </w:t>
      </w:r>
      <w:r>
        <w:t>in society,</w:t>
      </w:r>
    </w:p>
    <w:p w14:paraId="1EFD5D97" w14:textId="77777777" w:rsidR="002D3566" w:rsidRPr="002D3566" w:rsidRDefault="002D3566" w:rsidP="002D3566">
      <w:pPr>
        <w:pStyle w:val="SingleTxtG"/>
      </w:pPr>
      <w:r>
        <w:tab/>
      </w:r>
      <w:proofErr w:type="gramStart"/>
      <w:r w:rsidRPr="002D3566">
        <w:rPr>
          <w:i/>
        </w:rPr>
        <w:t>Welcoming also</w:t>
      </w:r>
      <w:r w:rsidRPr="002D3566">
        <w:t xml:space="preserve"> the high-level event held by the General Assembly on 29 May 2015 to mark the twentieth anniversary of the World Programme of Action for Youth, which offered an important opportunity for Member States and other relevant stakeholders to take stock of progress made in its implementation, as well as to identify gaps and challenges and the way forward for its full, effective </w:t>
      </w:r>
      <w:r>
        <w:t>and accelerated implementation,</w:t>
      </w:r>
      <w:proofErr w:type="gramEnd"/>
    </w:p>
    <w:p w14:paraId="78FC22CC" w14:textId="1E36695C" w:rsidR="002D3566" w:rsidRPr="002D3566" w:rsidRDefault="002D3566" w:rsidP="002D3566">
      <w:pPr>
        <w:pStyle w:val="SingleTxtG"/>
      </w:pPr>
      <w:r w:rsidRPr="002D3566">
        <w:rPr>
          <w:rFonts w:eastAsia="SimSun"/>
        </w:rPr>
        <w:tab/>
      </w:r>
      <w:r w:rsidRPr="002D3566">
        <w:rPr>
          <w:rFonts w:eastAsia="SimSun"/>
          <w:i/>
        </w:rPr>
        <w:t>Taking note</w:t>
      </w:r>
      <w:r w:rsidRPr="002D3566">
        <w:rPr>
          <w:rFonts w:eastAsia="SimSun"/>
        </w:rPr>
        <w:t xml:space="preserve"> of the report of </w:t>
      </w:r>
      <w:r w:rsidRPr="002D3566">
        <w:t xml:space="preserve">the </w:t>
      </w:r>
      <w:r w:rsidR="00304DC9">
        <w:t>e</w:t>
      </w:r>
      <w:r w:rsidRPr="002D3566">
        <w:t xml:space="preserve">xpert </w:t>
      </w:r>
      <w:r w:rsidR="00304DC9">
        <w:t>m</w:t>
      </w:r>
      <w:r w:rsidRPr="002D3566">
        <w:t xml:space="preserve">eeting organized by </w:t>
      </w:r>
      <w:r w:rsidR="00B65385">
        <w:t xml:space="preserve">the </w:t>
      </w:r>
      <w:r w:rsidR="00304DC9">
        <w:rPr>
          <w:rStyle w:val="preferred"/>
        </w:rPr>
        <w:t>Office of the United Nations High Commissioner for Human Rights</w:t>
      </w:r>
      <w:r w:rsidRPr="002D3566">
        <w:t xml:space="preserve"> in July 2013, which recognized that young people do experience difficulties in the exercise of their rights by virtue of being young and that there are gaps in the protection and fulfilment of the human rights of youth,</w:t>
      </w:r>
    </w:p>
    <w:p w14:paraId="7BCFEE1B" w14:textId="1E4B5C88" w:rsidR="002D3566" w:rsidRPr="002D3566" w:rsidRDefault="002D3566" w:rsidP="002D3566">
      <w:pPr>
        <w:pStyle w:val="SingleTxtG"/>
      </w:pPr>
      <w:r>
        <w:tab/>
      </w:r>
      <w:r w:rsidRPr="002D3566">
        <w:rPr>
          <w:i/>
        </w:rPr>
        <w:t>Welcoming</w:t>
      </w:r>
      <w:r w:rsidRPr="002D3566">
        <w:t xml:space="preserve"> the convening at the thirty-third session of the Human Rights Council of the panel discussion on youth and human rights</w:t>
      </w:r>
      <w:r w:rsidR="00304DC9">
        <w:t>, at which</w:t>
      </w:r>
      <w:r w:rsidRPr="002D3566">
        <w:t xml:space="preserve"> challenges </w:t>
      </w:r>
      <w:r w:rsidR="00304DC9">
        <w:t xml:space="preserve">were identified </w:t>
      </w:r>
      <w:r w:rsidRPr="002D3566">
        <w:t xml:space="preserve">for the empowerment of young people </w:t>
      </w:r>
      <w:r>
        <w:t>in the exercise of their rights,</w:t>
      </w:r>
    </w:p>
    <w:p w14:paraId="72EE87B4" w14:textId="14C49952" w:rsidR="002D3566" w:rsidRPr="002D3566" w:rsidRDefault="002D3566" w:rsidP="002D3566">
      <w:pPr>
        <w:pStyle w:val="SingleTxtG"/>
      </w:pPr>
      <w:r w:rsidRPr="002D3566">
        <w:tab/>
      </w:r>
      <w:r w:rsidR="004770DA">
        <w:rPr>
          <w:i/>
        </w:rPr>
        <w:t>Noting</w:t>
      </w:r>
      <w:r w:rsidRPr="002D3566">
        <w:t xml:space="preserve"> the Forum </w:t>
      </w:r>
      <w:r w:rsidR="00304DC9">
        <w:t xml:space="preserve">on </w:t>
      </w:r>
      <w:r w:rsidRPr="002D3566">
        <w:t xml:space="preserve">Human Rights, Democracy and the Rule of Law convened by the Human Rights Council </w:t>
      </w:r>
      <w:r w:rsidR="004770DA">
        <w:t>on</w:t>
      </w:r>
      <w:r w:rsidR="004770DA" w:rsidRPr="002D3566">
        <w:t xml:space="preserve"> </w:t>
      </w:r>
      <w:r w:rsidRPr="002D3566">
        <w:t xml:space="preserve">21 </w:t>
      </w:r>
      <w:r w:rsidR="004770DA">
        <w:t>and</w:t>
      </w:r>
      <w:r w:rsidRPr="002D3566">
        <w:t xml:space="preserve"> 22 November 2016</w:t>
      </w:r>
      <w:r w:rsidR="004770DA">
        <w:t>,</w:t>
      </w:r>
      <w:r w:rsidRPr="002D3566">
        <w:t xml:space="preserve"> with the theme “Widening the democratic space: the role of youth in public decision-making”</w:t>
      </w:r>
      <w:r>
        <w:t>,</w:t>
      </w:r>
    </w:p>
    <w:p w14:paraId="43D8F502" w14:textId="553A8860" w:rsidR="002D3566" w:rsidRPr="002D3566" w:rsidRDefault="002D3566" w:rsidP="002D3566">
      <w:pPr>
        <w:pStyle w:val="SingleTxtG"/>
      </w:pPr>
      <w:r>
        <w:tab/>
      </w:r>
      <w:r w:rsidRPr="002D3566">
        <w:rPr>
          <w:i/>
        </w:rPr>
        <w:t>Encouraging</w:t>
      </w:r>
      <w:r w:rsidRPr="002D3566">
        <w:t xml:space="preserve"> contributions by the United Nations High Commissioner for Human Rights, the special procedures and the treaty bodies, as well as the Envoy of the Secretary-General on Youth and other relevant international and regional human rights mechanisms in identifying and addressing obstacles to the enjoyment of all</w:t>
      </w:r>
      <w:r>
        <w:t xml:space="preserve"> human rights by youth,</w:t>
      </w:r>
    </w:p>
    <w:p w14:paraId="753C27DD" w14:textId="77777777" w:rsidR="002D3566" w:rsidRPr="002D3566" w:rsidRDefault="002D3566" w:rsidP="002D3566">
      <w:pPr>
        <w:pStyle w:val="SingleTxtG"/>
      </w:pPr>
      <w:r>
        <w:tab/>
      </w:r>
      <w:r w:rsidRPr="002D3566">
        <w:rPr>
          <w:i/>
        </w:rPr>
        <w:t>Underlining</w:t>
      </w:r>
      <w:r w:rsidRPr="002D3566">
        <w:t xml:space="preserve"> the important role that youth can play in the promotion of peace, sustainable development and human rights, and the importance of </w:t>
      </w:r>
      <w:r w:rsidR="00A40D70">
        <w:t xml:space="preserve">the </w:t>
      </w:r>
      <w:r w:rsidRPr="002D3566">
        <w:t>active and wide participati</w:t>
      </w:r>
      <w:r>
        <w:t>on of youth in decision-making,</w:t>
      </w:r>
    </w:p>
    <w:p w14:paraId="1FD236D5" w14:textId="217CCE4F" w:rsidR="002D3566" w:rsidRPr="002D3566" w:rsidRDefault="002D3566" w:rsidP="002D3566">
      <w:pPr>
        <w:pStyle w:val="SingleTxtG"/>
      </w:pPr>
      <w:r>
        <w:tab/>
      </w:r>
      <w:r w:rsidRPr="00B65385">
        <w:rPr>
          <w:i/>
        </w:rPr>
        <w:t>Conscious</w:t>
      </w:r>
      <w:r w:rsidRPr="002D3566">
        <w:t xml:space="preserve"> that today’s generation of youth is the largest </w:t>
      </w:r>
      <w:r w:rsidR="00A40D70">
        <w:t xml:space="preserve">that </w:t>
      </w:r>
      <w:r w:rsidRPr="002D3566">
        <w:t xml:space="preserve">the world has ever witnessed, </w:t>
      </w:r>
      <w:r w:rsidR="00B65385">
        <w:t xml:space="preserve">and </w:t>
      </w:r>
      <w:r w:rsidRPr="002D3566">
        <w:t xml:space="preserve">therefore </w:t>
      </w:r>
      <w:r w:rsidRPr="00B65385">
        <w:t>encouraging States</w:t>
      </w:r>
      <w:r w:rsidRPr="002D3566">
        <w:t xml:space="preserve"> to exert further efforts to ensure </w:t>
      </w:r>
      <w:r w:rsidR="00A40D70">
        <w:t xml:space="preserve">the </w:t>
      </w:r>
      <w:r w:rsidRPr="002D3566">
        <w:t>respect, protecti</w:t>
      </w:r>
      <w:r w:rsidR="00A40D70">
        <w:t>on</w:t>
      </w:r>
      <w:r w:rsidRPr="002D3566">
        <w:t xml:space="preserve"> and fulfil</w:t>
      </w:r>
      <w:r w:rsidR="00A40D70">
        <w:t>ment of</w:t>
      </w:r>
      <w:r w:rsidRPr="002D3566">
        <w:t xml:space="preserve"> all human rights for young people, including all economic, social, cultural, civil and political rights</w:t>
      </w:r>
      <w:r w:rsidR="00EB2758">
        <w:t>, given that l</w:t>
      </w:r>
      <w:r w:rsidRPr="002D3566">
        <w:t>ack of participation and opportunity has adverse consequence</w:t>
      </w:r>
      <w:r>
        <w:t>s for communities and societies,</w:t>
      </w:r>
    </w:p>
    <w:p w14:paraId="5E8E526F" w14:textId="77777777" w:rsidR="002D3566" w:rsidRPr="002D3566" w:rsidRDefault="002D3566" w:rsidP="002D3566">
      <w:pPr>
        <w:pStyle w:val="SingleTxtG"/>
      </w:pPr>
      <w:r w:rsidRPr="002D3566">
        <w:tab/>
      </w:r>
      <w:r w:rsidRPr="002D3566">
        <w:rPr>
          <w:i/>
        </w:rPr>
        <w:t>Concerned</w:t>
      </w:r>
      <w:r w:rsidRPr="002D3566">
        <w:t xml:space="preserve"> that young people face specific challenges that require integrated responses by States, the United Nations system and other stakeholders,</w:t>
      </w:r>
    </w:p>
    <w:p w14:paraId="14FD49FD" w14:textId="3CCBFF23" w:rsidR="002D3566" w:rsidRPr="002D3566" w:rsidRDefault="002D3566" w:rsidP="002D3566">
      <w:pPr>
        <w:pStyle w:val="SingleTxtG"/>
      </w:pPr>
      <w:r w:rsidRPr="002D3566">
        <w:tab/>
      </w:r>
      <w:proofErr w:type="gramStart"/>
      <w:r>
        <w:t>1.</w:t>
      </w:r>
      <w:r>
        <w:tab/>
      </w:r>
      <w:r w:rsidRPr="002D3566">
        <w:rPr>
          <w:i/>
        </w:rPr>
        <w:t>Takes note with appreciation</w:t>
      </w:r>
      <w:r w:rsidRPr="002D3566">
        <w:t xml:space="preserve"> of the summary report of the panel discussion on youth and human rights prepared by the United Nations High Commissioner for Human Rights,</w:t>
      </w:r>
      <w:r w:rsidR="00267E97">
        <w:rPr>
          <w:rStyle w:val="FootnoteReference"/>
        </w:rPr>
        <w:footnoteReference w:id="5"/>
      </w:r>
      <w:r w:rsidRPr="002D3566">
        <w:t xml:space="preserve"> which summari</w:t>
      </w:r>
      <w:r w:rsidR="00267E97">
        <w:t>z</w:t>
      </w:r>
      <w:r w:rsidRPr="002D3566">
        <w:t xml:space="preserve">es the growing challenges that disproportionately affect the current generation of young people, and nonetheless </w:t>
      </w:r>
      <w:r w:rsidR="00CA1458">
        <w:t>draws</w:t>
      </w:r>
      <w:r w:rsidRPr="002D3566">
        <w:t xml:space="preserve"> attention to the crucial role </w:t>
      </w:r>
      <w:r w:rsidR="00A17E36">
        <w:t xml:space="preserve">that </w:t>
      </w:r>
      <w:r w:rsidRPr="002D3566">
        <w:t>young people play in realizing human rights, peace and sustainable development;</w:t>
      </w:r>
      <w:proofErr w:type="gramEnd"/>
    </w:p>
    <w:p w14:paraId="540C2455" w14:textId="77777777" w:rsidR="002D3566" w:rsidRPr="002D3566" w:rsidRDefault="002D3566" w:rsidP="002D3566">
      <w:pPr>
        <w:pStyle w:val="SingleTxtG"/>
      </w:pPr>
      <w:r>
        <w:tab/>
      </w:r>
      <w:proofErr w:type="gramStart"/>
      <w:r>
        <w:t>2.</w:t>
      </w:r>
      <w:r>
        <w:tab/>
      </w:r>
      <w:r w:rsidRPr="002D3566">
        <w:rPr>
          <w:i/>
        </w:rPr>
        <w:t>Calls upon</w:t>
      </w:r>
      <w:r w:rsidRPr="002D3566">
        <w:t xml:space="preserve"> all States to promote and ensure the full realization of all human rights and fundamental freedoms for youth, including, where appropriate</w:t>
      </w:r>
      <w:r w:rsidR="00B65385">
        <w:t>,</w:t>
      </w:r>
      <w:r w:rsidRPr="002D3566">
        <w:t xml:space="preserve"> by taking measures to combat age discrimination, neglect, abuse and violence, and to address issues </w:t>
      </w:r>
      <w:r w:rsidRPr="002D3566">
        <w:lastRenderedPageBreak/>
        <w:t>related to barriers to social integration and adequate participation, bearing in mind that the full enjoyment of human rights and fundamental freedoms by young people empowers them to contribute as active members of society to the political, civil, economic, social, and cultural development of their countries</w:t>
      </w:r>
      <w:r>
        <w:t>;</w:t>
      </w:r>
      <w:proofErr w:type="gramEnd"/>
    </w:p>
    <w:p w14:paraId="70DABE46" w14:textId="7907A3E0" w:rsidR="002D3566" w:rsidRPr="002D3566" w:rsidRDefault="002D3566" w:rsidP="002D3566">
      <w:pPr>
        <w:pStyle w:val="SingleTxtG"/>
      </w:pPr>
      <w:r>
        <w:tab/>
        <w:t>3.</w:t>
      </w:r>
      <w:r>
        <w:tab/>
      </w:r>
      <w:r w:rsidRPr="002D3566">
        <w:rPr>
          <w:i/>
        </w:rPr>
        <w:t>Encourages</w:t>
      </w:r>
      <w:r w:rsidRPr="002D3566">
        <w:t xml:space="preserve"> all States to conduct their coherent youth-related policies through inclusive and participatory consultations with relevant stakeholders and social development partners in the interest of developing effective and comprehensive policies, as well in the development of their national action plans to implement </w:t>
      </w:r>
      <w:r w:rsidR="003B307A">
        <w:t>the 2030 Agenda for Sustainable Development</w:t>
      </w:r>
      <w:r>
        <w:t>;</w:t>
      </w:r>
      <w:r w:rsidR="00B65385" w:rsidRPr="00655FBD">
        <w:rPr>
          <w:vertAlign w:val="superscript"/>
        </w:rPr>
        <w:fldChar w:fldCharType="begin"/>
      </w:r>
      <w:r w:rsidR="00B65385" w:rsidRPr="00655FBD">
        <w:rPr>
          <w:vertAlign w:val="superscript"/>
        </w:rPr>
        <w:instrText xml:space="preserve"> NOTEREF _Ref485648116 \h </w:instrText>
      </w:r>
      <w:r w:rsidR="00B65385">
        <w:rPr>
          <w:vertAlign w:val="superscript"/>
        </w:rPr>
        <w:instrText xml:space="preserve"> \* MERGEFORMAT </w:instrText>
      </w:r>
      <w:r w:rsidR="00B65385" w:rsidRPr="00655FBD">
        <w:rPr>
          <w:vertAlign w:val="superscript"/>
        </w:rPr>
      </w:r>
      <w:r w:rsidR="00B65385" w:rsidRPr="00655FBD">
        <w:rPr>
          <w:vertAlign w:val="superscript"/>
        </w:rPr>
        <w:fldChar w:fldCharType="separate"/>
      </w:r>
      <w:r w:rsidR="001C6A62">
        <w:rPr>
          <w:vertAlign w:val="superscript"/>
        </w:rPr>
        <w:t>1</w:t>
      </w:r>
      <w:r w:rsidR="00B65385" w:rsidRPr="00655FBD">
        <w:rPr>
          <w:vertAlign w:val="superscript"/>
        </w:rPr>
        <w:fldChar w:fldCharType="end"/>
      </w:r>
    </w:p>
    <w:p w14:paraId="12C264C4" w14:textId="4822E970" w:rsidR="002D3566" w:rsidRPr="002D3566" w:rsidRDefault="002D3566" w:rsidP="002D3566">
      <w:pPr>
        <w:pStyle w:val="SingleTxtG"/>
      </w:pPr>
      <w:r>
        <w:tab/>
        <w:t>4.</w:t>
      </w:r>
      <w:r>
        <w:tab/>
      </w:r>
      <w:r w:rsidRPr="002D3566">
        <w:rPr>
          <w:i/>
        </w:rPr>
        <w:t>Urges</w:t>
      </w:r>
      <w:r w:rsidRPr="002D3566">
        <w:t xml:space="preserve"> Member States to consider addressing</w:t>
      </w:r>
      <w:r w:rsidR="003B307A">
        <w:t>,</w:t>
      </w:r>
      <w:r w:rsidRPr="002D3566">
        <w:t xml:space="preserve"> through the </w:t>
      </w:r>
      <w:r w:rsidR="003B307A">
        <w:t>u</w:t>
      </w:r>
      <w:r w:rsidRPr="002D3566">
        <w:t xml:space="preserve">niversal </w:t>
      </w:r>
      <w:r w:rsidR="003B307A">
        <w:t>p</w:t>
      </w:r>
      <w:r w:rsidRPr="002D3566">
        <w:t xml:space="preserve">eriodic </w:t>
      </w:r>
      <w:r w:rsidR="003B307A">
        <w:t>r</w:t>
      </w:r>
      <w:r w:rsidRPr="002D3566">
        <w:t xml:space="preserve">eview and </w:t>
      </w:r>
      <w:r w:rsidR="003B307A">
        <w:t>the t</w:t>
      </w:r>
      <w:r w:rsidRPr="002D3566">
        <w:t>reaty bodies</w:t>
      </w:r>
      <w:r w:rsidR="003B307A">
        <w:t>,</w:t>
      </w:r>
      <w:r w:rsidRPr="002D3566">
        <w:t xml:space="preserve"> </w:t>
      </w:r>
      <w:r w:rsidR="00CA1458">
        <w:t>issues</w:t>
      </w:r>
      <w:r w:rsidRPr="002D3566">
        <w:t xml:space="preserve"> pertaining to the full and equal enjoyment of all human rights for youth</w:t>
      </w:r>
      <w:r w:rsidR="003B307A">
        <w:t>,</w:t>
      </w:r>
      <w:r w:rsidRPr="002D3566">
        <w:t xml:space="preserve"> and to share the best practices </w:t>
      </w:r>
      <w:r w:rsidR="003B307A">
        <w:t xml:space="preserve">that </w:t>
      </w:r>
      <w:r w:rsidRPr="002D3566">
        <w:t>they have developed in dealing with the realization o</w:t>
      </w:r>
      <w:r>
        <w:t>f human rights for young people;</w:t>
      </w:r>
    </w:p>
    <w:p w14:paraId="46A064E1" w14:textId="7DE69F35" w:rsidR="002D3566" w:rsidRPr="002D3566" w:rsidRDefault="002D3566" w:rsidP="002D3566">
      <w:pPr>
        <w:pStyle w:val="SingleTxtG"/>
      </w:pPr>
      <w:r>
        <w:tab/>
      </w:r>
      <w:proofErr w:type="gramStart"/>
      <w:r>
        <w:t>5.</w:t>
      </w:r>
      <w:r>
        <w:tab/>
      </w:r>
      <w:r w:rsidRPr="002D3566">
        <w:rPr>
          <w:i/>
        </w:rPr>
        <w:t>Requests</w:t>
      </w:r>
      <w:r w:rsidRPr="002D3566">
        <w:t xml:space="preserve"> the High Commissioner, in </w:t>
      </w:r>
      <w:r w:rsidRPr="00CA1458">
        <w:t>consultation with and taking into account the views of States and relevant stakeholders, including relevant</w:t>
      </w:r>
      <w:r w:rsidRPr="002D3566">
        <w:t xml:space="preserve"> United Nations agencies, the treaty bodies, the special procedures of the Human Rights Council, national human rights institutions</w:t>
      </w:r>
      <w:r w:rsidR="00CA1458">
        <w:t>,</w:t>
      </w:r>
      <w:r w:rsidRPr="002D3566">
        <w:t xml:space="preserve"> civil society</w:t>
      </w:r>
      <w:r w:rsidRPr="00CA1458">
        <w:t xml:space="preserve">, </w:t>
      </w:r>
      <w:r w:rsidR="00CA1458">
        <w:t>and</w:t>
      </w:r>
      <w:r w:rsidR="00CA1458" w:rsidRPr="00CA1458">
        <w:t xml:space="preserve"> </w:t>
      </w:r>
      <w:r w:rsidRPr="00CA1458">
        <w:t>representatives of youth organizations, to conduct a detailed study on the implementation of human rights with regard to young people, identification of cases of discrimination against</w:t>
      </w:r>
      <w:r w:rsidRPr="002D3566">
        <w:t xml:space="preserve"> young people in the exercise of their human rights</w:t>
      </w:r>
      <w:r w:rsidR="003B307A">
        <w:t>,</w:t>
      </w:r>
      <w:r w:rsidRPr="002D3566">
        <w:t xml:space="preserve"> </w:t>
      </w:r>
      <w:r w:rsidR="003B307A">
        <w:t>and</w:t>
      </w:r>
      <w:r w:rsidRPr="002D3566">
        <w:t xml:space="preserve"> best practices on the full and effective enjoyment of human rights by young people, highlighting the contribution of empowered youth to the realization of human rights in society, to be submitted to the Council prior to its thirty-nin</w:t>
      </w:r>
      <w:r w:rsidR="00CA1458">
        <w:t>th</w:t>
      </w:r>
      <w:r w:rsidRPr="002D3566">
        <w:t xml:space="preserve"> session;</w:t>
      </w:r>
      <w:proofErr w:type="gramEnd"/>
    </w:p>
    <w:p w14:paraId="124AF5FD" w14:textId="77777777" w:rsidR="002D3566" w:rsidRPr="002D3566" w:rsidRDefault="002D3566" w:rsidP="002D3566">
      <w:pPr>
        <w:pStyle w:val="SingleTxtG"/>
      </w:pPr>
      <w:r>
        <w:tab/>
      </w:r>
      <w:proofErr w:type="gramStart"/>
      <w:r>
        <w:t>6.</w:t>
      </w:r>
      <w:r>
        <w:tab/>
      </w:r>
      <w:r w:rsidRPr="002D3566">
        <w:rPr>
          <w:i/>
        </w:rPr>
        <w:t>Decides</w:t>
      </w:r>
      <w:r w:rsidRPr="002D3566">
        <w:t xml:space="preserve"> to remain seized of the matter.</w:t>
      </w:r>
      <w:proofErr w:type="gramEnd"/>
    </w:p>
    <w:p w14:paraId="60CBB41D" w14:textId="77777777" w:rsidR="002D3566" w:rsidRPr="002D3566" w:rsidRDefault="002D3566" w:rsidP="002D3566">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2D3566" w:rsidRPr="002D3566"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0B68" w14:textId="77777777" w:rsidR="00311C4F" w:rsidRDefault="00311C4F"/>
  </w:endnote>
  <w:endnote w:type="continuationSeparator" w:id="0">
    <w:p w14:paraId="2165700F" w14:textId="77777777" w:rsidR="00311C4F" w:rsidRDefault="00311C4F"/>
  </w:endnote>
  <w:endnote w:type="continuationNotice" w:id="1">
    <w:p w14:paraId="544F4ABA" w14:textId="77777777" w:rsidR="00311C4F" w:rsidRDefault="00311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C4AE" w14:textId="3510C85A"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1C6A62">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9C17" w14:textId="236DF262"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1C6A62">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5046" w14:textId="7BDDF969" w:rsidR="006A52C4" w:rsidRDefault="006A52C4" w:rsidP="006A52C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799A5F0" wp14:editId="65BFF9B4">
          <wp:simplePos x="0" y="0"/>
          <wp:positionH relativeFrom="margin">
            <wp:posOffset>5241290</wp:posOffset>
          </wp:positionH>
          <wp:positionV relativeFrom="margin">
            <wp:posOffset>8119110</wp:posOffset>
          </wp:positionV>
          <wp:extent cx="638175" cy="638175"/>
          <wp:effectExtent l="0" t="0" r="9525" b="9525"/>
          <wp:wrapNone/>
          <wp:docPr id="2" name="Picture 1" descr="https://undocs.org/m2/QRCode.ashx?DS=A/HRC/35/L.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FCB79C2" wp14:editId="7419EE51">
          <wp:simplePos x="0" y="0"/>
          <wp:positionH relativeFrom="margin">
            <wp:posOffset>4175760</wp:posOffset>
          </wp:positionH>
          <wp:positionV relativeFrom="margin">
            <wp:posOffset>8524875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80A8B" w14:textId="68540F5B" w:rsidR="006A52C4" w:rsidRDefault="006A52C4" w:rsidP="006A52C4">
    <w:pPr>
      <w:pStyle w:val="Footer"/>
      <w:ind w:right="1134"/>
      <w:rPr>
        <w:sz w:val="20"/>
      </w:rPr>
    </w:pPr>
    <w:r>
      <w:rPr>
        <w:sz w:val="20"/>
      </w:rPr>
      <w:t>GE.17-10082(E)</w:t>
    </w:r>
  </w:p>
  <w:p w14:paraId="7584303C" w14:textId="5D4AC023" w:rsidR="006A52C4" w:rsidRPr="006A52C4" w:rsidRDefault="006A52C4" w:rsidP="006A52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8724" w14:textId="77777777" w:rsidR="00311C4F" w:rsidRPr="000B175B" w:rsidRDefault="00311C4F" w:rsidP="000B175B">
      <w:pPr>
        <w:tabs>
          <w:tab w:val="right" w:pos="2155"/>
        </w:tabs>
        <w:spacing w:after="80"/>
        <w:ind w:left="680"/>
        <w:rPr>
          <w:u w:val="single"/>
        </w:rPr>
      </w:pPr>
      <w:r>
        <w:rPr>
          <w:u w:val="single"/>
        </w:rPr>
        <w:tab/>
      </w:r>
    </w:p>
  </w:footnote>
  <w:footnote w:type="continuationSeparator" w:id="0">
    <w:p w14:paraId="00DFE0EE" w14:textId="77777777" w:rsidR="00311C4F" w:rsidRPr="00FC68B7" w:rsidRDefault="00311C4F" w:rsidP="00FC68B7">
      <w:pPr>
        <w:tabs>
          <w:tab w:val="left" w:pos="2155"/>
        </w:tabs>
        <w:spacing w:after="80"/>
        <w:ind w:left="680"/>
        <w:rPr>
          <w:u w:val="single"/>
        </w:rPr>
      </w:pPr>
      <w:r>
        <w:rPr>
          <w:u w:val="single"/>
        </w:rPr>
        <w:tab/>
      </w:r>
    </w:p>
  </w:footnote>
  <w:footnote w:type="continuationNotice" w:id="1">
    <w:p w14:paraId="3FD48796" w14:textId="77777777" w:rsidR="00311C4F" w:rsidRDefault="00311C4F"/>
  </w:footnote>
  <w:footnote w:id="2">
    <w:p w14:paraId="0477C009" w14:textId="77777777" w:rsidR="00010DC0" w:rsidRPr="00010DC0" w:rsidRDefault="00010DC0">
      <w:pPr>
        <w:pStyle w:val="FootnoteText"/>
      </w:pPr>
      <w:r>
        <w:rPr>
          <w:rStyle w:val="FootnoteReference"/>
        </w:rPr>
        <w:tab/>
      </w:r>
      <w:r w:rsidRPr="00842C85">
        <w:rPr>
          <w:rStyle w:val="FootnoteReference"/>
          <w:szCs w:val="18"/>
          <w:vertAlign w:val="baseline"/>
        </w:rPr>
        <w:t>*</w:t>
      </w:r>
      <w:r w:rsidRPr="00842C85">
        <w:rPr>
          <w:rStyle w:val="FootnoteReference"/>
          <w:szCs w:val="18"/>
          <w:vertAlign w:val="baseline"/>
        </w:rPr>
        <w:tab/>
      </w:r>
      <w:r>
        <w:t>State not a member of the Human Rights Council.</w:t>
      </w:r>
    </w:p>
  </w:footnote>
  <w:footnote w:id="3">
    <w:p w14:paraId="010EB9A5" w14:textId="77777777" w:rsidR="00010DC0" w:rsidRDefault="00010DC0">
      <w:pPr>
        <w:pStyle w:val="FootnoteText"/>
      </w:pPr>
      <w:r>
        <w:tab/>
      </w:r>
      <w:r>
        <w:rPr>
          <w:rStyle w:val="FootnoteReference"/>
        </w:rPr>
        <w:t>†</w:t>
      </w:r>
      <w:r>
        <w:tab/>
        <w:t>On behalf of the States Members of the United Nations that are members of the Group of Arab States.</w:t>
      </w:r>
    </w:p>
  </w:footnote>
  <w:footnote w:id="4">
    <w:p w14:paraId="2CF48E0A" w14:textId="205B516F" w:rsidR="00B65385" w:rsidRPr="00162536" w:rsidRDefault="00162536" w:rsidP="00162536">
      <w:pPr>
        <w:pStyle w:val="FootnoteText"/>
        <w:rPr>
          <w:rStyle w:val="FootnoteReference"/>
          <w:vertAlign w:val="baseline"/>
        </w:rPr>
      </w:pPr>
      <w:r>
        <w:tab/>
      </w:r>
      <w:r w:rsidR="00B65385">
        <w:rPr>
          <w:rStyle w:val="FootnoteReference"/>
        </w:rPr>
        <w:footnoteRef/>
      </w:r>
      <w:r w:rsidR="00B65385" w:rsidRPr="00162536">
        <w:rPr>
          <w:rStyle w:val="FootnoteReference"/>
        </w:rPr>
        <w:tab/>
      </w:r>
      <w:r w:rsidR="00B65385" w:rsidRPr="00162536">
        <w:rPr>
          <w:rStyle w:val="FootnoteReference"/>
          <w:vertAlign w:val="baseline"/>
        </w:rPr>
        <w:t>General Assembly resolution 70/1.</w:t>
      </w:r>
    </w:p>
  </w:footnote>
  <w:footnote w:id="5">
    <w:p w14:paraId="3CF9D7B9" w14:textId="6A4FDCF3" w:rsidR="00267E97" w:rsidRPr="00162536" w:rsidRDefault="00162536" w:rsidP="00162536">
      <w:pPr>
        <w:pStyle w:val="FootnoteText"/>
        <w:rPr>
          <w:rStyle w:val="FootnoteReference"/>
          <w:vertAlign w:val="baseline"/>
        </w:rPr>
      </w:pPr>
      <w:r>
        <w:tab/>
      </w:r>
      <w:r w:rsidR="00267E97">
        <w:rPr>
          <w:rStyle w:val="FootnoteReference"/>
        </w:rPr>
        <w:footnoteRef/>
      </w:r>
      <w:r w:rsidR="00B65385" w:rsidRPr="00162536">
        <w:rPr>
          <w:rStyle w:val="FootnoteReference"/>
        </w:rPr>
        <w:tab/>
      </w:r>
      <w:r w:rsidR="00267E97" w:rsidRPr="00162536">
        <w:rPr>
          <w:rStyle w:val="FootnoteReference"/>
          <w:vertAlign w:val="baseline"/>
        </w:rPr>
        <w:t>A/HRC/35/7.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C889" w14:textId="77777777" w:rsidR="00C42278" w:rsidRPr="00EE2A77" w:rsidRDefault="00C42278">
    <w:pPr>
      <w:pStyle w:val="Header"/>
    </w:pPr>
    <w:r>
      <w:t>A/HRC/</w:t>
    </w:r>
    <w:r w:rsidR="00402A2C">
      <w:t>3</w:t>
    </w:r>
    <w:r w:rsidR="008F22EA">
      <w:t>5</w:t>
    </w:r>
    <w:r w:rsidR="00E10083">
      <w:t>/L.</w:t>
    </w:r>
    <w:r w:rsidR="002D3566">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A5F4" w14:textId="77777777" w:rsidR="00C42278" w:rsidRPr="00EE2A77" w:rsidRDefault="005A69B3" w:rsidP="00EE2A77">
    <w:pPr>
      <w:pStyle w:val="Header"/>
      <w:jc w:val="right"/>
    </w:pPr>
    <w:r>
      <w:t>A/HRC/</w:t>
    </w:r>
    <w:r w:rsidR="00402A2C">
      <w:t>3</w:t>
    </w:r>
    <w:r w:rsidR="002D3566">
      <w:t>5</w:t>
    </w:r>
    <w:r w:rsidR="00E10083">
      <w:t>/L.</w:t>
    </w:r>
    <w:r w:rsidR="002D3566">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6F340D"/>
    <w:multiLevelType w:val="hybridMultilevel"/>
    <w:tmpl w:val="1830387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0DC0"/>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19C5"/>
    <w:rsid w:val="000C3B42"/>
    <w:rsid w:val="000D1851"/>
    <w:rsid w:val="000E0415"/>
    <w:rsid w:val="000E2DDF"/>
    <w:rsid w:val="00111F87"/>
    <w:rsid w:val="0011209E"/>
    <w:rsid w:val="00114904"/>
    <w:rsid w:val="00146D32"/>
    <w:rsid w:val="001509BA"/>
    <w:rsid w:val="00153FA2"/>
    <w:rsid w:val="00154B0E"/>
    <w:rsid w:val="00162536"/>
    <w:rsid w:val="00190DA0"/>
    <w:rsid w:val="00195879"/>
    <w:rsid w:val="001B4B04"/>
    <w:rsid w:val="001C6663"/>
    <w:rsid w:val="001C6A62"/>
    <w:rsid w:val="001C7895"/>
    <w:rsid w:val="001D26DF"/>
    <w:rsid w:val="001D6952"/>
    <w:rsid w:val="001E2790"/>
    <w:rsid w:val="00211E0B"/>
    <w:rsid w:val="00211E72"/>
    <w:rsid w:val="00214047"/>
    <w:rsid w:val="0022130F"/>
    <w:rsid w:val="00237785"/>
    <w:rsid w:val="002410DD"/>
    <w:rsid w:val="00241466"/>
    <w:rsid w:val="00253D58"/>
    <w:rsid w:val="00267E97"/>
    <w:rsid w:val="0027725F"/>
    <w:rsid w:val="0028185A"/>
    <w:rsid w:val="002C21F0"/>
    <w:rsid w:val="002D3566"/>
    <w:rsid w:val="002D4176"/>
    <w:rsid w:val="002E082A"/>
    <w:rsid w:val="002E7C76"/>
    <w:rsid w:val="002F006E"/>
    <w:rsid w:val="00304DC9"/>
    <w:rsid w:val="003107FA"/>
    <w:rsid w:val="00311C4F"/>
    <w:rsid w:val="0031372D"/>
    <w:rsid w:val="00317071"/>
    <w:rsid w:val="003229D8"/>
    <w:rsid w:val="003314D1"/>
    <w:rsid w:val="00335A2F"/>
    <w:rsid w:val="00341937"/>
    <w:rsid w:val="0036088C"/>
    <w:rsid w:val="00364A1C"/>
    <w:rsid w:val="0037098A"/>
    <w:rsid w:val="00390052"/>
    <w:rsid w:val="0039277A"/>
    <w:rsid w:val="003972E0"/>
    <w:rsid w:val="003975ED"/>
    <w:rsid w:val="003B307A"/>
    <w:rsid w:val="003C2CC4"/>
    <w:rsid w:val="003D0A25"/>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770DA"/>
    <w:rsid w:val="004859EC"/>
    <w:rsid w:val="00487B50"/>
    <w:rsid w:val="004939B3"/>
    <w:rsid w:val="00493D3E"/>
    <w:rsid w:val="00496A15"/>
    <w:rsid w:val="004A6D3A"/>
    <w:rsid w:val="004B75D2"/>
    <w:rsid w:val="004C0361"/>
    <w:rsid w:val="004C1520"/>
    <w:rsid w:val="004D0109"/>
    <w:rsid w:val="004D1140"/>
    <w:rsid w:val="004F55ED"/>
    <w:rsid w:val="004F6E9A"/>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045AC"/>
    <w:rsid w:val="0061165E"/>
    <w:rsid w:val="00611ABD"/>
    <w:rsid w:val="00611FC4"/>
    <w:rsid w:val="006176FB"/>
    <w:rsid w:val="00640B26"/>
    <w:rsid w:val="00653072"/>
    <w:rsid w:val="00655FBD"/>
    <w:rsid w:val="006601B6"/>
    <w:rsid w:val="00670741"/>
    <w:rsid w:val="00674C17"/>
    <w:rsid w:val="006947AE"/>
    <w:rsid w:val="00696BD6"/>
    <w:rsid w:val="00697307"/>
    <w:rsid w:val="006A52C4"/>
    <w:rsid w:val="006A6B9D"/>
    <w:rsid w:val="006A7392"/>
    <w:rsid w:val="006B3189"/>
    <w:rsid w:val="006B7D65"/>
    <w:rsid w:val="006C28EE"/>
    <w:rsid w:val="006C35AD"/>
    <w:rsid w:val="006D4961"/>
    <w:rsid w:val="006D5F84"/>
    <w:rsid w:val="006D6DA6"/>
    <w:rsid w:val="006E564B"/>
    <w:rsid w:val="006E59E7"/>
    <w:rsid w:val="006F13F0"/>
    <w:rsid w:val="006F14BE"/>
    <w:rsid w:val="006F32F5"/>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1798F"/>
    <w:rsid w:val="0082243E"/>
    <w:rsid w:val="008242D7"/>
    <w:rsid w:val="008402E9"/>
    <w:rsid w:val="00842C85"/>
    <w:rsid w:val="00856CD2"/>
    <w:rsid w:val="00861BC6"/>
    <w:rsid w:val="00871FD5"/>
    <w:rsid w:val="008979B1"/>
    <w:rsid w:val="008A4631"/>
    <w:rsid w:val="008A6B25"/>
    <w:rsid w:val="008A6C4F"/>
    <w:rsid w:val="008C1E4D"/>
    <w:rsid w:val="008E0E46"/>
    <w:rsid w:val="008F22EA"/>
    <w:rsid w:val="0090452C"/>
    <w:rsid w:val="00907C3F"/>
    <w:rsid w:val="0092237C"/>
    <w:rsid w:val="0093707B"/>
    <w:rsid w:val="009400EB"/>
    <w:rsid w:val="009427E3"/>
    <w:rsid w:val="00944104"/>
    <w:rsid w:val="00956D9B"/>
    <w:rsid w:val="00963CBA"/>
    <w:rsid w:val="00964463"/>
    <w:rsid w:val="009654B7"/>
    <w:rsid w:val="00976B90"/>
    <w:rsid w:val="00991261"/>
    <w:rsid w:val="009A0B83"/>
    <w:rsid w:val="009B019A"/>
    <w:rsid w:val="009B3800"/>
    <w:rsid w:val="009D22AC"/>
    <w:rsid w:val="009D50DB"/>
    <w:rsid w:val="009D663E"/>
    <w:rsid w:val="009E1C4E"/>
    <w:rsid w:val="009E4B92"/>
    <w:rsid w:val="009F34F1"/>
    <w:rsid w:val="009F58A8"/>
    <w:rsid w:val="00A003D2"/>
    <w:rsid w:val="00A02B35"/>
    <w:rsid w:val="00A05E0B"/>
    <w:rsid w:val="00A1427D"/>
    <w:rsid w:val="00A14DE9"/>
    <w:rsid w:val="00A17E36"/>
    <w:rsid w:val="00A40D70"/>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463D5"/>
    <w:rsid w:val="00B53013"/>
    <w:rsid w:val="00B57EDB"/>
    <w:rsid w:val="00B65385"/>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9664B"/>
    <w:rsid w:val="00CA1458"/>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4AC"/>
    <w:rsid w:val="00D42B42"/>
    <w:rsid w:val="00D43252"/>
    <w:rsid w:val="00D550F9"/>
    <w:rsid w:val="00D572B0"/>
    <w:rsid w:val="00D62E90"/>
    <w:rsid w:val="00D72F71"/>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B2758"/>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57770"/>
    <w:rsid w:val="00F674F3"/>
    <w:rsid w:val="00F677CB"/>
    <w:rsid w:val="00F71139"/>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09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preferred">
    <w:name w:val="preferred"/>
    <w:basedOn w:val="DefaultParagraphFont"/>
    <w:rsid w:val="0030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preferred">
    <w:name w:val="preferred"/>
    <w:basedOn w:val="DefaultParagraphFont"/>
    <w:rsid w:val="0030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0823">
      <w:bodyDiv w:val="1"/>
      <w:marLeft w:val="0"/>
      <w:marRight w:val="0"/>
      <w:marTop w:val="0"/>
      <w:marBottom w:val="0"/>
      <w:divBdr>
        <w:top w:val="none" w:sz="0" w:space="0" w:color="auto"/>
        <w:left w:val="none" w:sz="0" w:space="0" w:color="auto"/>
        <w:bottom w:val="none" w:sz="0" w:space="0" w:color="auto"/>
        <w:right w:val="none" w:sz="0" w:space="0" w:color="auto"/>
      </w:divBdr>
      <w:divsChild>
        <w:div w:id="22563159">
          <w:marLeft w:val="0"/>
          <w:marRight w:val="0"/>
          <w:marTop w:val="0"/>
          <w:marBottom w:val="0"/>
          <w:divBdr>
            <w:top w:val="none" w:sz="0" w:space="0" w:color="auto"/>
            <w:left w:val="none" w:sz="0" w:space="0" w:color="auto"/>
            <w:bottom w:val="none" w:sz="0" w:space="0" w:color="auto"/>
            <w:right w:val="none" w:sz="0" w:space="0" w:color="auto"/>
          </w:divBdr>
        </w:div>
        <w:div w:id="915434431">
          <w:marLeft w:val="0"/>
          <w:marRight w:val="0"/>
          <w:marTop w:val="0"/>
          <w:marBottom w:val="0"/>
          <w:divBdr>
            <w:top w:val="none" w:sz="0" w:space="0" w:color="auto"/>
            <w:left w:val="none" w:sz="0" w:space="0" w:color="auto"/>
            <w:bottom w:val="none" w:sz="0" w:space="0" w:color="auto"/>
            <w:right w:val="none" w:sz="0" w:space="0" w:color="auto"/>
          </w:divBdr>
        </w:div>
      </w:divsChild>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15E9-8821-4F25-9768-E1F6B30E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6079</Characters>
  <Application>Microsoft Office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1710082</vt:lpstr>
    </vt:vector>
  </TitlesOfParts>
  <Company>CSD</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1710082</dc:title>
  <dc:subject>A/HRC/35/L.22</dc:subject>
  <dc:creator>PDF ENG</dc:creator>
  <cp:keywords/>
  <dc:description/>
  <cp:lastModifiedBy>PDF ENG</cp:lastModifiedBy>
  <cp:revision>3</cp:revision>
  <cp:lastPrinted>2017-06-19T14:15:00Z</cp:lastPrinted>
  <dcterms:created xsi:type="dcterms:W3CDTF">2017-06-19T14:15:00Z</dcterms:created>
  <dcterms:modified xsi:type="dcterms:W3CDTF">2017-06-19T14:15:00Z</dcterms:modified>
</cp:coreProperties>
</file>