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5342AB" w:rsidRDefault="00446DE4" w:rsidP="00F225CB">
            <w:pPr>
              <w:tabs>
                <w:tab w:val="right" w:pos="850"/>
                <w:tab w:val="left" w:pos="1134"/>
                <w:tab w:val="right" w:leader="dot" w:pos="8504"/>
              </w:tabs>
              <w:spacing w:line="20" w:lineRule="exact"/>
              <w:rPr>
                <w:i/>
                <w:sz w:val="2"/>
              </w:rPr>
            </w:pPr>
          </w:p>
          <w:p w:rsidR="00F225CB" w:rsidRPr="00E806EE" w:rsidRDefault="00F225CB"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EE2A77" w:rsidP="00862258">
            <w:pPr>
              <w:jc w:val="right"/>
            </w:pPr>
            <w:r w:rsidRPr="00EE2A77">
              <w:rPr>
                <w:sz w:val="40"/>
              </w:rPr>
              <w:t>A</w:t>
            </w:r>
            <w:r>
              <w:t>/HRC/</w:t>
            </w:r>
            <w:r w:rsidR="00944104">
              <w:t>3</w:t>
            </w:r>
            <w:r w:rsidR="008F22EA">
              <w:t>5</w:t>
            </w:r>
            <w:r>
              <w:t>/L</w:t>
            </w:r>
            <w:r w:rsidR="0036088C">
              <w:t>.</w:t>
            </w:r>
            <w:r w:rsidR="00862258">
              <w:t>6</w:t>
            </w:r>
          </w:p>
        </w:tc>
      </w:tr>
      <w:tr w:rsidR="003107FA">
        <w:trPr>
          <w:trHeight w:val="2835"/>
        </w:trPr>
        <w:tc>
          <w:tcPr>
            <w:tcW w:w="1259" w:type="dxa"/>
            <w:tcBorders>
              <w:top w:val="single" w:sz="4" w:space="0" w:color="auto"/>
              <w:left w:val="nil"/>
              <w:bottom w:val="single" w:sz="12" w:space="0" w:color="auto"/>
              <w:right w:val="nil"/>
            </w:tcBorders>
          </w:tcPr>
          <w:p w:rsidR="003107FA" w:rsidRDefault="004939B3" w:rsidP="00956D9B">
            <w:pPr>
              <w:spacing w:before="120"/>
              <w:jc w:val="center"/>
            </w:pPr>
            <w:r>
              <w:rPr>
                <w:noProof/>
                <w:lang w:eastAsia="zh-CN"/>
              </w:rPr>
              <w:drawing>
                <wp:inline distT="0" distB="0" distL="0" distR="0" wp14:anchorId="5C3B8CE4" wp14:editId="7398DF3E">
                  <wp:extent cx="716280" cy="589280"/>
                  <wp:effectExtent l="0" t="0" r="762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EE2A77" w:rsidRDefault="00EE2A77" w:rsidP="00EE2A77">
            <w:pPr>
              <w:spacing w:before="240" w:line="240" w:lineRule="exact"/>
            </w:pPr>
            <w:r>
              <w:t>Distr.: Limited</w:t>
            </w:r>
          </w:p>
          <w:p w:rsidR="00EE2A77" w:rsidRDefault="004E31D5" w:rsidP="00EE2A77">
            <w:pPr>
              <w:spacing w:line="240" w:lineRule="exact"/>
            </w:pPr>
            <w:r>
              <w:t>1</w:t>
            </w:r>
            <w:r w:rsidR="00EA36E1">
              <w:t>6</w:t>
            </w:r>
            <w:r>
              <w:t xml:space="preserve"> </w:t>
            </w:r>
            <w:r w:rsidR="008F22EA">
              <w:t>June</w:t>
            </w:r>
            <w:r w:rsidR="00C53250">
              <w:t xml:space="preserve"> 2017</w:t>
            </w:r>
          </w:p>
          <w:p w:rsidR="006D5F84" w:rsidRDefault="006D5F84" w:rsidP="00EE2A77">
            <w:pPr>
              <w:spacing w:line="240" w:lineRule="exact"/>
            </w:pPr>
          </w:p>
          <w:p w:rsidR="003107FA" w:rsidRDefault="00EE2A77" w:rsidP="00EE2A77">
            <w:pPr>
              <w:spacing w:line="240" w:lineRule="exact"/>
            </w:pPr>
            <w:r>
              <w:t>Original: English</w:t>
            </w:r>
          </w:p>
        </w:tc>
      </w:tr>
    </w:tbl>
    <w:p w:rsidR="00EE2A77" w:rsidRDefault="00EE2A77" w:rsidP="00EE2A77">
      <w:pPr>
        <w:spacing w:before="120"/>
        <w:rPr>
          <w:b/>
          <w:sz w:val="24"/>
          <w:szCs w:val="24"/>
        </w:rPr>
      </w:pPr>
      <w:r>
        <w:rPr>
          <w:b/>
          <w:sz w:val="24"/>
          <w:szCs w:val="24"/>
        </w:rPr>
        <w:t>Human Rights Council</w:t>
      </w:r>
    </w:p>
    <w:p w:rsidR="00EE2A77" w:rsidRDefault="00944104" w:rsidP="00EE2A77">
      <w:pPr>
        <w:rPr>
          <w:b/>
        </w:rPr>
      </w:pPr>
      <w:r>
        <w:rPr>
          <w:b/>
        </w:rPr>
        <w:t>Thirt</w:t>
      </w:r>
      <w:r w:rsidR="00D42B42">
        <w:rPr>
          <w:b/>
        </w:rPr>
        <w:t>y-</w:t>
      </w:r>
      <w:r w:rsidR="00C53250">
        <w:rPr>
          <w:b/>
        </w:rPr>
        <w:t>f</w:t>
      </w:r>
      <w:r w:rsidR="008F22EA">
        <w:rPr>
          <w:b/>
        </w:rPr>
        <w:t>if</w:t>
      </w:r>
      <w:r w:rsidR="00C53250">
        <w:rPr>
          <w:b/>
        </w:rPr>
        <w:t>th</w:t>
      </w:r>
      <w:r w:rsidR="00674C17">
        <w:rPr>
          <w:b/>
        </w:rPr>
        <w:t xml:space="preserve"> </w:t>
      </w:r>
      <w:r w:rsidR="00EE2A77">
        <w:rPr>
          <w:b/>
        </w:rPr>
        <w:t>session</w:t>
      </w:r>
    </w:p>
    <w:p w:rsidR="001D6952" w:rsidRPr="001D6952" w:rsidRDefault="008F22EA" w:rsidP="00EE2A77">
      <w:r>
        <w:t>6–23 June 2017</w:t>
      </w:r>
    </w:p>
    <w:p w:rsidR="00EE2A77" w:rsidRDefault="00EE2A77" w:rsidP="00EE2A77">
      <w:r>
        <w:t>Agenda item 3</w:t>
      </w:r>
    </w:p>
    <w:p w:rsidR="002F006E" w:rsidRPr="00533C25" w:rsidRDefault="00EE2A77" w:rsidP="002F006E">
      <w:pPr>
        <w:rPr>
          <w:b/>
        </w:rPr>
      </w:pPr>
      <w:r w:rsidRPr="00533C25">
        <w:rPr>
          <w:b/>
        </w:rPr>
        <w:t>Promotion and</w:t>
      </w:r>
      <w:r w:rsidR="007B208E">
        <w:rPr>
          <w:b/>
        </w:rPr>
        <w:t xml:space="preserve"> protection of all human rights, civil</w:t>
      </w:r>
      <w:r w:rsidR="00BE00DE">
        <w:rPr>
          <w:b/>
        </w:rPr>
        <w:t>,</w:t>
      </w:r>
      <w:r>
        <w:rPr>
          <w:b/>
        </w:rPr>
        <w:br/>
      </w:r>
      <w:r w:rsidRPr="00533C25">
        <w:rPr>
          <w:b/>
        </w:rPr>
        <w:t>political, economic,</w:t>
      </w:r>
      <w:r>
        <w:rPr>
          <w:b/>
        </w:rPr>
        <w:t xml:space="preserve"> </w:t>
      </w:r>
      <w:r w:rsidR="0054626B">
        <w:rPr>
          <w:b/>
        </w:rPr>
        <w:t>social and cultural rights,</w:t>
      </w:r>
      <w:r>
        <w:rPr>
          <w:b/>
        </w:rPr>
        <w:br/>
      </w:r>
      <w:r w:rsidRPr="00533C25">
        <w:rPr>
          <w:b/>
        </w:rPr>
        <w:t>including the right to development</w:t>
      </w:r>
    </w:p>
    <w:p w:rsidR="002F006E" w:rsidRDefault="002F006E" w:rsidP="002F006E">
      <w:pPr>
        <w:pStyle w:val="H23G"/>
      </w:pPr>
      <w:r>
        <w:tab/>
      </w:r>
      <w:r>
        <w:tab/>
      </w:r>
      <w:r w:rsidR="00212863">
        <w:t xml:space="preserve">Albania, </w:t>
      </w:r>
      <w:r w:rsidR="00862258">
        <w:t>Algeria,</w:t>
      </w:r>
      <w:r w:rsidR="00862258" w:rsidRPr="00862258">
        <w:rPr>
          <w:rStyle w:val="FootnoteReference"/>
          <w:sz w:val="20"/>
          <w:vertAlign w:val="baseline"/>
        </w:rPr>
        <w:footnoteReference w:customMarkFollows="1" w:id="2"/>
        <w:t>*</w:t>
      </w:r>
      <w:r w:rsidR="00862258">
        <w:rPr>
          <w:rStyle w:val="FootnoteReference"/>
          <w:sz w:val="20"/>
          <w:vertAlign w:val="baseline"/>
        </w:rPr>
        <w:t xml:space="preserve"> </w:t>
      </w:r>
      <w:r w:rsidR="00212863">
        <w:t xml:space="preserve">Andorra,* </w:t>
      </w:r>
      <w:r w:rsidR="00106EF0">
        <w:t xml:space="preserve">Argentina,* </w:t>
      </w:r>
      <w:r w:rsidR="00624EE2">
        <w:rPr>
          <w:rStyle w:val="FootnoteReference"/>
          <w:sz w:val="20"/>
          <w:vertAlign w:val="baseline"/>
        </w:rPr>
        <w:t>Australia,</w:t>
      </w:r>
      <w:r w:rsidR="00624EE2">
        <w:t xml:space="preserve">* </w:t>
      </w:r>
      <w:r w:rsidR="00862258">
        <w:t xml:space="preserve">Austria,* Belgium, </w:t>
      </w:r>
      <w:r w:rsidR="00862258">
        <w:rPr>
          <w:rStyle w:val="FootnoteReference"/>
          <w:sz w:val="20"/>
          <w:vertAlign w:val="baseline"/>
        </w:rPr>
        <w:t xml:space="preserve">Bosnia and Herzegovina,* </w:t>
      </w:r>
      <w:r w:rsidR="00862258">
        <w:t xml:space="preserve">Bulgaria,* </w:t>
      </w:r>
      <w:r w:rsidR="00044DE3">
        <w:t xml:space="preserve">Canada, </w:t>
      </w:r>
      <w:r w:rsidR="00212863">
        <w:t xml:space="preserve">Croatia, </w:t>
      </w:r>
      <w:r w:rsidR="00862258">
        <w:t xml:space="preserve">Cyprus,* </w:t>
      </w:r>
      <w:proofErr w:type="spellStart"/>
      <w:r w:rsidR="00214999">
        <w:t>Czechia</w:t>
      </w:r>
      <w:proofErr w:type="spellEnd"/>
      <w:r w:rsidR="00214999">
        <w:t xml:space="preserve">,* </w:t>
      </w:r>
      <w:r w:rsidR="00862258">
        <w:t xml:space="preserve">Denmark,* </w:t>
      </w:r>
      <w:r w:rsidR="008A009D">
        <w:t xml:space="preserve">El Salvador, </w:t>
      </w:r>
      <w:r w:rsidR="00214999">
        <w:t xml:space="preserve">Equatorial Guinea,* </w:t>
      </w:r>
      <w:r w:rsidR="00212863">
        <w:t xml:space="preserve">Estonia,* </w:t>
      </w:r>
      <w:r w:rsidR="00862258">
        <w:t xml:space="preserve">Finland,* </w:t>
      </w:r>
      <w:r w:rsidR="00862258">
        <w:rPr>
          <w:rStyle w:val="FootnoteReference"/>
          <w:sz w:val="20"/>
          <w:vertAlign w:val="baseline"/>
        </w:rPr>
        <w:t xml:space="preserve">Georgia, Germany, </w:t>
      </w:r>
      <w:r w:rsidR="00212863">
        <w:t xml:space="preserve">Ghana, </w:t>
      </w:r>
      <w:r w:rsidR="00624EE2">
        <w:t xml:space="preserve">Guinea,* </w:t>
      </w:r>
      <w:r w:rsidR="00212863">
        <w:t xml:space="preserve">Honduras,* </w:t>
      </w:r>
      <w:r w:rsidR="00214999">
        <w:t xml:space="preserve">Hungary, Iceland,* </w:t>
      </w:r>
      <w:r w:rsidR="00862258">
        <w:t xml:space="preserve">Israel,* Italy,* Japan, Latvia, </w:t>
      </w:r>
      <w:r w:rsidR="00106EF0">
        <w:t xml:space="preserve">Liechtenstein,* </w:t>
      </w:r>
      <w:r w:rsidR="00862258">
        <w:rPr>
          <w:rStyle w:val="FootnoteReference"/>
          <w:sz w:val="20"/>
          <w:vertAlign w:val="baseline"/>
        </w:rPr>
        <w:t xml:space="preserve">Lithuania,* </w:t>
      </w:r>
      <w:r w:rsidR="00862258">
        <w:t xml:space="preserve">Luxembourg,* </w:t>
      </w:r>
      <w:r w:rsidR="00106EF0">
        <w:t xml:space="preserve">Malta,* </w:t>
      </w:r>
      <w:r w:rsidR="00624EE2">
        <w:t xml:space="preserve">Monaco,* </w:t>
      </w:r>
      <w:r w:rsidR="00862258">
        <w:t xml:space="preserve">Montenegro,* Netherlands, </w:t>
      </w:r>
      <w:r w:rsidR="00106EF0">
        <w:t xml:space="preserve">Norway,* </w:t>
      </w:r>
      <w:r w:rsidR="00044DE3">
        <w:t xml:space="preserve">Panama, </w:t>
      </w:r>
      <w:r w:rsidR="00212863">
        <w:t xml:space="preserve">Paraguay, </w:t>
      </w:r>
      <w:r w:rsidR="00044DE3">
        <w:t xml:space="preserve">Peru,* </w:t>
      </w:r>
      <w:r w:rsidR="00862258">
        <w:t xml:space="preserve">Philippines, </w:t>
      </w:r>
      <w:r w:rsidR="00212863">
        <w:t xml:space="preserve">Poland,* </w:t>
      </w:r>
      <w:r w:rsidR="00214999">
        <w:t xml:space="preserve">Portugal, </w:t>
      </w:r>
      <w:r w:rsidR="004C6170">
        <w:t xml:space="preserve">Qatar, </w:t>
      </w:r>
      <w:r w:rsidR="00214999">
        <w:t xml:space="preserve">Republic of Korea, </w:t>
      </w:r>
      <w:r w:rsidR="00106EF0">
        <w:t xml:space="preserve">Republic of Moldova,* </w:t>
      </w:r>
      <w:r w:rsidR="00862258">
        <w:t xml:space="preserve">Romania,* Slovenia, Spain,* Sweden,* </w:t>
      </w:r>
      <w:r w:rsidR="00044DE3">
        <w:t xml:space="preserve">the former Yugoslav Republic of Macedonia,* </w:t>
      </w:r>
      <w:r w:rsidR="00214999">
        <w:t xml:space="preserve">Tunisia, </w:t>
      </w:r>
      <w:r w:rsidR="00044DE3">
        <w:t xml:space="preserve">Ukraine,* </w:t>
      </w:r>
      <w:r w:rsidR="00862258">
        <w:t>United States of America</w:t>
      </w:r>
      <w:r w:rsidR="00EA5EC1">
        <w:t>:</w:t>
      </w:r>
      <w:r>
        <w:t xml:space="preserve"> draft resolution</w:t>
      </w:r>
    </w:p>
    <w:p w:rsidR="002F006E" w:rsidRPr="007A45D3" w:rsidRDefault="00944104" w:rsidP="00944104">
      <w:pPr>
        <w:pStyle w:val="H1G"/>
        <w:tabs>
          <w:tab w:val="clear" w:pos="851"/>
        </w:tabs>
        <w:ind w:left="1843" w:hanging="709"/>
      </w:pPr>
      <w:r>
        <w:t>3</w:t>
      </w:r>
      <w:r w:rsidR="008F22EA">
        <w:t>5</w:t>
      </w:r>
      <w:r>
        <w:t>/…</w:t>
      </w:r>
      <w:r>
        <w:tab/>
      </w:r>
      <w:r w:rsidR="00862258" w:rsidRPr="00862258">
        <w:t>Mandate of the Special Rapporteur on trafficking in persons, especially women and children</w:t>
      </w:r>
    </w:p>
    <w:p w:rsidR="002F006E" w:rsidRDefault="002F006E" w:rsidP="00402A2C">
      <w:pPr>
        <w:pStyle w:val="SingleTxtG"/>
      </w:pPr>
      <w:r>
        <w:tab/>
      </w:r>
      <w:r w:rsidRPr="00402A2C">
        <w:rPr>
          <w:i/>
        </w:rPr>
        <w:t>The Human Rights Council</w:t>
      </w:r>
      <w:r w:rsidRPr="00402A2C">
        <w:t>,</w:t>
      </w:r>
    </w:p>
    <w:p w:rsidR="00862258" w:rsidRPr="00862258" w:rsidRDefault="00862258" w:rsidP="00862258">
      <w:pPr>
        <w:pStyle w:val="SingleTxtG"/>
      </w:pPr>
      <w:r>
        <w:tab/>
      </w:r>
      <w:r w:rsidRPr="00862258">
        <w:rPr>
          <w:i/>
        </w:rPr>
        <w:t>Guided</w:t>
      </w:r>
      <w:r w:rsidRPr="00862258">
        <w:t xml:space="preserve"> by the</w:t>
      </w:r>
      <w:r>
        <w:t xml:space="preserve"> Charter of the United Nations,</w:t>
      </w:r>
    </w:p>
    <w:p w:rsidR="00862258" w:rsidRPr="00862258" w:rsidRDefault="00862258" w:rsidP="00862258">
      <w:pPr>
        <w:pStyle w:val="SingleTxtG"/>
      </w:pPr>
      <w:r>
        <w:tab/>
      </w:r>
      <w:r w:rsidRPr="00862258">
        <w:rPr>
          <w:i/>
        </w:rPr>
        <w:t>Reaffirming</w:t>
      </w:r>
      <w:r w:rsidRPr="00862258">
        <w:t xml:space="preserve"> all previous General Assembly and Human Rights Council resolutions on the problem of trafficking in persons, especially women and children, including Human Rights Council resolutions 26/8 </w:t>
      </w:r>
      <w:r w:rsidR="004E31D5">
        <w:t xml:space="preserve">of 26 June 2014 </w:t>
      </w:r>
      <w:r w:rsidRPr="00862258">
        <w:t xml:space="preserve">on the mandate of the Special Rapporteur on trafficking in persons, especially women and children, and 32/3 </w:t>
      </w:r>
      <w:r w:rsidR="004E31D5">
        <w:t xml:space="preserve">of 30 June 2016 </w:t>
      </w:r>
      <w:r w:rsidRPr="00862258">
        <w:t>on protecting victims of trafficking and persons at risk of trafficking, especially women and children, in conflict and post-conflict situations,</w:t>
      </w:r>
    </w:p>
    <w:p w:rsidR="00862258" w:rsidRPr="00862258" w:rsidRDefault="00862258" w:rsidP="00862258">
      <w:pPr>
        <w:pStyle w:val="SingleTxtG"/>
      </w:pPr>
      <w:r>
        <w:tab/>
      </w:r>
      <w:r w:rsidRPr="00862258">
        <w:rPr>
          <w:i/>
        </w:rPr>
        <w:t>Reaffirming</w:t>
      </w:r>
      <w:r w:rsidR="00E345F7">
        <w:rPr>
          <w:i/>
        </w:rPr>
        <w:t xml:space="preserve"> also</w:t>
      </w:r>
      <w:r w:rsidRPr="00862258">
        <w:t xml:space="preserve"> the principles set forth in relevant human rights instruments and declarations, including the Convention on the Rights of the Child and the Optional Protocol thereto on the sale of children, child prostitution and child pornography, and the Convention on the Elimination of All Forms of Discrimination against Women and the Optional Protocol thereto,</w:t>
      </w:r>
    </w:p>
    <w:p w:rsidR="00862258" w:rsidRPr="00862258" w:rsidRDefault="00862258" w:rsidP="00862258">
      <w:pPr>
        <w:pStyle w:val="SingleTxtG"/>
      </w:pPr>
      <w:r>
        <w:tab/>
      </w:r>
      <w:r w:rsidRPr="00862258">
        <w:rPr>
          <w:i/>
        </w:rPr>
        <w:t>Reaffirming</w:t>
      </w:r>
      <w:r w:rsidR="00E345F7">
        <w:rPr>
          <w:i/>
        </w:rPr>
        <w:t xml:space="preserve"> further</w:t>
      </w:r>
      <w:r w:rsidRPr="00862258">
        <w:t xml:space="preserve"> the United Nations Convention against Transnational Organized Crime and the Protocols thereto, and reaffirming in particular the Protocol to Prevent, </w:t>
      </w:r>
      <w:r w:rsidRPr="00862258">
        <w:lastRenderedPageBreak/>
        <w:t>Suppress and Punish Trafficking in Persons, especially Women and Children, supplementing the United Nations Convention against Transnational Organized Crime,</w:t>
      </w:r>
    </w:p>
    <w:p w:rsidR="00862258" w:rsidRPr="00862258" w:rsidRDefault="00862258" w:rsidP="00862258">
      <w:pPr>
        <w:pStyle w:val="SingleTxtG"/>
      </w:pPr>
      <w:r>
        <w:tab/>
      </w:r>
      <w:r w:rsidRPr="00862258">
        <w:rPr>
          <w:i/>
        </w:rPr>
        <w:t>Welcoming</w:t>
      </w:r>
      <w:r w:rsidRPr="00862258">
        <w:t xml:space="preserve"> the adoption by the General Assembly of the 2030 Agenda for Sustainable Development</w:t>
      </w:r>
      <w:r w:rsidR="00E345F7">
        <w:t>,</w:t>
      </w:r>
      <w:r>
        <w:rPr>
          <w:rStyle w:val="FootnoteReference"/>
        </w:rPr>
        <w:footnoteReference w:id="3"/>
      </w:r>
      <w:r w:rsidRPr="00862258">
        <w:t xml:space="preserve"> and recalling targets 5.2, 8.7 and 16.2, which aim at eliminating all forms of violence against all women and girls in the public and private spheres, including trafficking and sexual and other types of exploitation; taking immediate and effective measures to eradicate forced labour, end modern slavery and human trafficking and secure the prohibition and elimination of the worst forms of child labour, including recruitment and use of child soldiers, and by 2025 end child labour in all its forms; and ending abuse, exploitation, trafficking and all forms of violence against and torture of children,</w:t>
      </w:r>
    </w:p>
    <w:p w:rsidR="00862258" w:rsidRPr="00862258" w:rsidRDefault="00862258" w:rsidP="00862258">
      <w:pPr>
        <w:pStyle w:val="SingleTxtG"/>
      </w:pPr>
      <w:r>
        <w:tab/>
      </w:r>
      <w:r w:rsidRPr="00862258">
        <w:rPr>
          <w:i/>
        </w:rPr>
        <w:t>Recalling</w:t>
      </w:r>
      <w:r w:rsidRPr="00862258">
        <w:t xml:space="preserve"> </w:t>
      </w:r>
      <w:r w:rsidR="00E345F7" w:rsidRPr="00862258">
        <w:t xml:space="preserve">Economic and Social Council </w:t>
      </w:r>
      <w:r w:rsidRPr="00862258">
        <w:t>resolution 2015/23 of 21 July 2015 on the implementation of the United Nations Global Plan of Action to Combat Trafficking in Persons,</w:t>
      </w:r>
    </w:p>
    <w:p w:rsidR="00862258" w:rsidRPr="00862258" w:rsidRDefault="00862258" w:rsidP="00862258">
      <w:pPr>
        <w:pStyle w:val="SingleTxtG"/>
      </w:pPr>
      <w:r>
        <w:tab/>
      </w:r>
      <w:r w:rsidRPr="00862258">
        <w:rPr>
          <w:i/>
        </w:rPr>
        <w:t>Recalling</w:t>
      </w:r>
      <w:r w:rsidR="004E31D5">
        <w:rPr>
          <w:i/>
        </w:rPr>
        <w:t xml:space="preserve"> also</w:t>
      </w:r>
      <w:r w:rsidRPr="00862258">
        <w:t xml:space="preserve"> Human Rights Council resolutions 5/1, on institution-building of the Council, and 5/2, on the Code of Conduct for Special Procedures Mandate Holders of the Council,</w:t>
      </w:r>
      <w:r w:rsidR="004E31D5">
        <w:t xml:space="preserve"> of 18</w:t>
      </w:r>
      <w:r w:rsidR="00E345F7">
        <w:t xml:space="preserve"> June 2007,</w:t>
      </w:r>
    </w:p>
    <w:p w:rsidR="00862258" w:rsidRPr="00862258" w:rsidRDefault="00862258" w:rsidP="00862258">
      <w:pPr>
        <w:pStyle w:val="SingleTxtG"/>
      </w:pPr>
      <w:r>
        <w:tab/>
      </w:r>
      <w:r w:rsidRPr="00862258">
        <w:t>1.</w:t>
      </w:r>
      <w:r>
        <w:tab/>
      </w:r>
      <w:r w:rsidRPr="00862258">
        <w:rPr>
          <w:i/>
        </w:rPr>
        <w:t>Welcomes</w:t>
      </w:r>
      <w:r w:rsidRPr="00862258">
        <w:t xml:space="preserve"> the work of the Special Rapporteur on trafficking in persons, especially women and children, in the promotion of the global fight against trafficking in persons;</w:t>
      </w:r>
    </w:p>
    <w:p w:rsidR="00862258" w:rsidRPr="00862258" w:rsidRDefault="00862258" w:rsidP="00862258">
      <w:pPr>
        <w:pStyle w:val="SingleTxtG"/>
      </w:pPr>
      <w:r>
        <w:tab/>
        <w:t>2.</w:t>
      </w:r>
      <w:r>
        <w:tab/>
      </w:r>
      <w:r w:rsidRPr="00862258">
        <w:rPr>
          <w:i/>
        </w:rPr>
        <w:t>Takes note with appreciation</w:t>
      </w:r>
      <w:r w:rsidRPr="00862258">
        <w:t xml:space="preserve"> of the thematic report of the Special Rapporteur on strengthening voluntary standards for businesses on preventing and combating trafficking in persons and labour exploitation, especially in supply chains</w:t>
      </w:r>
      <w:r w:rsidR="00E345F7">
        <w:t>;</w:t>
      </w:r>
      <w:r>
        <w:rPr>
          <w:rStyle w:val="FootnoteReference"/>
        </w:rPr>
        <w:footnoteReference w:id="4"/>
      </w:r>
      <w:r w:rsidRPr="00862258">
        <w:t xml:space="preserve"> and her thematic reports on trafficking in persons in conflict and post-conflict situations;</w:t>
      </w:r>
      <w:r>
        <w:rPr>
          <w:rStyle w:val="FootnoteReference"/>
        </w:rPr>
        <w:footnoteReference w:id="5"/>
      </w:r>
    </w:p>
    <w:p w:rsidR="00862258" w:rsidRPr="00862258" w:rsidRDefault="00862258" w:rsidP="00862258">
      <w:pPr>
        <w:pStyle w:val="SingleTxtG"/>
      </w:pPr>
      <w:r>
        <w:tab/>
      </w:r>
      <w:r w:rsidRPr="00862258">
        <w:t>3.</w:t>
      </w:r>
      <w:r>
        <w:tab/>
      </w:r>
      <w:r w:rsidRPr="00862258">
        <w:rPr>
          <w:i/>
        </w:rPr>
        <w:t>Decides</w:t>
      </w:r>
      <w:r w:rsidRPr="00862258">
        <w:t xml:space="preserve"> to extend the mandate of the Special Rapporteur on trafficking in persons, especially women and children, for a period of three years;</w:t>
      </w:r>
    </w:p>
    <w:p w:rsidR="00862258" w:rsidRPr="00862258" w:rsidRDefault="00862258" w:rsidP="00862258">
      <w:pPr>
        <w:pStyle w:val="SingleTxtG"/>
      </w:pPr>
      <w:r>
        <w:tab/>
      </w:r>
      <w:r w:rsidRPr="00862258">
        <w:t>4</w:t>
      </w:r>
      <w:r>
        <w:t>.</w:t>
      </w:r>
      <w:r>
        <w:tab/>
      </w:r>
      <w:r w:rsidRPr="00862258">
        <w:rPr>
          <w:i/>
        </w:rPr>
        <w:t>Urges</w:t>
      </w:r>
      <w:r w:rsidRPr="00862258">
        <w:t xml:space="preserve"> all Governments to cooperate fully with the Special Rapporteur and to respond favourably to her requests to visit their countries, to provide her with all necessary information related to the mandate and to react promptly to her communications and urgent appeals in order to enable her to fulfil the mandate effectively;</w:t>
      </w:r>
    </w:p>
    <w:p w:rsidR="00862258" w:rsidRPr="00862258" w:rsidRDefault="00862258" w:rsidP="00862258">
      <w:pPr>
        <w:pStyle w:val="SingleTxtG"/>
      </w:pPr>
      <w:r>
        <w:tab/>
        <w:t>5.</w:t>
      </w:r>
      <w:r>
        <w:tab/>
      </w:r>
      <w:r w:rsidRPr="00862258">
        <w:rPr>
          <w:i/>
        </w:rPr>
        <w:t>Underlines</w:t>
      </w:r>
      <w:r w:rsidRPr="00862258">
        <w:t xml:space="preserve"> the importance that the Special Rapporteur continue to participate in relevant international </w:t>
      </w:r>
      <w:r w:rsidR="00AD7C03" w:rsidRPr="00862258">
        <w:t>for</w:t>
      </w:r>
      <w:r w:rsidR="00AD7C03">
        <w:t>ums</w:t>
      </w:r>
      <w:r w:rsidR="00AD7C03" w:rsidRPr="00862258">
        <w:t xml:space="preserve"> </w:t>
      </w:r>
      <w:r w:rsidRPr="00862258">
        <w:t>and events on migration with a view to combating trafficking and upholding the human rights of victims of trafficking in persons, especially women and children;</w:t>
      </w:r>
    </w:p>
    <w:p w:rsidR="00862258" w:rsidRPr="00862258" w:rsidRDefault="00862258" w:rsidP="00862258">
      <w:pPr>
        <w:pStyle w:val="SingleTxtG"/>
      </w:pPr>
      <w:r>
        <w:tab/>
      </w:r>
      <w:r w:rsidRPr="00862258">
        <w:t>6.</w:t>
      </w:r>
      <w:r>
        <w:tab/>
      </w:r>
      <w:r w:rsidRPr="00862258">
        <w:rPr>
          <w:i/>
        </w:rPr>
        <w:t>Requests</w:t>
      </w:r>
      <w:r w:rsidRPr="00862258">
        <w:t xml:space="preserve"> the United Nations High Commissioner for Human Rights to ensure that the Special Rapporteur receives the resources necessary to enable her to discharge her mandate fully;</w:t>
      </w:r>
    </w:p>
    <w:p w:rsidR="00862258" w:rsidRPr="00862258" w:rsidRDefault="00862258" w:rsidP="00862258">
      <w:pPr>
        <w:pStyle w:val="SingleTxtG"/>
      </w:pPr>
      <w:r>
        <w:tab/>
      </w:r>
      <w:r w:rsidRPr="00862258">
        <w:t>7</w:t>
      </w:r>
      <w:r>
        <w:t>.</w:t>
      </w:r>
      <w:r>
        <w:tab/>
      </w:r>
      <w:r w:rsidRPr="00862258">
        <w:rPr>
          <w:i/>
        </w:rPr>
        <w:t>Decides</w:t>
      </w:r>
      <w:r w:rsidRPr="00862258">
        <w:t xml:space="preserve"> to continue consideration of the issue of trafficking in persons, especially women and children.</w:t>
      </w:r>
    </w:p>
    <w:p w:rsidR="002F006E" w:rsidRPr="003D206B" w:rsidRDefault="003D206B" w:rsidP="003D206B">
      <w:pPr>
        <w:pStyle w:val="SingleTxtG"/>
        <w:spacing w:before="240" w:after="0"/>
        <w:jc w:val="center"/>
        <w:rPr>
          <w:rFonts w:eastAsia="SimSun"/>
          <w:u w:val="single"/>
        </w:rPr>
      </w:pPr>
      <w:r>
        <w:rPr>
          <w:rFonts w:eastAsia="SimSun"/>
          <w:u w:val="single"/>
          <w:lang w:eastAsia="ar-SA"/>
        </w:rPr>
        <w:tab/>
      </w:r>
      <w:r>
        <w:rPr>
          <w:rFonts w:eastAsia="SimSun"/>
          <w:u w:val="single"/>
          <w:lang w:eastAsia="ar-SA"/>
        </w:rPr>
        <w:tab/>
      </w:r>
      <w:r>
        <w:rPr>
          <w:rFonts w:eastAsia="SimSun"/>
          <w:u w:val="single"/>
          <w:lang w:eastAsia="ar-SA"/>
        </w:rPr>
        <w:tab/>
      </w:r>
    </w:p>
    <w:sectPr w:rsidR="002F006E" w:rsidRPr="003D206B" w:rsidSect="00F225CB">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E82" w:rsidRDefault="00531E82"/>
  </w:endnote>
  <w:endnote w:type="continuationSeparator" w:id="0">
    <w:p w:rsidR="00531E82" w:rsidRDefault="00531E82"/>
  </w:endnote>
  <w:endnote w:type="continuationNotice" w:id="1">
    <w:p w:rsidR="00531E82" w:rsidRDefault="00531E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rsidP="00EE2A77">
    <w:pPr>
      <w:pStyle w:val="Footer"/>
      <w:tabs>
        <w:tab w:val="right" w:pos="9638"/>
      </w:tabs>
    </w:pPr>
    <w:r w:rsidRPr="00EE2A77">
      <w:rPr>
        <w:b/>
        <w:sz w:val="18"/>
      </w:rPr>
      <w:fldChar w:fldCharType="begin"/>
    </w:r>
    <w:r w:rsidRPr="00EE2A77">
      <w:rPr>
        <w:b/>
        <w:sz w:val="18"/>
      </w:rPr>
      <w:instrText xml:space="preserve"> PAGE  \* MERGEFORMAT </w:instrText>
    </w:r>
    <w:r w:rsidRPr="00EE2A77">
      <w:rPr>
        <w:b/>
        <w:sz w:val="18"/>
      </w:rPr>
      <w:fldChar w:fldCharType="separate"/>
    </w:r>
    <w:r w:rsidR="003874CE">
      <w:rPr>
        <w:b/>
        <w:noProof/>
        <w:sz w:val="18"/>
      </w:rPr>
      <w:t>2</w:t>
    </w:r>
    <w:r w:rsidRPr="00EE2A7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rsidP="00EE2A77">
    <w:pPr>
      <w:pStyle w:val="Footer"/>
      <w:tabs>
        <w:tab w:val="right" w:pos="9638"/>
      </w:tabs>
      <w:rPr>
        <w:b/>
        <w:sz w:val="18"/>
      </w:rPr>
    </w:pPr>
    <w:r>
      <w:tab/>
    </w:r>
    <w:r w:rsidRPr="00EE2A77">
      <w:rPr>
        <w:b/>
        <w:sz w:val="18"/>
      </w:rPr>
      <w:fldChar w:fldCharType="begin"/>
    </w:r>
    <w:r w:rsidRPr="00EE2A77">
      <w:rPr>
        <w:b/>
        <w:sz w:val="18"/>
      </w:rPr>
      <w:instrText xml:space="preserve"> PAGE  \* MERGEFORMAT </w:instrText>
    </w:r>
    <w:r w:rsidRPr="00EE2A77">
      <w:rPr>
        <w:b/>
        <w:sz w:val="18"/>
      </w:rPr>
      <w:fldChar w:fldCharType="separate"/>
    </w:r>
    <w:r w:rsidR="00EA5EC1">
      <w:rPr>
        <w:b/>
        <w:noProof/>
        <w:sz w:val="18"/>
      </w:rPr>
      <w:t>9</w:t>
    </w:r>
    <w:r w:rsidRPr="00EE2A7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CB" w:rsidRDefault="003874CE" w:rsidP="003874CE">
    <w:pPr>
      <w:pStyle w:val="Footer"/>
      <w:rPr>
        <w:sz w:val="20"/>
      </w:rPr>
    </w:pPr>
    <w:r>
      <w:rPr>
        <w:rFonts w:ascii="C39T30Lfz" w:hAnsi="C39T30Lfz"/>
        <w:noProof/>
        <w:sz w:val="56"/>
        <w:lang w:eastAsia="zh-CN"/>
      </w:rPr>
      <w:drawing>
        <wp:anchor distT="0" distB="0" distL="114300" distR="114300" simplePos="0" relativeHeight="251660288" behindDoc="0" locked="0" layoutInCell="1" allowOverlap="1" wp14:anchorId="3131AD57" wp14:editId="59D3AA03">
          <wp:simplePos x="0" y="0"/>
          <wp:positionH relativeFrom="margin">
            <wp:posOffset>5456556</wp:posOffset>
          </wp:positionH>
          <wp:positionV relativeFrom="margin">
            <wp:posOffset>8066129</wp:posOffset>
          </wp:positionV>
          <wp:extent cx="638175" cy="638175"/>
          <wp:effectExtent l="0" t="0" r="9525" b="9525"/>
          <wp:wrapNone/>
          <wp:docPr id="2" name="Picture 1" descr="https://undocs.org/m2/QRCode.ashx?DS=A/HRC/35/L.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5/L.6&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74CE" w:rsidRDefault="003874CE" w:rsidP="003874CE">
    <w:pPr>
      <w:pStyle w:val="Footer"/>
      <w:ind w:right="1134"/>
      <w:rPr>
        <w:sz w:val="20"/>
      </w:rPr>
    </w:pPr>
    <w:r>
      <w:rPr>
        <w:sz w:val="20"/>
      </w:rPr>
      <w:t>GE.17-09931(E)</w:t>
    </w:r>
  </w:p>
  <w:p w:rsidR="003874CE" w:rsidRPr="003874CE" w:rsidRDefault="003874CE" w:rsidP="003874C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E82" w:rsidRPr="000B175B" w:rsidRDefault="00531E82" w:rsidP="000B175B">
      <w:pPr>
        <w:tabs>
          <w:tab w:val="right" w:pos="2155"/>
        </w:tabs>
        <w:spacing w:after="80"/>
        <w:ind w:left="680"/>
        <w:rPr>
          <w:u w:val="single"/>
        </w:rPr>
      </w:pPr>
      <w:r>
        <w:rPr>
          <w:u w:val="single"/>
        </w:rPr>
        <w:tab/>
      </w:r>
    </w:p>
  </w:footnote>
  <w:footnote w:type="continuationSeparator" w:id="0">
    <w:p w:rsidR="00531E82" w:rsidRPr="00FC68B7" w:rsidRDefault="00531E82" w:rsidP="00FC68B7">
      <w:pPr>
        <w:tabs>
          <w:tab w:val="left" w:pos="2155"/>
        </w:tabs>
        <w:spacing w:after="80"/>
        <w:ind w:left="680"/>
        <w:rPr>
          <w:u w:val="single"/>
        </w:rPr>
      </w:pPr>
      <w:r>
        <w:rPr>
          <w:u w:val="single"/>
        </w:rPr>
        <w:tab/>
      </w:r>
    </w:p>
  </w:footnote>
  <w:footnote w:type="continuationNotice" w:id="1">
    <w:p w:rsidR="00531E82" w:rsidRDefault="00531E82"/>
  </w:footnote>
  <w:footnote w:id="2">
    <w:p w:rsidR="00862258" w:rsidRPr="00862258" w:rsidRDefault="00862258">
      <w:pPr>
        <w:pStyle w:val="FootnoteText"/>
      </w:pPr>
      <w:r>
        <w:rPr>
          <w:rStyle w:val="FootnoteReference"/>
        </w:rPr>
        <w:tab/>
      </w:r>
      <w:r w:rsidRPr="00862258">
        <w:rPr>
          <w:rStyle w:val="FootnoteReference"/>
          <w:sz w:val="20"/>
          <w:vertAlign w:val="baseline"/>
        </w:rPr>
        <w:t>*</w:t>
      </w:r>
      <w:r>
        <w:rPr>
          <w:rStyle w:val="FootnoteReference"/>
          <w:sz w:val="20"/>
          <w:vertAlign w:val="baseline"/>
        </w:rPr>
        <w:tab/>
      </w:r>
      <w:r w:rsidR="005153C1">
        <w:rPr>
          <w:sz w:val="20"/>
        </w:rPr>
        <w:t>State</w:t>
      </w:r>
      <w:r>
        <w:t xml:space="preserve"> not a member of the Human Rights Council.</w:t>
      </w:r>
      <w:bookmarkStart w:id="0" w:name="_GoBack"/>
    </w:p>
    <w:bookmarkEnd w:id="0"/>
  </w:footnote>
  <w:footnote w:id="3">
    <w:p w:rsidR="00862258" w:rsidRDefault="00862258" w:rsidP="00862258">
      <w:pPr>
        <w:pStyle w:val="FootnoteText"/>
        <w:widowControl w:val="0"/>
        <w:tabs>
          <w:tab w:val="clear" w:pos="1021"/>
          <w:tab w:val="right" w:pos="1020"/>
        </w:tabs>
      </w:pPr>
      <w:r>
        <w:tab/>
      </w:r>
      <w:r>
        <w:rPr>
          <w:rStyle w:val="FootnoteReference"/>
        </w:rPr>
        <w:footnoteRef/>
      </w:r>
      <w:r>
        <w:tab/>
      </w:r>
      <w:r w:rsidRPr="00862258">
        <w:t>General Assembly resolution 70/1.</w:t>
      </w:r>
    </w:p>
  </w:footnote>
  <w:footnote w:id="4">
    <w:p w:rsidR="00862258" w:rsidRDefault="00862258" w:rsidP="00862258">
      <w:pPr>
        <w:pStyle w:val="FootnoteText"/>
        <w:widowControl w:val="0"/>
        <w:tabs>
          <w:tab w:val="clear" w:pos="1021"/>
          <w:tab w:val="right" w:pos="1020"/>
        </w:tabs>
      </w:pPr>
      <w:r>
        <w:tab/>
      </w:r>
      <w:r>
        <w:rPr>
          <w:rStyle w:val="FootnoteReference"/>
        </w:rPr>
        <w:footnoteRef/>
      </w:r>
      <w:r>
        <w:tab/>
      </w:r>
      <w:r w:rsidRPr="00862258">
        <w:rPr>
          <w:lang w:val="en-US"/>
        </w:rPr>
        <w:t>A/HRC/35/37</w:t>
      </w:r>
      <w:r>
        <w:rPr>
          <w:lang w:val="en-US"/>
        </w:rPr>
        <w:t>.</w:t>
      </w:r>
    </w:p>
  </w:footnote>
  <w:footnote w:id="5">
    <w:p w:rsidR="00862258" w:rsidRDefault="00862258" w:rsidP="00862258">
      <w:pPr>
        <w:pStyle w:val="FootnoteText"/>
        <w:widowControl w:val="0"/>
        <w:tabs>
          <w:tab w:val="clear" w:pos="1021"/>
          <w:tab w:val="right" w:pos="1020"/>
        </w:tabs>
      </w:pPr>
      <w:r>
        <w:tab/>
      </w:r>
      <w:r>
        <w:rPr>
          <w:rStyle w:val="FootnoteReference"/>
        </w:rPr>
        <w:footnoteRef/>
      </w:r>
      <w:r>
        <w:tab/>
      </w:r>
      <w:r w:rsidRPr="00862258">
        <w:rPr>
          <w:lang w:val="en-US"/>
        </w:rPr>
        <w:t xml:space="preserve">A/HRC/32/41 </w:t>
      </w:r>
      <w:r w:rsidR="00AD7C03">
        <w:rPr>
          <w:lang w:val="en-US"/>
        </w:rPr>
        <w:t xml:space="preserve">and Corr.1 </w:t>
      </w:r>
      <w:r w:rsidRPr="00862258">
        <w:rPr>
          <w:lang w:val="en-US"/>
        </w:rPr>
        <w:t>and A/71/303</w:t>
      </w:r>
      <w:r>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pPr>
      <w:pStyle w:val="Header"/>
    </w:pPr>
    <w:r>
      <w:t>A/HRC/</w:t>
    </w:r>
    <w:r w:rsidR="00402A2C">
      <w:t>3</w:t>
    </w:r>
    <w:r w:rsidR="008F22EA">
      <w:t>5</w:t>
    </w:r>
    <w:r w:rsidR="00E10083">
      <w:t>/L.</w:t>
    </w:r>
    <w:r w:rsidR="00862258">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5A69B3" w:rsidP="00EE2A77">
    <w:pPr>
      <w:pStyle w:val="Header"/>
      <w:jc w:val="right"/>
    </w:pPr>
    <w:r>
      <w:t>A/HRC/</w:t>
    </w:r>
    <w:r w:rsidR="00402A2C">
      <w:t>3</w:t>
    </w:r>
    <w:r w:rsidR="00D42B42">
      <w:t>1</w:t>
    </w:r>
    <w:r w:rsidR="00E10083">
      <w:t>/L.</w:t>
    </w:r>
    <w:r w:rsidR="00154B0E">
      <w:t>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ditors1 OHCHR">
    <w15:presenceInfo w15:providerId="None" w15:userId="Editors1 OHCHR"/>
  </w15:person>
  <w15:person w15:author="Meena Ramkaun">
    <w15:presenceInfo w15:providerId="None" w15:userId="Meena Ramkau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843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77"/>
    <w:rsid w:val="00001D37"/>
    <w:rsid w:val="00007F7F"/>
    <w:rsid w:val="00022DB5"/>
    <w:rsid w:val="00032232"/>
    <w:rsid w:val="000403D1"/>
    <w:rsid w:val="00042566"/>
    <w:rsid w:val="000449AA"/>
    <w:rsid w:val="00044DE3"/>
    <w:rsid w:val="00050F6B"/>
    <w:rsid w:val="0005216E"/>
    <w:rsid w:val="00072C8C"/>
    <w:rsid w:val="00073E70"/>
    <w:rsid w:val="000876EB"/>
    <w:rsid w:val="00091419"/>
    <w:rsid w:val="000931C0"/>
    <w:rsid w:val="000A2AFE"/>
    <w:rsid w:val="000B175B"/>
    <w:rsid w:val="000B1E07"/>
    <w:rsid w:val="000B3A0F"/>
    <w:rsid w:val="000B4A3B"/>
    <w:rsid w:val="000C3B42"/>
    <w:rsid w:val="000D1851"/>
    <w:rsid w:val="000E0415"/>
    <w:rsid w:val="00106EF0"/>
    <w:rsid w:val="00111F87"/>
    <w:rsid w:val="0011209E"/>
    <w:rsid w:val="00114904"/>
    <w:rsid w:val="00146D32"/>
    <w:rsid w:val="001509BA"/>
    <w:rsid w:val="00153FA2"/>
    <w:rsid w:val="00154B0E"/>
    <w:rsid w:val="00190DA0"/>
    <w:rsid w:val="00195879"/>
    <w:rsid w:val="001B4B04"/>
    <w:rsid w:val="001C6663"/>
    <w:rsid w:val="001C7895"/>
    <w:rsid w:val="001D26DF"/>
    <w:rsid w:val="001D6952"/>
    <w:rsid w:val="001E2790"/>
    <w:rsid w:val="00201865"/>
    <w:rsid w:val="00211E0B"/>
    <w:rsid w:val="00211E72"/>
    <w:rsid w:val="00212863"/>
    <w:rsid w:val="00214047"/>
    <w:rsid w:val="00214999"/>
    <w:rsid w:val="0022130F"/>
    <w:rsid w:val="00237785"/>
    <w:rsid w:val="002410DD"/>
    <w:rsid w:val="00241466"/>
    <w:rsid w:val="00253D58"/>
    <w:rsid w:val="0027725F"/>
    <w:rsid w:val="0028185A"/>
    <w:rsid w:val="002C21F0"/>
    <w:rsid w:val="002D4176"/>
    <w:rsid w:val="002E7C76"/>
    <w:rsid w:val="002F006E"/>
    <w:rsid w:val="003107FA"/>
    <w:rsid w:val="00317071"/>
    <w:rsid w:val="003229D8"/>
    <w:rsid w:val="003314D1"/>
    <w:rsid w:val="00335A2F"/>
    <w:rsid w:val="00341937"/>
    <w:rsid w:val="0036088C"/>
    <w:rsid w:val="00364A1C"/>
    <w:rsid w:val="003874CE"/>
    <w:rsid w:val="00390052"/>
    <w:rsid w:val="0039277A"/>
    <w:rsid w:val="003972E0"/>
    <w:rsid w:val="003975ED"/>
    <w:rsid w:val="003A438E"/>
    <w:rsid w:val="003C2CC4"/>
    <w:rsid w:val="003D206B"/>
    <w:rsid w:val="003D2765"/>
    <w:rsid w:val="003D4B23"/>
    <w:rsid w:val="003E7D53"/>
    <w:rsid w:val="00402A2C"/>
    <w:rsid w:val="00424C80"/>
    <w:rsid w:val="00427510"/>
    <w:rsid w:val="004325CB"/>
    <w:rsid w:val="004413C2"/>
    <w:rsid w:val="00443464"/>
    <w:rsid w:val="0044503A"/>
    <w:rsid w:val="004453BF"/>
    <w:rsid w:val="00446DE4"/>
    <w:rsid w:val="00447761"/>
    <w:rsid w:val="00451EC3"/>
    <w:rsid w:val="00456DD6"/>
    <w:rsid w:val="004721B1"/>
    <w:rsid w:val="00472982"/>
    <w:rsid w:val="004859EC"/>
    <w:rsid w:val="00487B50"/>
    <w:rsid w:val="004939B3"/>
    <w:rsid w:val="00493D3E"/>
    <w:rsid w:val="00496A15"/>
    <w:rsid w:val="004A6D3A"/>
    <w:rsid w:val="004B75D2"/>
    <w:rsid w:val="004C0361"/>
    <w:rsid w:val="004C6170"/>
    <w:rsid w:val="004D0109"/>
    <w:rsid w:val="004D1140"/>
    <w:rsid w:val="004E31D5"/>
    <w:rsid w:val="004F55ED"/>
    <w:rsid w:val="005153C1"/>
    <w:rsid w:val="0052176C"/>
    <w:rsid w:val="005261E5"/>
    <w:rsid w:val="00531E82"/>
    <w:rsid w:val="005342AB"/>
    <w:rsid w:val="005420F2"/>
    <w:rsid w:val="00542574"/>
    <w:rsid w:val="005436AB"/>
    <w:rsid w:val="0054626B"/>
    <w:rsid w:val="00546DBF"/>
    <w:rsid w:val="00553D76"/>
    <w:rsid w:val="00554B96"/>
    <w:rsid w:val="005552B5"/>
    <w:rsid w:val="0056117B"/>
    <w:rsid w:val="00567613"/>
    <w:rsid w:val="00571365"/>
    <w:rsid w:val="00576396"/>
    <w:rsid w:val="00597B57"/>
    <w:rsid w:val="005A69B3"/>
    <w:rsid w:val="005B3DB3"/>
    <w:rsid w:val="005B4D83"/>
    <w:rsid w:val="005B6E48"/>
    <w:rsid w:val="005C2413"/>
    <w:rsid w:val="005C69BB"/>
    <w:rsid w:val="005E1712"/>
    <w:rsid w:val="005F52A9"/>
    <w:rsid w:val="0061165E"/>
    <w:rsid w:val="00611ABD"/>
    <w:rsid w:val="00611FC4"/>
    <w:rsid w:val="006176FB"/>
    <w:rsid w:val="00624EE2"/>
    <w:rsid w:val="00640B26"/>
    <w:rsid w:val="006601B6"/>
    <w:rsid w:val="00670741"/>
    <w:rsid w:val="00674C17"/>
    <w:rsid w:val="006947AE"/>
    <w:rsid w:val="00696BD6"/>
    <w:rsid w:val="00697307"/>
    <w:rsid w:val="006A6B9D"/>
    <w:rsid w:val="006A7392"/>
    <w:rsid w:val="006B3189"/>
    <w:rsid w:val="006B7D65"/>
    <w:rsid w:val="006C28EE"/>
    <w:rsid w:val="006C35AD"/>
    <w:rsid w:val="006D4961"/>
    <w:rsid w:val="006D5F84"/>
    <w:rsid w:val="006D6DA6"/>
    <w:rsid w:val="006E564B"/>
    <w:rsid w:val="006E59E7"/>
    <w:rsid w:val="006F13F0"/>
    <w:rsid w:val="006F392F"/>
    <w:rsid w:val="006F5035"/>
    <w:rsid w:val="0070635F"/>
    <w:rsid w:val="007065EB"/>
    <w:rsid w:val="0071701A"/>
    <w:rsid w:val="00720183"/>
    <w:rsid w:val="0072632A"/>
    <w:rsid w:val="0074200B"/>
    <w:rsid w:val="007A6296"/>
    <w:rsid w:val="007B208E"/>
    <w:rsid w:val="007B5706"/>
    <w:rsid w:val="007B6BA5"/>
    <w:rsid w:val="007B7C6F"/>
    <w:rsid w:val="007C1B62"/>
    <w:rsid w:val="007C3390"/>
    <w:rsid w:val="007C4F4B"/>
    <w:rsid w:val="007C5E9C"/>
    <w:rsid w:val="007D2CDC"/>
    <w:rsid w:val="007D5327"/>
    <w:rsid w:val="007E15F4"/>
    <w:rsid w:val="007F6611"/>
    <w:rsid w:val="00804E5C"/>
    <w:rsid w:val="008155C3"/>
    <w:rsid w:val="008175E9"/>
    <w:rsid w:val="0082243E"/>
    <w:rsid w:val="008242D7"/>
    <w:rsid w:val="008402E9"/>
    <w:rsid w:val="00856CD2"/>
    <w:rsid w:val="00861BC6"/>
    <w:rsid w:val="00862258"/>
    <w:rsid w:val="00871FD5"/>
    <w:rsid w:val="008979B1"/>
    <w:rsid w:val="008A009D"/>
    <w:rsid w:val="008A01F6"/>
    <w:rsid w:val="008A6B25"/>
    <w:rsid w:val="008A6C4F"/>
    <w:rsid w:val="008C1E4D"/>
    <w:rsid w:val="008E0E46"/>
    <w:rsid w:val="008F22EA"/>
    <w:rsid w:val="0090452C"/>
    <w:rsid w:val="00907C3F"/>
    <w:rsid w:val="0092080F"/>
    <w:rsid w:val="0092237C"/>
    <w:rsid w:val="0093707B"/>
    <w:rsid w:val="009400EB"/>
    <w:rsid w:val="009427E3"/>
    <w:rsid w:val="00944104"/>
    <w:rsid w:val="00956D9B"/>
    <w:rsid w:val="00963CBA"/>
    <w:rsid w:val="009654B7"/>
    <w:rsid w:val="00976B90"/>
    <w:rsid w:val="00991261"/>
    <w:rsid w:val="009A0B83"/>
    <w:rsid w:val="009B019A"/>
    <w:rsid w:val="009B3800"/>
    <w:rsid w:val="009D22AC"/>
    <w:rsid w:val="009D50DB"/>
    <w:rsid w:val="009D663E"/>
    <w:rsid w:val="009E1C4E"/>
    <w:rsid w:val="009F34F1"/>
    <w:rsid w:val="009F58A8"/>
    <w:rsid w:val="00A003D2"/>
    <w:rsid w:val="00A02B35"/>
    <w:rsid w:val="00A05E0B"/>
    <w:rsid w:val="00A1427D"/>
    <w:rsid w:val="00A41D9B"/>
    <w:rsid w:val="00A4634F"/>
    <w:rsid w:val="00A51CF3"/>
    <w:rsid w:val="00A72F22"/>
    <w:rsid w:val="00A748A6"/>
    <w:rsid w:val="00A879A4"/>
    <w:rsid w:val="00A87E95"/>
    <w:rsid w:val="00A92E29"/>
    <w:rsid w:val="00AB3CE4"/>
    <w:rsid w:val="00AB61A8"/>
    <w:rsid w:val="00AC2E56"/>
    <w:rsid w:val="00AD0613"/>
    <w:rsid w:val="00AD09E9"/>
    <w:rsid w:val="00AD7489"/>
    <w:rsid w:val="00AD7C03"/>
    <w:rsid w:val="00AF0576"/>
    <w:rsid w:val="00AF3829"/>
    <w:rsid w:val="00B037F0"/>
    <w:rsid w:val="00B2327D"/>
    <w:rsid w:val="00B2715D"/>
    <w:rsid w:val="00B2718F"/>
    <w:rsid w:val="00B30179"/>
    <w:rsid w:val="00B3317B"/>
    <w:rsid w:val="00B334DC"/>
    <w:rsid w:val="00B3447B"/>
    <w:rsid w:val="00B3631A"/>
    <w:rsid w:val="00B4035F"/>
    <w:rsid w:val="00B53013"/>
    <w:rsid w:val="00B57EDB"/>
    <w:rsid w:val="00B67F5E"/>
    <w:rsid w:val="00B73E65"/>
    <w:rsid w:val="00B81E12"/>
    <w:rsid w:val="00B87110"/>
    <w:rsid w:val="00B94B00"/>
    <w:rsid w:val="00B97FA8"/>
    <w:rsid w:val="00BB5313"/>
    <w:rsid w:val="00BC1385"/>
    <w:rsid w:val="00BC74E9"/>
    <w:rsid w:val="00BE00DE"/>
    <w:rsid w:val="00BE618E"/>
    <w:rsid w:val="00C24693"/>
    <w:rsid w:val="00C359A4"/>
    <w:rsid w:val="00C35F0B"/>
    <w:rsid w:val="00C42278"/>
    <w:rsid w:val="00C463DD"/>
    <w:rsid w:val="00C53250"/>
    <w:rsid w:val="00C62C58"/>
    <w:rsid w:val="00C64458"/>
    <w:rsid w:val="00C745C3"/>
    <w:rsid w:val="00C86EEF"/>
    <w:rsid w:val="00CA2A58"/>
    <w:rsid w:val="00CC0B55"/>
    <w:rsid w:val="00CD1E06"/>
    <w:rsid w:val="00CD6995"/>
    <w:rsid w:val="00CE4A8F"/>
    <w:rsid w:val="00CE5514"/>
    <w:rsid w:val="00CF0214"/>
    <w:rsid w:val="00CF0545"/>
    <w:rsid w:val="00CF3588"/>
    <w:rsid w:val="00CF586F"/>
    <w:rsid w:val="00CF7D43"/>
    <w:rsid w:val="00D11129"/>
    <w:rsid w:val="00D2031B"/>
    <w:rsid w:val="00D22332"/>
    <w:rsid w:val="00D25FE2"/>
    <w:rsid w:val="00D42B42"/>
    <w:rsid w:val="00D43252"/>
    <w:rsid w:val="00D550F9"/>
    <w:rsid w:val="00D572B0"/>
    <w:rsid w:val="00D62E90"/>
    <w:rsid w:val="00D76BE5"/>
    <w:rsid w:val="00D978C6"/>
    <w:rsid w:val="00DA5A30"/>
    <w:rsid w:val="00DA67AD"/>
    <w:rsid w:val="00DB18CE"/>
    <w:rsid w:val="00DE3EC0"/>
    <w:rsid w:val="00DF614B"/>
    <w:rsid w:val="00E051D8"/>
    <w:rsid w:val="00E10083"/>
    <w:rsid w:val="00E11593"/>
    <w:rsid w:val="00E12B6B"/>
    <w:rsid w:val="00E130AB"/>
    <w:rsid w:val="00E23BBC"/>
    <w:rsid w:val="00E345F7"/>
    <w:rsid w:val="00E438D9"/>
    <w:rsid w:val="00E5536D"/>
    <w:rsid w:val="00E5644E"/>
    <w:rsid w:val="00E61A6C"/>
    <w:rsid w:val="00E7260F"/>
    <w:rsid w:val="00E806EE"/>
    <w:rsid w:val="00E9471B"/>
    <w:rsid w:val="00E96630"/>
    <w:rsid w:val="00EA36E1"/>
    <w:rsid w:val="00EA5EC1"/>
    <w:rsid w:val="00EB0C95"/>
    <w:rsid w:val="00EB0FB9"/>
    <w:rsid w:val="00EC250E"/>
    <w:rsid w:val="00ED0CA9"/>
    <w:rsid w:val="00ED7A2A"/>
    <w:rsid w:val="00EE2A77"/>
    <w:rsid w:val="00EE36FF"/>
    <w:rsid w:val="00EF1D7F"/>
    <w:rsid w:val="00EF29F5"/>
    <w:rsid w:val="00EF5BDB"/>
    <w:rsid w:val="00EF7BF0"/>
    <w:rsid w:val="00F07FD9"/>
    <w:rsid w:val="00F15AA7"/>
    <w:rsid w:val="00F225CB"/>
    <w:rsid w:val="00F23933"/>
    <w:rsid w:val="00F24119"/>
    <w:rsid w:val="00F40E75"/>
    <w:rsid w:val="00F42CD9"/>
    <w:rsid w:val="00F4793B"/>
    <w:rsid w:val="00F52936"/>
    <w:rsid w:val="00F674F3"/>
    <w:rsid w:val="00F677CB"/>
    <w:rsid w:val="00F714CA"/>
    <w:rsid w:val="00F96A1E"/>
    <w:rsid w:val="00FA7DF3"/>
    <w:rsid w:val="00FC48F4"/>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106230">
      <w:bodyDiv w:val="1"/>
      <w:marLeft w:val="0"/>
      <w:marRight w:val="0"/>
      <w:marTop w:val="0"/>
      <w:marBottom w:val="0"/>
      <w:divBdr>
        <w:top w:val="none" w:sz="0" w:space="0" w:color="auto"/>
        <w:left w:val="none" w:sz="0" w:space="0" w:color="auto"/>
        <w:bottom w:val="none" w:sz="0" w:space="0" w:color="auto"/>
        <w:right w:val="none" w:sz="0" w:space="0" w:color="auto"/>
      </w:divBdr>
    </w:div>
    <w:div w:id="930166829">
      <w:bodyDiv w:val="1"/>
      <w:marLeft w:val="0"/>
      <w:marRight w:val="0"/>
      <w:marTop w:val="0"/>
      <w:marBottom w:val="0"/>
      <w:divBdr>
        <w:top w:val="none" w:sz="0" w:space="0" w:color="auto"/>
        <w:left w:val="none" w:sz="0" w:space="0" w:color="auto"/>
        <w:bottom w:val="none" w:sz="0" w:space="0" w:color="auto"/>
        <w:right w:val="none" w:sz="0" w:space="0" w:color="auto"/>
      </w:divBdr>
    </w:div>
    <w:div w:id="159574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710</Words>
  <Characters>4203</Characters>
  <Application>Microsoft Office Word</Application>
  <DocSecurity>0</DocSecurity>
  <Lines>83</Lines>
  <Paragraphs>28</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1709931</dc:title>
  <dc:subject>A/HRC/35/L.6</dc:subject>
  <dc:creator>Kiatsurayanon</dc:creator>
  <cp:keywords/>
  <dc:description/>
  <cp:lastModifiedBy>Scaner eng</cp:lastModifiedBy>
  <cp:revision>2</cp:revision>
  <cp:lastPrinted>2017-06-15T15:34:00Z</cp:lastPrinted>
  <dcterms:created xsi:type="dcterms:W3CDTF">2017-06-16T07:51:00Z</dcterms:created>
  <dcterms:modified xsi:type="dcterms:W3CDTF">2017-06-16T07:51:00Z</dcterms:modified>
</cp:coreProperties>
</file>