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B3AE05E" w14:textId="77777777">
        <w:trPr>
          <w:trHeight w:val="851"/>
        </w:trPr>
        <w:tc>
          <w:tcPr>
            <w:tcW w:w="1259" w:type="dxa"/>
            <w:tcBorders>
              <w:top w:val="nil"/>
              <w:left w:val="nil"/>
              <w:bottom w:val="single" w:sz="4" w:space="0" w:color="auto"/>
              <w:right w:val="nil"/>
            </w:tcBorders>
          </w:tcPr>
          <w:p w14:paraId="1CCAFAB5" w14:textId="77777777" w:rsidR="00446DE4" w:rsidRPr="005828C0" w:rsidRDefault="00446DE4" w:rsidP="005828C0">
            <w:pPr>
              <w:tabs>
                <w:tab w:val="right" w:pos="850"/>
                <w:tab w:val="left" w:pos="1134"/>
                <w:tab w:val="right" w:leader="dot" w:pos="8504"/>
              </w:tabs>
              <w:spacing w:line="20" w:lineRule="exact"/>
              <w:rPr>
                <w:sz w:val="2"/>
              </w:rPr>
            </w:pPr>
          </w:p>
          <w:p w14:paraId="3200A049" w14:textId="77777777" w:rsidR="005828C0" w:rsidRPr="00E806EE" w:rsidRDefault="005828C0"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D11E2A4"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308A6B" w14:textId="77777777" w:rsidR="00446DE4" w:rsidRPr="00DE3EC0" w:rsidRDefault="001D18FE" w:rsidP="00580741">
            <w:pPr>
              <w:jc w:val="right"/>
            </w:pPr>
            <w:r w:rsidRPr="001D18FE">
              <w:rPr>
                <w:sz w:val="40"/>
              </w:rPr>
              <w:t>A</w:t>
            </w:r>
            <w:r>
              <w:t>/HRC/</w:t>
            </w:r>
            <w:r w:rsidR="002332EF">
              <w:t>3</w:t>
            </w:r>
            <w:r w:rsidR="00D873A3">
              <w:t>6</w:t>
            </w:r>
            <w:r>
              <w:t>/L.</w:t>
            </w:r>
            <w:r w:rsidR="00580741">
              <w:t>16</w:t>
            </w:r>
          </w:p>
        </w:tc>
      </w:tr>
      <w:tr w:rsidR="003107FA" w14:paraId="70EF6189" w14:textId="77777777">
        <w:trPr>
          <w:trHeight w:val="2835"/>
        </w:trPr>
        <w:tc>
          <w:tcPr>
            <w:tcW w:w="1259" w:type="dxa"/>
            <w:tcBorders>
              <w:top w:val="single" w:sz="4" w:space="0" w:color="auto"/>
              <w:left w:val="nil"/>
              <w:bottom w:val="single" w:sz="12" w:space="0" w:color="auto"/>
              <w:right w:val="nil"/>
            </w:tcBorders>
          </w:tcPr>
          <w:p w14:paraId="4CBE6A83" w14:textId="77777777" w:rsidR="003107FA" w:rsidRDefault="000222D0" w:rsidP="00956D9B">
            <w:pPr>
              <w:spacing w:before="120"/>
              <w:jc w:val="center"/>
            </w:pPr>
            <w:r>
              <w:rPr>
                <w:noProof/>
                <w:lang w:eastAsia="en-GB"/>
              </w:rPr>
              <w:drawing>
                <wp:inline distT="0" distB="0" distL="0" distR="0" wp14:anchorId="63D56B69" wp14:editId="0D868B3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00900E0"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47370AF" w14:textId="77777777" w:rsidR="001D18FE" w:rsidRDefault="001D18FE" w:rsidP="001D18FE">
            <w:pPr>
              <w:spacing w:before="240" w:line="240" w:lineRule="exact"/>
            </w:pPr>
            <w:r>
              <w:t>Distr.: Limited</w:t>
            </w:r>
          </w:p>
          <w:p w14:paraId="4BB6C536" w14:textId="2156B871" w:rsidR="00F73977" w:rsidRDefault="00580741" w:rsidP="00F73977">
            <w:pPr>
              <w:spacing w:line="240" w:lineRule="exact"/>
            </w:pPr>
            <w:r>
              <w:t>2</w:t>
            </w:r>
            <w:r w:rsidR="009F4247">
              <w:t>5</w:t>
            </w:r>
            <w:r>
              <w:t xml:space="preserve"> </w:t>
            </w:r>
            <w:r w:rsidR="00D873A3">
              <w:t>September</w:t>
            </w:r>
            <w:r w:rsidR="001A23EA">
              <w:t xml:space="preserve"> 2017</w:t>
            </w:r>
          </w:p>
          <w:p w14:paraId="3DB88814" w14:textId="77777777" w:rsidR="001D18FE" w:rsidRDefault="001D18FE" w:rsidP="001D18FE">
            <w:pPr>
              <w:spacing w:line="240" w:lineRule="exact"/>
            </w:pPr>
          </w:p>
          <w:p w14:paraId="6B492A79" w14:textId="77777777" w:rsidR="003107FA" w:rsidRDefault="001D18FE" w:rsidP="001D18FE">
            <w:pPr>
              <w:spacing w:line="240" w:lineRule="exact"/>
            </w:pPr>
            <w:r>
              <w:t>Original: English</w:t>
            </w:r>
          </w:p>
        </w:tc>
      </w:tr>
    </w:tbl>
    <w:p w14:paraId="2A7DAF18" w14:textId="77777777" w:rsidR="00FE7BB7" w:rsidRDefault="00FE7BB7" w:rsidP="00FE7BB7">
      <w:pPr>
        <w:spacing w:before="120"/>
        <w:rPr>
          <w:b/>
          <w:sz w:val="24"/>
          <w:szCs w:val="24"/>
        </w:rPr>
      </w:pPr>
      <w:r>
        <w:rPr>
          <w:b/>
          <w:sz w:val="24"/>
          <w:szCs w:val="24"/>
        </w:rPr>
        <w:t>Human Rights Council</w:t>
      </w:r>
    </w:p>
    <w:p w14:paraId="32B2FBF8" w14:textId="77777777" w:rsidR="00FE7BB7" w:rsidRDefault="002332EF" w:rsidP="00FE7BB7">
      <w:pPr>
        <w:rPr>
          <w:b/>
        </w:rPr>
      </w:pPr>
      <w:r>
        <w:rPr>
          <w:b/>
        </w:rPr>
        <w:t>Thirt</w:t>
      </w:r>
      <w:r w:rsidR="000D672D">
        <w:rPr>
          <w:b/>
        </w:rPr>
        <w:t>y-</w:t>
      </w:r>
      <w:r w:rsidR="00D873A3">
        <w:rPr>
          <w:b/>
        </w:rPr>
        <w:t>six</w:t>
      </w:r>
      <w:r w:rsidR="001A23EA">
        <w:rPr>
          <w:b/>
        </w:rPr>
        <w:t>th</w:t>
      </w:r>
      <w:r w:rsidR="00C859C3">
        <w:rPr>
          <w:b/>
        </w:rPr>
        <w:t xml:space="preserve"> </w:t>
      </w:r>
      <w:r w:rsidR="00FE7BB7">
        <w:rPr>
          <w:b/>
        </w:rPr>
        <w:t>session</w:t>
      </w:r>
    </w:p>
    <w:p w14:paraId="1779212D" w14:textId="77777777" w:rsidR="001D04EF" w:rsidRPr="001D04EF" w:rsidRDefault="00D873A3" w:rsidP="00FE7BB7">
      <w:r>
        <w:t>11</w:t>
      </w:r>
      <w:r w:rsidR="001A4801">
        <w:t>–2</w:t>
      </w:r>
      <w:r>
        <w:t>9</w:t>
      </w:r>
      <w:r w:rsidR="001A4801">
        <w:t xml:space="preserve"> </w:t>
      </w:r>
      <w:r>
        <w:t>September</w:t>
      </w:r>
      <w:r w:rsidR="001D04EF">
        <w:t xml:space="preserve"> 2017</w:t>
      </w:r>
    </w:p>
    <w:p w14:paraId="1CFA8B26" w14:textId="77777777" w:rsidR="00FE7BB7" w:rsidRDefault="00447FCF" w:rsidP="00FE7BB7">
      <w:r>
        <w:t xml:space="preserve">Agenda item </w:t>
      </w:r>
      <w:r w:rsidR="00A7187A">
        <w:t>9</w:t>
      </w:r>
    </w:p>
    <w:p w14:paraId="52B8F570" w14:textId="77777777" w:rsidR="00FE7BB7" w:rsidRPr="00533C25" w:rsidRDefault="00A7187A" w:rsidP="00A7187A">
      <w:pPr>
        <w:rPr>
          <w:b/>
        </w:rPr>
      </w:pPr>
      <w:r>
        <w:rPr>
          <w:b/>
        </w:rPr>
        <w:t>Racism, racial discrim</w:t>
      </w:r>
      <w:r w:rsidR="009E7276">
        <w:rPr>
          <w:b/>
        </w:rPr>
        <w:t>ination, xenophobia and related</w:t>
      </w:r>
      <w:r>
        <w:rPr>
          <w:b/>
        </w:rPr>
        <w:br/>
      </w:r>
      <w:r w:rsidR="009E7276">
        <w:rPr>
          <w:b/>
        </w:rPr>
        <w:t>form</w:t>
      </w:r>
      <w:r w:rsidR="00487F2D">
        <w:rPr>
          <w:b/>
        </w:rPr>
        <w:t xml:space="preserve">s </w:t>
      </w:r>
      <w:r>
        <w:rPr>
          <w:b/>
        </w:rPr>
        <w:t xml:space="preserve">of intolerance, follow-up </w:t>
      </w:r>
      <w:r w:rsidR="00230F4D">
        <w:rPr>
          <w:b/>
        </w:rPr>
        <w:t xml:space="preserve">to </w:t>
      </w:r>
      <w:r>
        <w:rPr>
          <w:b/>
        </w:rPr>
        <w:t>and implementat</w:t>
      </w:r>
      <w:r w:rsidR="009E7276">
        <w:rPr>
          <w:b/>
        </w:rPr>
        <w:t>ion</w:t>
      </w:r>
      <w:r w:rsidR="00487F2D">
        <w:rPr>
          <w:b/>
        </w:rPr>
        <w:t xml:space="preserve"> of</w:t>
      </w:r>
      <w:r>
        <w:rPr>
          <w:b/>
        </w:rPr>
        <w:br/>
      </w:r>
      <w:r w:rsidR="009E7276">
        <w:rPr>
          <w:b/>
        </w:rPr>
        <w:t xml:space="preserve">the Durban </w:t>
      </w:r>
      <w:r>
        <w:rPr>
          <w:b/>
        </w:rPr>
        <w:t>Declaration and Programme of Action</w:t>
      </w:r>
    </w:p>
    <w:p w14:paraId="1CACB237" w14:textId="77777777" w:rsidR="00FE7BB7" w:rsidRDefault="00FE7BB7" w:rsidP="00FE7BB7">
      <w:pPr>
        <w:pStyle w:val="H23G"/>
      </w:pPr>
      <w:r>
        <w:tab/>
      </w:r>
      <w:r>
        <w:tab/>
      </w:r>
      <w:r w:rsidR="00580741">
        <w:t>Haiti,</w:t>
      </w:r>
      <w:r w:rsidR="00580741" w:rsidRPr="00F17578">
        <w:rPr>
          <w:rStyle w:val="FootnoteReference"/>
          <w:szCs w:val="18"/>
        </w:rPr>
        <w:footnoteReference w:customMarkFollows="1" w:id="2"/>
        <w:t>*</w:t>
      </w:r>
      <w:r w:rsidR="00580741">
        <w:t xml:space="preserve"> Tunisia,</w:t>
      </w:r>
      <w:r w:rsidR="00580741">
        <w:rPr>
          <w:rStyle w:val="FootnoteReference"/>
        </w:rPr>
        <w:footnoteReference w:customMarkFollows="1" w:id="3"/>
        <w:t>†</w:t>
      </w:r>
      <w:r w:rsidR="00580741">
        <w:t xml:space="preserve"> Venezuela (Bolivarian Republic of)</w:t>
      </w:r>
      <w:r w:rsidR="0082389A">
        <w:t>:</w:t>
      </w:r>
      <w:r>
        <w:t xml:space="preserve"> draft resolution</w:t>
      </w:r>
    </w:p>
    <w:p w14:paraId="283DAA5E" w14:textId="77777777" w:rsidR="00FE7BB7" w:rsidRPr="007A45D3" w:rsidRDefault="002332EF" w:rsidP="002332EF">
      <w:pPr>
        <w:pStyle w:val="H1G"/>
        <w:tabs>
          <w:tab w:val="clear" w:pos="851"/>
        </w:tabs>
        <w:ind w:left="1843" w:hanging="709"/>
      </w:pPr>
      <w:r>
        <w:t>3</w:t>
      </w:r>
      <w:r w:rsidR="00D873A3">
        <w:t>6</w:t>
      </w:r>
      <w:r>
        <w:t>/…</w:t>
      </w:r>
      <w:r>
        <w:tab/>
      </w:r>
      <w:r w:rsidR="00580741" w:rsidRPr="00580741">
        <w:rPr>
          <w:lang w:val="en-ZA"/>
        </w:rPr>
        <w:t>Mandate of the Working Group of Experts on People of African Descent</w:t>
      </w:r>
    </w:p>
    <w:p w14:paraId="60BDAF70" w14:textId="77777777" w:rsidR="00FE7BB7" w:rsidRDefault="00FE7BB7" w:rsidP="002332EF">
      <w:pPr>
        <w:pStyle w:val="SingleTxtG"/>
      </w:pPr>
      <w:r>
        <w:tab/>
      </w:r>
      <w:r w:rsidRPr="002332EF">
        <w:rPr>
          <w:i/>
        </w:rPr>
        <w:t>The Human Rights Council</w:t>
      </w:r>
      <w:r w:rsidRPr="00852165">
        <w:t>,</w:t>
      </w:r>
    </w:p>
    <w:p w14:paraId="68004CFA" w14:textId="19C5B029" w:rsidR="00580741" w:rsidRPr="00580741" w:rsidRDefault="00580741" w:rsidP="00580741">
      <w:pPr>
        <w:pStyle w:val="SingleTxtG"/>
      </w:pPr>
      <w:r>
        <w:tab/>
      </w:r>
      <w:r w:rsidRPr="00580741">
        <w:rPr>
          <w:i/>
        </w:rPr>
        <w:t>Recalling</w:t>
      </w:r>
      <w:r w:rsidRPr="00580741">
        <w:t xml:space="preserve"> General Assembly resolution 56/266 of 27 March 2002, in which the Assembly endorsed the Durban Declaration and Programme of Action, reaffirming the commitments contained therein with regard to people of African descent; </w:t>
      </w:r>
      <w:r w:rsidRPr="00580741">
        <w:rPr>
          <w:rFonts w:eastAsia="Calibri"/>
        </w:rPr>
        <w:t xml:space="preserve">Assembly resolution 57/195 of </w:t>
      </w:r>
      <w:r w:rsidR="002C61D2">
        <w:rPr>
          <w:rFonts w:eastAsia="Calibri"/>
        </w:rPr>
        <w:t>18 December</w:t>
      </w:r>
      <w:r w:rsidRPr="00580741">
        <w:rPr>
          <w:rFonts w:eastAsia="Calibri"/>
        </w:rPr>
        <w:t xml:space="preserve"> 200</w:t>
      </w:r>
      <w:r w:rsidR="002C61D2">
        <w:rPr>
          <w:rFonts w:eastAsia="Calibri"/>
        </w:rPr>
        <w:t>2,</w:t>
      </w:r>
      <w:r w:rsidRPr="00580741">
        <w:rPr>
          <w:rFonts w:eastAsia="Calibri"/>
        </w:rPr>
        <w:t xml:space="preserve"> </w:t>
      </w:r>
      <w:r w:rsidR="002C61D2">
        <w:rPr>
          <w:rFonts w:eastAsia="Calibri"/>
        </w:rPr>
        <w:t xml:space="preserve">in which the Assembly </w:t>
      </w:r>
      <w:r w:rsidRPr="00580741">
        <w:t>invit</w:t>
      </w:r>
      <w:r w:rsidR="005A3AD3">
        <w:t>ed</w:t>
      </w:r>
      <w:r w:rsidRPr="00580741">
        <w:t xml:space="preserve"> all relevant organs, organizations and bodies of the United Nations system to become involved in the follow-up to the World Conference against Racism, Racial Discrimination, Xenophobia and Related Intolerance; and all previous Human Rights Council resolutions on the comprehensive follow-up to the World Conference and the effective implementation of the Durban Decla</w:t>
      </w:r>
      <w:r>
        <w:t>ration and Programme of Action,</w:t>
      </w:r>
    </w:p>
    <w:p w14:paraId="6E96053C" w14:textId="3553F46A" w:rsidR="00580741" w:rsidRPr="00580741" w:rsidRDefault="00580741" w:rsidP="00580741">
      <w:pPr>
        <w:pStyle w:val="SingleTxtG"/>
        <w:rPr>
          <w:rFonts w:eastAsia="Calibri"/>
        </w:rPr>
      </w:pPr>
      <w:r>
        <w:rPr>
          <w:rFonts w:eastAsia="Calibri"/>
        </w:rPr>
        <w:tab/>
      </w:r>
      <w:r w:rsidRPr="00580741">
        <w:rPr>
          <w:rFonts w:eastAsia="Calibri"/>
          <w:i/>
        </w:rPr>
        <w:t>Recalling</w:t>
      </w:r>
      <w:r w:rsidR="00F17578">
        <w:rPr>
          <w:rFonts w:eastAsia="Calibri"/>
          <w:i/>
        </w:rPr>
        <w:t xml:space="preserve"> also</w:t>
      </w:r>
      <w:r w:rsidRPr="00580741">
        <w:rPr>
          <w:rFonts w:eastAsia="Calibri"/>
        </w:rPr>
        <w:t xml:space="preserve"> all previous resolutions and decisions of the General Assembly, the Commission on Human Rights and the Human Rights Council on the elimination of racism, racial discrimination, xenophobia and related intolerance, in particular Commission resolutions 2002/68 of 25 April 2002 and 2003/30 of 23 April 2003, and Council resolutions 9/14 of 18 September 2008</w:t>
      </w:r>
      <w:r w:rsidR="00893E9D">
        <w:rPr>
          <w:rFonts w:eastAsia="Calibri"/>
        </w:rPr>
        <w:t>,</w:t>
      </w:r>
      <w:r w:rsidRPr="00580741">
        <w:rPr>
          <w:rFonts w:eastAsia="Calibri"/>
        </w:rPr>
        <w:t xml:space="preserve"> 18/28 of 17 October 2011 and 27/25 of 2</w:t>
      </w:r>
      <w:r w:rsidR="002C61D2">
        <w:rPr>
          <w:rFonts w:eastAsia="Calibri"/>
        </w:rPr>
        <w:t>6</w:t>
      </w:r>
      <w:r w:rsidRPr="00580741">
        <w:rPr>
          <w:rFonts w:eastAsia="Calibri"/>
        </w:rPr>
        <w:t xml:space="preserve"> </w:t>
      </w:r>
      <w:r w:rsidR="002C61D2">
        <w:rPr>
          <w:rFonts w:eastAsia="Calibri"/>
        </w:rPr>
        <w:t>September</w:t>
      </w:r>
      <w:r w:rsidRPr="00580741">
        <w:rPr>
          <w:rFonts w:eastAsia="Calibri"/>
        </w:rPr>
        <w:t xml:space="preserve"> 2014 on the mandate of the Working Group of Ex</w:t>
      </w:r>
      <w:bookmarkStart w:id="0" w:name="_GoBack"/>
      <w:bookmarkEnd w:id="0"/>
      <w:r w:rsidRPr="00580741">
        <w:rPr>
          <w:rFonts w:eastAsia="Calibri"/>
        </w:rPr>
        <w:t>pert</w:t>
      </w:r>
      <w:r>
        <w:rPr>
          <w:rFonts w:eastAsia="Calibri"/>
        </w:rPr>
        <w:t>s on People of African Descent,</w:t>
      </w:r>
    </w:p>
    <w:p w14:paraId="0C53B6A7" w14:textId="77777777" w:rsidR="00580741" w:rsidRPr="00580741" w:rsidRDefault="00580741" w:rsidP="00580741">
      <w:pPr>
        <w:pStyle w:val="SingleTxtG"/>
        <w:rPr>
          <w:rFonts w:eastAsia="Calibri"/>
        </w:rPr>
      </w:pPr>
      <w:r>
        <w:rPr>
          <w:rFonts w:eastAsia="Calibri"/>
        </w:rPr>
        <w:tab/>
      </w:r>
      <w:r w:rsidRPr="00580741">
        <w:rPr>
          <w:rFonts w:eastAsia="Calibri"/>
          <w:i/>
        </w:rPr>
        <w:t>Reaffirming</w:t>
      </w:r>
      <w:r w:rsidRPr="00580741">
        <w:rPr>
          <w:rFonts w:eastAsia="Calibri"/>
        </w:rPr>
        <w:t xml:space="preserve"> the obligations of States under relevant international human rights instruments, in particular the International Convention on the Elimination of All Forms of Racial Discrimination adopted by the General Assembly in its resolution 2106 (XX) of 21 December 1965</w:t>
      </w:r>
      <w:r>
        <w:rPr>
          <w:rFonts w:eastAsia="Calibri"/>
        </w:rPr>
        <w:t>,</w:t>
      </w:r>
    </w:p>
    <w:p w14:paraId="0292CEDB" w14:textId="77777777" w:rsidR="00580741" w:rsidRPr="00580741" w:rsidRDefault="00580741" w:rsidP="00580741">
      <w:pPr>
        <w:pStyle w:val="SingleTxtG"/>
        <w:rPr>
          <w:rFonts w:eastAsia="Calibri"/>
        </w:rPr>
      </w:pPr>
      <w:r>
        <w:rPr>
          <w:rFonts w:eastAsia="Calibri"/>
        </w:rPr>
        <w:lastRenderedPageBreak/>
        <w:tab/>
      </w:r>
      <w:r w:rsidRPr="00580741">
        <w:rPr>
          <w:rFonts w:eastAsia="Calibri"/>
          <w:i/>
        </w:rPr>
        <w:t>Underlining</w:t>
      </w:r>
      <w:r w:rsidRPr="00580741">
        <w:rPr>
          <w:rFonts w:eastAsia="Calibri"/>
        </w:rPr>
        <w:t xml:space="preserve"> that the Durban Declaration and Programme of Action adopted at the World Conference against Racism, Racial Discrimination, Xenophobia and Related Intolerance remains the only instructive outcome of the World Conference against Racism, Racial Discrimination, Xenophobia and Related Intolerance which prescribes comprehensive measures and remedies for the effective combating of all the scourges of racism at all levels</w:t>
      </w:r>
      <w:r>
        <w:rPr>
          <w:rFonts w:eastAsia="Calibri"/>
        </w:rPr>
        <w:t>,</w:t>
      </w:r>
    </w:p>
    <w:p w14:paraId="55166526" w14:textId="77777777" w:rsidR="00580741" w:rsidRPr="00580741" w:rsidRDefault="00580741" w:rsidP="00580741">
      <w:pPr>
        <w:pStyle w:val="SingleTxtG"/>
        <w:rPr>
          <w:rFonts w:eastAsia="Calibri"/>
        </w:rPr>
      </w:pPr>
      <w:r>
        <w:rPr>
          <w:rFonts w:eastAsia="Calibri"/>
        </w:rPr>
        <w:tab/>
      </w:r>
      <w:r w:rsidRPr="00580741">
        <w:rPr>
          <w:rFonts w:eastAsia="Calibri"/>
          <w:i/>
        </w:rPr>
        <w:t>Recalling</w:t>
      </w:r>
      <w:r w:rsidRPr="00580741">
        <w:rPr>
          <w:rFonts w:eastAsia="Calibri"/>
        </w:rPr>
        <w:t xml:space="preserve"> Human Rights Council resolutions 5/1, on institution-building of the Council, and 5/2 on the Code of Conduct for Special Procedures Mandate Holders of the Council, of 18 June 2007, and stressing that the mandate holder shall discharge his/her duties in accordance with those reso</w:t>
      </w:r>
      <w:r>
        <w:rPr>
          <w:rFonts w:eastAsia="Calibri"/>
        </w:rPr>
        <w:t>lutions and the annexes thereto,</w:t>
      </w:r>
    </w:p>
    <w:p w14:paraId="5733487C" w14:textId="77777777" w:rsidR="00580741" w:rsidRPr="00580741" w:rsidRDefault="00580741" w:rsidP="00580741">
      <w:pPr>
        <w:pStyle w:val="SingleTxtG"/>
      </w:pPr>
      <w:r>
        <w:tab/>
      </w:r>
      <w:r w:rsidRPr="00580741">
        <w:rPr>
          <w:i/>
        </w:rPr>
        <w:t>Alarmed</w:t>
      </w:r>
      <w:r w:rsidRPr="00580741">
        <w:t xml:space="preserve"> at the resurgent violent manifestations of racism, racial discrimination, xenophobia and related intolerance precipitated by scientifically false, morally condemnable, socially unjust and dangerous ideologies, such as white supremacy, as well as by extremist nationalist and populist ideologies, and underlining in this respect that human beings are born free and equal in dignity and rights</w:t>
      </w:r>
      <w:r w:rsidR="00893E9D">
        <w:t>,</w:t>
      </w:r>
      <w:r w:rsidRPr="00580741">
        <w:t xml:space="preserve"> and that everyone has the right to life, liberty and security of person</w:t>
      </w:r>
      <w:r>
        <w:t>,</w:t>
      </w:r>
    </w:p>
    <w:p w14:paraId="65709A2E" w14:textId="77777777" w:rsidR="00580741" w:rsidRPr="00580741" w:rsidRDefault="00580741" w:rsidP="00580741">
      <w:pPr>
        <w:pStyle w:val="SingleTxtG"/>
        <w:rPr>
          <w:rFonts w:eastAsia="Calibri"/>
        </w:rPr>
      </w:pPr>
      <w:r>
        <w:rPr>
          <w:rFonts w:eastAsia="Calibri"/>
        </w:rPr>
        <w:tab/>
      </w:r>
      <w:r w:rsidRPr="00580741">
        <w:rPr>
          <w:rFonts w:eastAsia="Calibri"/>
          <w:i/>
        </w:rPr>
        <w:t>Stressing</w:t>
      </w:r>
      <w:r w:rsidRPr="00580741">
        <w:rPr>
          <w:rFonts w:eastAsia="Calibri"/>
        </w:rPr>
        <w:t xml:space="preserve"> the imperative need for the Working Group of Experts on People of African De</w:t>
      </w:r>
      <w:r>
        <w:rPr>
          <w:rFonts w:eastAsia="Calibri"/>
        </w:rPr>
        <w:t>scent to accomplish its mandate,</w:t>
      </w:r>
    </w:p>
    <w:p w14:paraId="2BD7CE73" w14:textId="77777777" w:rsidR="00580741" w:rsidRPr="00580741" w:rsidRDefault="00580741" w:rsidP="00580741">
      <w:pPr>
        <w:pStyle w:val="SingleTxtG"/>
        <w:rPr>
          <w:rFonts w:eastAsia="Calibri"/>
        </w:rPr>
      </w:pPr>
      <w:r>
        <w:rPr>
          <w:rFonts w:eastAsia="Calibri"/>
        </w:rPr>
        <w:tab/>
      </w:r>
      <w:r w:rsidRPr="00580741">
        <w:rPr>
          <w:rFonts w:eastAsia="Calibri"/>
        </w:rPr>
        <w:t>1.</w:t>
      </w:r>
      <w:r w:rsidRPr="00580741">
        <w:rPr>
          <w:rFonts w:eastAsia="Calibri"/>
        </w:rPr>
        <w:tab/>
      </w:r>
      <w:r w:rsidRPr="00580741">
        <w:rPr>
          <w:rFonts w:eastAsia="Calibri"/>
          <w:i/>
        </w:rPr>
        <w:t>Decides</w:t>
      </w:r>
      <w:r w:rsidRPr="00580741">
        <w:rPr>
          <w:rFonts w:eastAsia="Calibri"/>
        </w:rPr>
        <w:t xml:space="preserve"> to extend the mandate of the Working Group of Experts on People of African Descent for a further period of three years, in accordance with the terms of reference contained in Human Rights Council resolution 9/14;</w:t>
      </w:r>
    </w:p>
    <w:p w14:paraId="1117CF4C" w14:textId="77777777" w:rsidR="00580741" w:rsidRPr="00580741" w:rsidRDefault="00580741" w:rsidP="00580741">
      <w:pPr>
        <w:pStyle w:val="SingleTxtG"/>
        <w:rPr>
          <w:rFonts w:eastAsia="Calibri"/>
        </w:rPr>
      </w:pPr>
      <w:r>
        <w:rPr>
          <w:rFonts w:eastAsia="Calibri"/>
        </w:rPr>
        <w:tab/>
      </w:r>
      <w:r w:rsidRPr="00580741">
        <w:rPr>
          <w:rFonts w:eastAsia="Calibri"/>
        </w:rPr>
        <w:t>2.</w:t>
      </w:r>
      <w:r w:rsidRPr="00580741">
        <w:rPr>
          <w:rFonts w:eastAsia="Calibri"/>
        </w:rPr>
        <w:tab/>
      </w:r>
      <w:r w:rsidRPr="00580741">
        <w:rPr>
          <w:rFonts w:eastAsia="Calibri"/>
          <w:i/>
        </w:rPr>
        <w:t>Also decides</w:t>
      </w:r>
      <w:r w:rsidRPr="00580741">
        <w:rPr>
          <w:rFonts w:eastAsia="Calibri"/>
        </w:rPr>
        <w:t xml:space="preserve"> that the Working Group shall undertake a minimum of two country visits per year;</w:t>
      </w:r>
    </w:p>
    <w:p w14:paraId="59784EF4" w14:textId="77777777" w:rsidR="00580741" w:rsidRPr="00580741" w:rsidRDefault="00580741" w:rsidP="00580741">
      <w:pPr>
        <w:pStyle w:val="SingleTxtG"/>
        <w:rPr>
          <w:rFonts w:eastAsia="Calibri"/>
        </w:rPr>
      </w:pPr>
      <w:r>
        <w:rPr>
          <w:rFonts w:eastAsia="Calibri"/>
        </w:rPr>
        <w:tab/>
      </w:r>
      <w:r w:rsidRPr="00580741">
        <w:rPr>
          <w:rFonts w:eastAsia="Calibri"/>
        </w:rPr>
        <w:t>3.</w:t>
      </w:r>
      <w:r w:rsidRPr="00580741">
        <w:rPr>
          <w:rFonts w:eastAsia="Calibri"/>
        </w:rPr>
        <w:tab/>
      </w:r>
      <w:r w:rsidRPr="00580741">
        <w:rPr>
          <w:rFonts w:eastAsia="Calibri"/>
          <w:i/>
        </w:rPr>
        <w:t>Requests</w:t>
      </w:r>
      <w:r w:rsidRPr="00580741">
        <w:rPr>
          <w:rFonts w:eastAsia="Calibri"/>
        </w:rPr>
        <w:t xml:space="preserve"> all Governments to cooperate fully with the Working Group in the discharge of its mandate, including by responding promptly to the Working Group’s communications and by providing the information requested;</w:t>
      </w:r>
    </w:p>
    <w:p w14:paraId="7779D741" w14:textId="77777777" w:rsidR="00580741" w:rsidRPr="00580741" w:rsidRDefault="00580741" w:rsidP="00580741">
      <w:pPr>
        <w:pStyle w:val="SingleTxtG"/>
        <w:rPr>
          <w:rFonts w:eastAsia="Calibri"/>
        </w:rPr>
      </w:pPr>
      <w:r>
        <w:rPr>
          <w:rFonts w:eastAsia="Calibri"/>
        </w:rPr>
        <w:tab/>
      </w:r>
      <w:r w:rsidRPr="00580741">
        <w:rPr>
          <w:rFonts w:eastAsia="Calibri"/>
        </w:rPr>
        <w:t>4.</w:t>
      </w:r>
      <w:r w:rsidRPr="00580741">
        <w:rPr>
          <w:rFonts w:eastAsia="Calibri"/>
        </w:rPr>
        <w:tab/>
      </w:r>
      <w:r w:rsidRPr="00580741">
        <w:rPr>
          <w:rFonts w:eastAsia="Calibri"/>
          <w:i/>
        </w:rPr>
        <w:t>Requests</w:t>
      </w:r>
      <w:r w:rsidRPr="00580741">
        <w:rPr>
          <w:rFonts w:eastAsia="Calibri"/>
        </w:rPr>
        <w:t xml:space="preserve"> the Working Group to submit an annual report to the Human Rights Council on all activities relating to its mandate, as well as to the General Assembly in the context of the International Decade</w:t>
      </w:r>
      <w:r>
        <w:rPr>
          <w:rFonts w:eastAsia="Calibri"/>
        </w:rPr>
        <w:t xml:space="preserve"> for People of African Descent;</w:t>
      </w:r>
    </w:p>
    <w:p w14:paraId="1843D90B" w14:textId="72972C78" w:rsidR="00580741" w:rsidRPr="00580741" w:rsidRDefault="00580741" w:rsidP="00580741">
      <w:pPr>
        <w:pStyle w:val="SingleTxtG"/>
      </w:pPr>
      <w:r>
        <w:tab/>
      </w:r>
      <w:r w:rsidRPr="00580741">
        <w:t>5.</w:t>
      </w:r>
      <w:r w:rsidRPr="00580741">
        <w:tab/>
      </w:r>
      <w:r w:rsidR="00893E9D" w:rsidRPr="008E61B1">
        <w:rPr>
          <w:i/>
        </w:rPr>
        <w:t>Also</w:t>
      </w:r>
      <w:r w:rsidR="00893E9D">
        <w:t xml:space="preserve"> </w:t>
      </w:r>
      <w:r w:rsidR="00893E9D">
        <w:rPr>
          <w:i/>
        </w:rPr>
        <w:t>r</w:t>
      </w:r>
      <w:r w:rsidRPr="00580741">
        <w:rPr>
          <w:i/>
        </w:rPr>
        <w:t>equests</w:t>
      </w:r>
      <w:r w:rsidRPr="00580741">
        <w:t xml:space="preserve"> the Working Group to pay special attention </w:t>
      </w:r>
      <w:r w:rsidR="00893E9D" w:rsidRPr="00580741">
        <w:t xml:space="preserve">in its annual report </w:t>
      </w:r>
      <w:r w:rsidRPr="00580741">
        <w:t>to the rising tide of racism and racial hatred</w:t>
      </w:r>
      <w:r w:rsidR="00893E9D">
        <w:t>,</w:t>
      </w:r>
      <w:r w:rsidRPr="00580741">
        <w:t xml:space="preserve"> as evidenced by the resurgence of white supremacist ideologies, </w:t>
      </w:r>
      <w:r w:rsidR="00893E9D">
        <w:t xml:space="preserve">and </w:t>
      </w:r>
      <w:r w:rsidRPr="00580741">
        <w:t>extremist nationalist and populist ideologies</w:t>
      </w:r>
      <w:r w:rsidR="00893E9D">
        <w:t>,</w:t>
      </w:r>
      <w:r w:rsidRPr="00580741">
        <w:t xml:space="preserve"> and to </w:t>
      </w:r>
      <w:r w:rsidR="00893E9D">
        <w:t>make</w:t>
      </w:r>
      <w:r w:rsidR="00893E9D" w:rsidRPr="00580741">
        <w:t xml:space="preserve"> </w:t>
      </w:r>
      <w:r w:rsidRPr="00580741">
        <w:t>specific recommendations in this regard;</w:t>
      </w:r>
    </w:p>
    <w:p w14:paraId="7DEA3B5B" w14:textId="77777777" w:rsidR="00580741" w:rsidRPr="00580741" w:rsidRDefault="00580741" w:rsidP="00580741">
      <w:pPr>
        <w:pStyle w:val="SingleTxtG"/>
        <w:rPr>
          <w:rFonts w:eastAsia="Calibri"/>
        </w:rPr>
      </w:pPr>
      <w:r>
        <w:rPr>
          <w:rFonts w:eastAsia="Calibri"/>
        </w:rPr>
        <w:tab/>
      </w:r>
      <w:r w:rsidRPr="00580741">
        <w:rPr>
          <w:rFonts w:eastAsia="Calibri"/>
        </w:rPr>
        <w:t>6.</w:t>
      </w:r>
      <w:r w:rsidRPr="00580741">
        <w:rPr>
          <w:rFonts w:eastAsia="Calibri"/>
        </w:rPr>
        <w:tab/>
      </w:r>
      <w:r w:rsidRPr="00580741">
        <w:rPr>
          <w:rFonts w:eastAsia="Calibri"/>
          <w:i/>
        </w:rPr>
        <w:t>Requests</w:t>
      </w:r>
      <w:r w:rsidRPr="00580741">
        <w:rPr>
          <w:rFonts w:eastAsia="Calibri"/>
        </w:rPr>
        <w:t xml:space="preserve"> States, non-governmental organizations, relevant human rights treaty bodies, special procedures and other mechanisms of the Human Rights Council, </w:t>
      </w:r>
      <w:r w:rsidR="00893E9D">
        <w:rPr>
          <w:rFonts w:eastAsia="Calibri"/>
        </w:rPr>
        <w:t xml:space="preserve">and </w:t>
      </w:r>
      <w:r w:rsidRPr="00580741">
        <w:rPr>
          <w:rFonts w:eastAsia="Calibri"/>
        </w:rPr>
        <w:t>national human rights institutions, international financial and development institutions, specialized agencies, programmes and funds of the United Nations to collaborate with the Working Group, including by, inter alia, providing it with the necessary information and, where possible, reports in order to enable the Working Group to carry out its mandate, including with regard to field missions;</w:t>
      </w:r>
    </w:p>
    <w:p w14:paraId="1DF41363" w14:textId="77777777" w:rsidR="00580741" w:rsidRPr="00580741" w:rsidRDefault="00580741" w:rsidP="00580741">
      <w:pPr>
        <w:pStyle w:val="SingleTxtG"/>
        <w:rPr>
          <w:rFonts w:eastAsia="Calibri"/>
        </w:rPr>
      </w:pPr>
      <w:r>
        <w:rPr>
          <w:rFonts w:eastAsia="Calibri"/>
        </w:rPr>
        <w:tab/>
      </w:r>
      <w:r w:rsidRPr="00580741">
        <w:rPr>
          <w:rFonts w:eastAsia="Calibri"/>
        </w:rPr>
        <w:t>7.</w:t>
      </w:r>
      <w:r w:rsidRPr="00580741">
        <w:rPr>
          <w:rFonts w:eastAsia="Calibri"/>
        </w:rPr>
        <w:tab/>
      </w:r>
      <w:r w:rsidRPr="00580741">
        <w:rPr>
          <w:rFonts w:eastAsia="Calibri"/>
          <w:i/>
        </w:rPr>
        <w:t>Requests</w:t>
      </w:r>
      <w:r w:rsidRPr="00580741">
        <w:rPr>
          <w:rFonts w:eastAsia="Calibri"/>
        </w:rPr>
        <w:t xml:space="preserve"> the Secretary-General and the United Nations High Commissioner for Human Rights to provide the Working Group with all the human, technical and financial assistance necessary for the sustainable and effective fulfilment of its mandate;</w:t>
      </w:r>
    </w:p>
    <w:p w14:paraId="37988439" w14:textId="732A697A" w:rsidR="00580741" w:rsidRPr="00580741" w:rsidRDefault="00580741" w:rsidP="00580741">
      <w:pPr>
        <w:pStyle w:val="SingleTxtG"/>
        <w:rPr>
          <w:rFonts w:eastAsia="Calibri"/>
        </w:rPr>
      </w:pPr>
      <w:r>
        <w:rPr>
          <w:rFonts w:eastAsia="Calibri"/>
        </w:rPr>
        <w:tab/>
      </w:r>
      <w:r w:rsidRPr="00580741">
        <w:rPr>
          <w:rFonts w:eastAsia="Calibri"/>
        </w:rPr>
        <w:t>8.</w:t>
      </w:r>
      <w:r w:rsidRPr="00580741">
        <w:rPr>
          <w:rFonts w:eastAsia="Calibri"/>
        </w:rPr>
        <w:tab/>
      </w:r>
      <w:r w:rsidRPr="00580741">
        <w:rPr>
          <w:rFonts w:eastAsia="Calibri"/>
          <w:i/>
        </w:rPr>
        <w:t>Recalls</w:t>
      </w:r>
      <w:r w:rsidRPr="00580741">
        <w:rPr>
          <w:rFonts w:eastAsia="Calibri"/>
        </w:rPr>
        <w:t xml:space="preserve"> the establishment of a voluntary fund to provide additional resources for, inter alia, the participation of </w:t>
      </w:r>
      <w:r w:rsidR="001D398B">
        <w:rPr>
          <w:rFonts w:eastAsia="Calibri"/>
        </w:rPr>
        <w:t>p</w:t>
      </w:r>
      <w:r w:rsidRPr="00580741">
        <w:rPr>
          <w:rFonts w:eastAsia="Calibri"/>
        </w:rPr>
        <w:t xml:space="preserve">eople of African </w:t>
      </w:r>
      <w:r w:rsidR="001D398B">
        <w:rPr>
          <w:rFonts w:eastAsia="Calibri"/>
        </w:rPr>
        <w:t>d</w:t>
      </w:r>
      <w:r w:rsidRPr="00580741">
        <w:rPr>
          <w:rFonts w:eastAsia="Calibri"/>
        </w:rPr>
        <w:t>escent, representatives of developing countries, especially the least developed countries, non-governmental organizations and experts in the open-ended sessions of the Working Group, and invites States to contribute to that fund;</w:t>
      </w:r>
    </w:p>
    <w:p w14:paraId="71154E94" w14:textId="3D1D61C2" w:rsidR="00580741" w:rsidRPr="00580741" w:rsidRDefault="00580741" w:rsidP="00580741">
      <w:pPr>
        <w:pStyle w:val="SingleTxtG"/>
        <w:rPr>
          <w:rFonts w:eastAsia="Calibri"/>
        </w:rPr>
      </w:pPr>
      <w:r>
        <w:rPr>
          <w:rFonts w:eastAsia="Calibri"/>
        </w:rPr>
        <w:lastRenderedPageBreak/>
        <w:tab/>
      </w:r>
      <w:r w:rsidRPr="00580741">
        <w:rPr>
          <w:rFonts w:eastAsia="Calibri"/>
        </w:rPr>
        <w:t>9.</w:t>
      </w:r>
      <w:r w:rsidRPr="00580741">
        <w:rPr>
          <w:rFonts w:eastAsia="Calibri"/>
        </w:rPr>
        <w:tab/>
      </w:r>
      <w:r w:rsidRPr="00580741">
        <w:rPr>
          <w:rFonts w:eastAsia="Calibri"/>
          <w:i/>
        </w:rPr>
        <w:t>Decides</w:t>
      </w:r>
      <w:r w:rsidRPr="00580741">
        <w:rPr>
          <w:rFonts w:eastAsia="Calibri"/>
        </w:rPr>
        <w:t xml:space="preserve"> to remain seized </w:t>
      </w:r>
      <w:r w:rsidR="001D398B">
        <w:rPr>
          <w:rFonts w:eastAsia="Calibri"/>
        </w:rPr>
        <w:t>of</w:t>
      </w:r>
      <w:r w:rsidR="001D398B" w:rsidRPr="00580741">
        <w:rPr>
          <w:rFonts w:eastAsia="Calibri"/>
        </w:rPr>
        <w:t xml:space="preserve"> </w:t>
      </w:r>
      <w:r w:rsidRPr="00580741">
        <w:rPr>
          <w:rFonts w:eastAsia="Calibri"/>
        </w:rPr>
        <w:t>this important issue.</w:t>
      </w:r>
    </w:p>
    <w:p w14:paraId="597475BB" w14:textId="77777777" w:rsidR="00FE7BB7" w:rsidRPr="004A3787" w:rsidRDefault="004A3787" w:rsidP="004A3787">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4A3787" w:rsidSect="005828C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CD62" w14:textId="77777777" w:rsidR="00F13813" w:rsidRDefault="00F13813"/>
  </w:endnote>
  <w:endnote w:type="continuationSeparator" w:id="0">
    <w:p w14:paraId="10D4E662" w14:textId="77777777" w:rsidR="00F13813" w:rsidRDefault="00F13813"/>
  </w:endnote>
  <w:endnote w:type="continuationNotice" w:id="1">
    <w:p w14:paraId="02B14931" w14:textId="77777777" w:rsidR="00F13813" w:rsidRDefault="00F13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89FC" w14:textId="2997F43A" w:rsidR="00EC7679" w:rsidRPr="001D18FE" w:rsidRDefault="005C7681" w:rsidP="001D18FE">
    <w:pPr>
      <w:pStyle w:val="Footer"/>
      <w:tabs>
        <w:tab w:val="right" w:pos="9638"/>
      </w:tabs>
    </w:pPr>
    <w:r>
      <w:fldChar w:fldCharType="begin"/>
    </w:r>
    <w:r>
      <w:instrText xml:space="preserve"> PAGE  \* MERGEFORMAT </w:instrText>
    </w:r>
    <w:r>
      <w:fldChar w:fldCharType="separate"/>
    </w:r>
    <w:r w:rsidR="00C72FE5" w:rsidRPr="00C72FE5">
      <w:rPr>
        <w:b/>
        <w:noProof/>
        <w:sz w:val="18"/>
      </w:rPr>
      <w:t>2</w:t>
    </w:r>
    <w:r>
      <w:rPr>
        <w:b/>
        <w:noProof/>
        <w:sz w:val="18"/>
      </w:rPr>
      <w:fldChar w:fldCharType="end"/>
    </w:r>
    <w:r w:rsidR="00EC767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AA5B" w14:textId="078FB6B8" w:rsidR="00EC7679" w:rsidRPr="001D18FE" w:rsidRDefault="00EC7679" w:rsidP="001D18FE">
    <w:pPr>
      <w:pStyle w:val="Footer"/>
      <w:tabs>
        <w:tab w:val="right" w:pos="9638"/>
      </w:tabs>
      <w:rPr>
        <w:b/>
        <w:sz w:val="18"/>
      </w:rPr>
    </w:pPr>
    <w:r>
      <w:tab/>
    </w:r>
    <w:r w:rsidR="005C7681">
      <w:fldChar w:fldCharType="begin"/>
    </w:r>
    <w:r w:rsidR="005C7681">
      <w:instrText xml:space="preserve"> PAGE  \* MERGEFORMAT </w:instrText>
    </w:r>
    <w:r w:rsidR="005C7681">
      <w:fldChar w:fldCharType="separate"/>
    </w:r>
    <w:r w:rsidR="00C72FE5" w:rsidRPr="00C72FE5">
      <w:rPr>
        <w:b/>
        <w:noProof/>
        <w:sz w:val="18"/>
      </w:rPr>
      <w:t>3</w:t>
    </w:r>
    <w:r w:rsidR="005C7681">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184E" w14:textId="3E3C8AA5" w:rsidR="00C72FE5" w:rsidRDefault="00C72FE5" w:rsidP="00C72FE5">
    <w:pPr>
      <w:pStyle w:val="Footer"/>
    </w:pPr>
    <w:r>
      <w:rPr>
        <w:rFonts w:ascii="C39T30Lfz" w:hAnsi="C39T30Lfz"/>
        <w:noProof/>
        <w:sz w:val="56"/>
        <w:lang w:eastAsia="en-GB"/>
      </w:rPr>
      <w:drawing>
        <wp:anchor distT="0" distB="0" distL="114300" distR="114300" simplePos="0" relativeHeight="251660288" behindDoc="0" locked="0" layoutInCell="1" allowOverlap="1" wp14:anchorId="712363FF" wp14:editId="46BADF83">
          <wp:simplePos x="0" y="0"/>
          <wp:positionH relativeFrom="margin">
            <wp:posOffset>5478780</wp:posOffset>
          </wp:positionH>
          <wp:positionV relativeFrom="margin">
            <wp:posOffset>8151604</wp:posOffset>
          </wp:positionV>
          <wp:extent cx="638175" cy="638175"/>
          <wp:effectExtent l="0" t="0" r="9525" b="9525"/>
          <wp:wrapNone/>
          <wp:docPr id="2" name="Picture 1" descr="https://undocs.org/m2/QRCode.ashx?DS=A/HRC/36/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275A23F5" wp14:editId="7D6A6916">
          <wp:simplePos x="0" y="0"/>
          <wp:positionH relativeFrom="margin">
            <wp:posOffset>4320540</wp:posOffset>
          </wp:positionH>
          <wp:positionV relativeFrom="margin">
            <wp:posOffset>8363585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52F84CF" w14:textId="182428C3" w:rsidR="00C72FE5" w:rsidRDefault="00C72FE5" w:rsidP="00C72FE5">
    <w:pPr>
      <w:pStyle w:val="Footer"/>
      <w:ind w:right="1134"/>
      <w:rPr>
        <w:sz w:val="20"/>
      </w:rPr>
    </w:pPr>
    <w:r>
      <w:rPr>
        <w:sz w:val="20"/>
      </w:rPr>
      <w:t>GE.17-16758(E)</w:t>
    </w:r>
  </w:p>
  <w:p w14:paraId="4106AC2E" w14:textId="7CE036BE" w:rsidR="00C72FE5" w:rsidRPr="00C72FE5" w:rsidRDefault="00C72FE5" w:rsidP="00C72F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F70E5" w14:textId="77777777" w:rsidR="00F13813" w:rsidRPr="000B175B" w:rsidRDefault="00F13813" w:rsidP="000B175B">
      <w:pPr>
        <w:tabs>
          <w:tab w:val="right" w:pos="2155"/>
        </w:tabs>
        <w:spacing w:after="80"/>
        <w:ind w:left="680"/>
        <w:rPr>
          <w:u w:val="single"/>
        </w:rPr>
      </w:pPr>
      <w:r>
        <w:rPr>
          <w:u w:val="single"/>
        </w:rPr>
        <w:tab/>
      </w:r>
    </w:p>
  </w:footnote>
  <w:footnote w:type="continuationSeparator" w:id="0">
    <w:p w14:paraId="7B37C54B" w14:textId="77777777" w:rsidR="00F13813" w:rsidRPr="00FC68B7" w:rsidRDefault="00F13813" w:rsidP="00FC68B7">
      <w:pPr>
        <w:tabs>
          <w:tab w:val="left" w:pos="2155"/>
        </w:tabs>
        <w:spacing w:after="80"/>
        <w:ind w:left="680"/>
        <w:rPr>
          <w:u w:val="single"/>
        </w:rPr>
      </w:pPr>
      <w:r>
        <w:rPr>
          <w:u w:val="single"/>
        </w:rPr>
        <w:tab/>
      </w:r>
    </w:p>
  </w:footnote>
  <w:footnote w:type="continuationNotice" w:id="1">
    <w:p w14:paraId="7082D6FA" w14:textId="77777777" w:rsidR="00F13813" w:rsidRDefault="00F13813"/>
  </w:footnote>
  <w:footnote w:id="2">
    <w:p w14:paraId="1456ECAB" w14:textId="77777777" w:rsidR="00580741" w:rsidRPr="00580741" w:rsidRDefault="00580741">
      <w:pPr>
        <w:pStyle w:val="FootnoteText"/>
      </w:pPr>
      <w:r>
        <w:rPr>
          <w:rStyle w:val="FootnoteReference"/>
        </w:rPr>
        <w:tab/>
      </w:r>
      <w:r w:rsidRPr="008E61B1">
        <w:rPr>
          <w:rStyle w:val="FootnoteReference"/>
          <w:szCs w:val="18"/>
        </w:rPr>
        <w:t>*</w:t>
      </w:r>
      <w:r>
        <w:rPr>
          <w:rStyle w:val="FootnoteReference"/>
          <w:sz w:val="20"/>
          <w:vertAlign w:val="baseline"/>
        </w:rPr>
        <w:tab/>
      </w:r>
      <w:r>
        <w:t>State not a member of the Human Rights Council.</w:t>
      </w:r>
    </w:p>
  </w:footnote>
  <w:footnote w:id="3">
    <w:p w14:paraId="65C2137E" w14:textId="77777777" w:rsidR="00580741" w:rsidRDefault="00580741">
      <w:pPr>
        <w:pStyle w:val="FootnoteText"/>
      </w:pPr>
      <w:r>
        <w:tab/>
      </w:r>
      <w:r>
        <w:rPr>
          <w:rStyle w:val="FootnoteReference"/>
        </w:rPr>
        <w:t>†</w:t>
      </w:r>
      <w:r>
        <w:tab/>
        <w:t xml:space="preserve">On behalf of the States Members of the United Nations that are members of the Group of </w:t>
      </w:r>
      <w:r w:rsidR="00A45B2A">
        <w:t>African</w:t>
      </w:r>
      <w:r>
        <w:t xml:space="preserve">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4F5A" w14:textId="77777777" w:rsidR="00EC7679" w:rsidRPr="001D18FE" w:rsidRDefault="00EC7679">
    <w:pPr>
      <w:pStyle w:val="Header"/>
    </w:pPr>
    <w:r>
      <w:t>A/HRC/3</w:t>
    </w:r>
    <w:r w:rsidR="00D873A3">
      <w:t>6</w:t>
    </w:r>
    <w:r>
      <w:t>/L.</w:t>
    </w:r>
    <w:r w:rsidR="00580741">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8FF6" w14:textId="77777777" w:rsidR="00EC7679" w:rsidRPr="001D18FE" w:rsidRDefault="00EC7679" w:rsidP="001D18FE">
    <w:pPr>
      <w:pStyle w:val="Header"/>
      <w:jc w:val="right"/>
    </w:pPr>
    <w:r>
      <w:t>A/HRC/3</w:t>
    </w:r>
    <w:r w:rsidR="00321B7E">
      <w:t>6/L.16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AC0881"/>
    <w:multiLevelType w:val="hybridMultilevel"/>
    <w:tmpl w:val="81AE7556"/>
    <w:lvl w:ilvl="0" w:tplc="B88438E8">
      <w:start w:val="1"/>
      <w:numFmt w:val="decimal"/>
      <w:lvlText w:val="%1."/>
      <w:lvlJc w:val="left"/>
      <w:pPr>
        <w:ind w:left="1211" w:hanging="360"/>
      </w:pPr>
      <w:rPr>
        <w:rFonts w:hint="default"/>
        <w:i/>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Z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2D0"/>
    <w:rsid w:val="000222E8"/>
    <w:rsid w:val="00022DB5"/>
    <w:rsid w:val="000403D1"/>
    <w:rsid w:val="000449AA"/>
    <w:rsid w:val="00050F6B"/>
    <w:rsid w:val="00056B7B"/>
    <w:rsid w:val="00072C8C"/>
    <w:rsid w:val="00073E70"/>
    <w:rsid w:val="00073E9E"/>
    <w:rsid w:val="000876EB"/>
    <w:rsid w:val="00091419"/>
    <w:rsid w:val="000931C0"/>
    <w:rsid w:val="000B175B"/>
    <w:rsid w:val="000B3A0F"/>
    <w:rsid w:val="000B4A3B"/>
    <w:rsid w:val="000D1851"/>
    <w:rsid w:val="000D672D"/>
    <w:rsid w:val="000E0415"/>
    <w:rsid w:val="00107F0C"/>
    <w:rsid w:val="00110A0E"/>
    <w:rsid w:val="00146D32"/>
    <w:rsid w:val="001509BA"/>
    <w:rsid w:val="001A23EA"/>
    <w:rsid w:val="001A4801"/>
    <w:rsid w:val="001B4B04"/>
    <w:rsid w:val="001C11A2"/>
    <w:rsid w:val="001C4883"/>
    <w:rsid w:val="001C6663"/>
    <w:rsid w:val="001C7895"/>
    <w:rsid w:val="001D04EF"/>
    <w:rsid w:val="001D0B4F"/>
    <w:rsid w:val="001D18FE"/>
    <w:rsid w:val="001D26DF"/>
    <w:rsid w:val="001D398B"/>
    <w:rsid w:val="001D47E1"/>
    <w:rsid w:val="001E2790"/>
    <w:rsid w:val="001F3F2A"/>
    <w:rsid w:val="00207C7B"/>
    <w:rsid w:val="00211E0B"/>
    <w:rsid w:val="00211E72"/>
    <w:rsid w:val="00214047"/>
    <w:rsid w:val="00220DB0"/>
    <w:rsid w:val="0022130F"/>
    <w:rsid w:val="00230F4D"/>
    <w:rsid w:val="002332EF"/>
    <w:rsid w:val="00237785"/>
    <w:rsid w:val="0024096D"/>
    <w:rsid w:val="002410DD"/>
    <w:rsid w:val="00241466"/>
    <w:rsid w:val="00253D58"/>
    <w:rsid w:val="0027725F"/>
    <w:rsid w:val="002774A7"/>
    <w:rsid w:val="00287D9C"/>
    <w:rsid w:val="002C21F0"/>
    <w:rsid w:val="002C61D2"/>
    <w:rsid w:val="002C7FF5"/>
    <w:rsid w:val="002E70E3"/>
    <w:rsid w:val="003107FA"/>
    <w:rsid w:val="003148F7"/>
    <w:rsid w:val="00321B7E"/>
    <w:rsid w:val="003229D8"/>
    <w:rsid w:val="00324613"/>
    <w:rsid w:val="00324F05"/>
    <w:rsid w:val="003314D1"/>
    <w:rsid w:val="00335A2F"/>
    <w:rsid w:val="00341937"/>
    <w:rsid w:val="00347C66"/>
    <w:rsid w:val="00372AA9"/>
    <w:rsid w:val="00377F28"/>
    <w:rsid w:val="0039277A"/>
    <w:rsid w:val="00393FE9"/>
    <w:rsid w:val="003972E0"/>
    <w:rsid w:val="003975ED"/>
    <w:rsid w:val="003B2E2F"/>
    <w:rsid w:val="003B7894"/>
    <w:rsid w:val="003C2CC4"/>
    <w:rsid w:val="003D4B23"/>
    <w:rsid w:val="003E4ADD"/>
    <w:rsid w:val="003F4048"/>
    <w:rsid w:val="00424C80"/>
    <w:rsid w:val="004325CB"/>
    <w:rsid w:val="0044503A"/>
    <w:rsid w:val="00446DE4"/>
    <w:rsid w:val="00447761"/>
    <w:rsid w:val="00447FCF"/>
    <w:rsid w:val="00451EC3"/>
    <w:rsid w:val="00455C08"/>
    <w:rsid w:val="004721B1"/>
    <w:rsid w:val="00477666"/>
    <w:rsid w:val="004859EC"/>
    <w:rsid w:val="00487F2D"/>
    <w:rsid w:val="004908B6"/>
    <w:rsid w:val="00495297"/>
    <w:rsid w:val="00496A15"/>
    <w:rsid w:val="004A01EB"/>
    <w:rsid w:val="004A2AF3"/>
    <w:rsid w:val="004A3787"/>
    <w:rsid w:val="004B1227"/>
    <w:rsid w:val="004B75D2"/>
    <w:rsid w:val="004D1140"/>
    <w:rsid w:val="004E6AD6"/>
    <w:rsid w:val="004F4F1A"/>
    <w:rsid w:val="004F55ED"/>
    <w:rsid w:val="0052176C"/>
    <w:rsid w:val="005261E5"/>
    <w:rsid w:val="005420F2"/>
    <w:rsid w:val="00542574"/>
    <w:rsid w:val="005436AB"/>
    <w:rsid w:val="00546DBF"/>
    <w:rsid w:val="00547694"/>
    <w:rsid w:val="00552E7C"/>
    <w:rsid w:val="00553D76"/>
    <w:rsid w:val="005552B5"/>
    <w:rsid w:val="0056117B"/>
    <w:rsid w:val="00563F21"/>
    <w:rsid w:val="00571365"/>
    <w:rsid w:val="00580741"/>
    <w:rsid w:val="00580ED1"/>
    <w:rsid w:val="005826F0"/>
    <w:rsid w:val="005828C0"/>
    <w:rsid w:val="005A3AD3"/>
    <w:rsid w:val="005A7881"/>
    <w:rsid w:val="005B3DB3"/>
    <w:rsid w:val="005B6E48"/>
    <w:rsid w:val="005C2B8F"/>
    <w:rsid w:val="005C7681"/>
    <w:rsid w:val="005D6769"/>
    <w:rsid w:val="005E1712"/>
    <w:rsid w:val="00611FC4"/>
    <w:rsid w:val="006176FB"/>
    <w:rsid w:val="00640B26"/>
    <w:rsid w:val="00644AFD"/>
    <w:rsid w:val="006528BD"/>
    <w:rsid w:val="00661925"/>
    <w:rsid w:val="00670741"/>
    <w:rsid w:val="00690F34"/>
    <w:rsid w:val="00696037"/>
    <w:rsid w:val="00696BD6"/>
    <w:rsid w:val="006A6B9D"/>
    <w:rsid w:val="006A7392"/>
    <w:rsid w:val="006B3189"/>
    <w:rsid w:val="006B7D65"/>
    <w:rsid w:val="006D6DA6"/>
    <w:rsid w:val="006D71E3"/>
    <w:rsid w:val="006E564B"/>
    <w:rsid w:val="006E60E3"/>
    <w:rsid w:val="006F13F0"/>
    <w:rsid w:val="006F5035"/>
    <w:rsid w:val="007065EB"/>
    <w:rsid w:val="007077F7"/>
    <w:rsid w:val="00720183"/>
    <w:rsid w:val="0072632A"/>
    <w:rsid w:val="0074200B"/>
    <w:rsid w:val="00771ADE"/>
    <w:rsid w:val="007A6296"/>
    <w:rsid w:val="007B6BA5"/>
    <w:rsid w:val="007C1B62"/>
    <w:rsid w:val="007C3390"/>
    <w:rsid w:val="007C4F4B"/>
    <w:rsid w:val="007D2CDC"/>
    <w:rsid w:val="007D5327"/>
    <w:rsid w:val="007F5F6F"/>
    <w:rsid w:val="007F6611"/>
    <w:rsid w:val="00800A58"/>
    <w:rsid w:val="00806184"/>
    <w:rsid w:val="008155C3"/>
    <w:rsid w:val="008175E9"/>
    <w:rsid w:val="0082243E"/>
    <w:rsid w:val="0082389A"/>
    <w:rsid w:val="008242D7"/>
    <w:rsid w:val="00856CD2"/>
    <w:rsid w:val="00861BC6"/>
    <w:rsid w:val="00871FD5"/>
    <w:rsid w:val="00881C49"/>
    <w:rsid w:val="00886D83"/>
    <w:rsid w:val="00893E9D"/>
    <w:rsid w:val="008979B1"/>
    <w:rsid w:val="008A6B25"/>
    <w:rsid w:val="008A6C4F"/>
    <w:rsid w:val="008B2C2D"/>
    <w:rsid w:val="008C1E4D"/>
    <w:rsid w:val="008C5D86"/>
    <w:rsid w:val="008E0E46"/>
    <w:rsid w:val="008E61B1"/>
    <w:rsid w:val="00902C79"/>
    <w:rsid w:val="0090452C"/>
    <w:rsid w:val="00907C3F"/>
    <w:rsid w:val="00910EDE"/>
    <w:rsid w:val="00911F1A"/>
    <w:rsid w:val="0092237C"/>
    <w:rsid w:val="0093707B"/>
    <w:rsid w:val="009400EB"/>
    <w:rsid w:val="009427E3"/>
    <w:rsid w:val="0095538F"/>
    <w:rsid w:val="00956D9B"/>
    <w:rsid w:val="00963CBA"/>
    <w:rsid w:val="009654B7"/>
    <w:rsid w:val="00977E9B"/>
    <w:rsid w:val="00986029"/>
    <w:rsid w:val="00991261"/>
    <w:rsid w:val="009A0B83"/>
    <w:rsid w:val="009B3800"/>
    <w:rsid w:val="009C65E1"/>
    <w:rsid w:val="009D22AC"/>
    <w:rsid w:val="009D50DB"/>
    <w:rsid w:val="009E1C4E"/>
    <w:rsid w:val="009E7276"/>
    <w:rsid w:val="009F18E8"/>
    <w:rsid w:val="009F4247"/>
    <w:rsid w:val="00A013F3"/>
    <w:rsid w:val="00A05E0B"/>
    <w:rsid w:val="00A1427D"/>
    <w:rsid w:val="00A31D79"/>
    <w:rsid w:val="00A45B2A"/>
    <w:rsid w:val="00A4634F"/>
    <w:rsid w:val="00A51CF3"/>
    <w:rsid w:val="00A62F84"/>
    <w:rsid w:val="00A7187A"/>
    <w:rsid w:val="00A72F22"/>
    <w:rsid w:val="00A74676"/>
    <w:rsid w:val="00A748A6"/>
    <w:rsid w:val="00A76561"/>
    <w:rsid w:val="00A879A4"/>
    <w:rsid w:val="00A87E95"/>
    <w:rsid w:val="00A92E29"/>
    <w:rsid w:val="00AA1E8E"/>
    <w:rsid w:val="00AD09E9"/>
    <w:rsid w:val="00AF0576"/>
    <w:rsid w:val="00AF3829"/>
    <w:rsid w:val="00B037F0"/>
    <w:rsid w:val="00B11DFB"/>
    <w:rsid w:val="00B2327D"/>
    <w:rsid w:val="00B2718F"/>
    <w:rsid w:val="00B30179"/>
    <w:rsid w:val="00B3317B"/>
    <w:rsid w:val="00B334DC"/>
    <w:rsid w:val="00B345B8"/>
    <w:rsid w:val="00B3631A"/>
    <w:rsid w:val="00B53013"/>
    <w:rsid w:val="00B67F5E"/>
    <w:rsid w:val="00B721DA"/>
    <w:rsid w:val="00B73E65"/>
    <w:rsid w:val="00B750C9"/>
    <w:rsid w:val="00B81E12"/>
    <w:rsid w:val="00B856D9"/>
    <w:rsid w:val="00B87110"/>
    <w:rsid w:val="00B97FA8"/>
    <w:rsid w:val="00BC1385"/>
    <w:rsid w:val="00BC74E9"/>
    <w:rsid w:val="00BE618E"/>
    <w:rsid w:val="00C1531E"/>
    <w:rsid w:val="00C24693"/>
    <w:rsid w:val="00C35F0B"/>
    <w:rsid w:val="00C463DD"/>
    <w:rsid w:val="00C637A1"/>
    <w:rsid w:val="00C64458"/>
    <w:rsid w:val="00C72FE5"/>
    <w:rsid w:val="00C745C3"/>
    <w:rsid w:val="00C859C3"/>
    <w:rsid w:val="00CA2A58"/>
    <w:rsid w:val="00CC0B55"/>
    <w:rsid w:val="00CD6995"/>
    <w:rsid w:val="00CE4A8F"/>
    <w:rsid w:val="00CF0214"/>
    <w:rsid w:val="00CF586F"/>
    <w:rsid w:val="00CF7D43"/>
    <w:rsid w:val="00D11129"/>
    <w:rsid w:val="00D13403"/>
    <w:rsid w:val="00D1386B"/>
    <w:rsid w:val="00D2007C"/>
    <w:rsid w:val="00D2031B"/>
    <w:rsid w:val="00D22332"/>
    <w:rsid w:val="00D230B6"/>
    <w:rsid w:val="00D25FE2"/>
    <w:rsid w:val="00D43252"/>
    <w:rsid w:val="00D550F9"/>
    <w:rsid w:val="00D572B0"/>
    <w:rsid w:val="00D62E90"/>
    <w:rsid w:val="00D76BE5"/>
    <w:rsid w:val="00D873A3"/>
    <w:rsid w:val="00D93152"/>
    <w:rsid w:val="00D978C6"/>
    <w:rsid w:val="00DA67AD"/>
    <w:rsid w:val="00DB18CE"/>
    <w:rsid w:val="00DD3E9C"/>
    <w:rsid w:val="00DE3EC0"/>
    <w:rsid w:val="00E11593"/>
    <w:rsid w:val="00E12B6B"/>
    <w:rsid w:val="00E130AB"/>
    <w:rsid w:val="00E132C0"/>
    <w:rsid w:val="00E438D9"/>
    <w:rsid w:val="00E5644E"/>
    <w:rsid w:val="00E65985"/>
    <w:rsid w:val="00E7260F"/>
    <w:rsid w:val="00E806EE"/>
    <w:rsid w:val="00E96630"/>
    <w:rsid w:val="00EB0FB9"/>
    <w:rsid w:val="00EB2516"/>
    <w:rsid w:val="00EC7679"/>
    <w:rsid w:val="00ED07FB"/>
    <w:rsid w:val="00ED0CA9"/>
    <w:rsid w:val="00ED7A2A"/>
    <w:rsid w:val="00EF1D7F"/>
    <w:rsid w:val="00EF5BDB"/>
    <w:rsid w:val="00F07FD9"/>
    <w:rsid w:val="00F13813"/>
    <w:rsid w:val="00F17578"/>
    <w:rsid w:val="00F23315"/>
    <w:rsid w:val="00F23933"/>
    <w:rsid w:val="00F24119"/>
    <w:rsid w:val="00F260E8"/>
    <w:rsid w:val="00F40E75"/>
    <w:rsid w:val="00F42CD9"/>
    <w:rsid w:val="00F52936"/>
    <w:rsid w:val="00F66016"/>
    <w:rsid w:val="00F677CB"/>
    <w:rsid w:val="00F73977"/>
    <w:rsid w:val="00F94645"/>
    <w:rsid w:val="00FA1685"/>
    <w:rsid w:val="00FA2681"/>
    <w:rsid w:val="00FA7DF3"/>
    <w:rsid w:val="00FB0940"/>
    <w:rsid w:val="00FB6F16"/>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1C25C22"/>
  <w15:docId w15:val="{DB5E693E-111E-4C08-9440-4487A3A1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238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389A"/>
    <w:rPr>
      <w:rFonts w:ascii="Tahoma" w:hAnsi="Tahoma" w:cs="Tahoma"/>
      <w:sz w:val="16"/>
      <w:szCs w:val="16"/>
      <w:lang w:eastAsia="en-US"/>
    </w:rPr>
  </w:style>
  <w:style w:type="paragraph" w:styleId="ListParagraph">
    <w:name w:val="List Paragraph"/>
    <w:basedOn w:val="Normal"/>
    <w:uiPriority w:val="34"/>
    <w:qFormat/>
    <w:rsid w:val="00056B7B"/>
    <w:pPr>
      <w:suppressAutoHyphens w:val="0"/>
      <w:spacing w:after="160" w:line="259" w:lineRule="auto"/>
      <w:ind w:left="720"/>
      <w:contextualSpacing/>
    </w:pPr>
    <w:rPr>
      <w:rFonts w:asciiTheme="minorHAnsi" w:eastAsiaTheme="minorHAnsi" w:hAnsiTheme="minorHAnsi" w:cstheme="minorBidi"/>
      <w:sz w:val="22"/>
      <w:szCs w:val="22"/>
      <w:lang w:val="en-ZA"/>
    </w:rPr>
  </w:style>
  <w:style w:type="character" w:styleId="CommentReference">
    <w:name w:val="annotation reference"/>
    <w:basedOn w:val="DefaultParagraphFont"/>
    <w:semiHidden/>
    <w:unhideWhenUsed/>
    <w:rsid w:val="005828C0"/>
    <w:rPr>
      <w:sz w:val="16"/>
      <w:szCs w:val="16"/>
    </w:rPr>
  </w:style>
  <w:style w:type="paragraph" w:styleId="CommentText">
    <w:name w:val="annotation text"/>
    <w:basedOn w:val="Normal"/>
    <w:link w:val="CommentTextChar"/>
    <w:semiHidden/>
    <w:unhideWhenUsed/>
    <w:rsid w:val="005828C0"/>
    <w:pPr>
      <w:spacing w:line="240" w:lineRule="auto"/>
    </w:pPr>
  </w:style>
  <w:style w:type="character" w:customStyle="1" w:styleId="CommentTextChar">
    <w:name w:val="Comment Text Char"/>
    <w:basedOn w:val="DefaultParagraphFont"/>
    <w:link w:val="CommentText"/>
    <w:semiHidden/>
    <w:rsid w:val="005828C0"/>
    <w:rPr>
      <w:lang w:eastAsia="en-US"/>
    </w:rPr>
  </w:style>
  <w:style w:type="paragraph" w:styleId="CommentSubject">
    <w:name w:val="annotation subject"/>
    <w:basedOn w:val="CommentText"/>
    <w:next w:val="CommentText"/>
    <w:link w:val="CommentSubjectChar"/>
    <w:semiHidden/>
    <w:unhideWhenUsed/>
    <w:rsid w:val="005828C0"/>
    <w:rPr>
      <w:b/>
      <w:bCs/>
    </w:rPr>
  </w:style>
  <w:style w:type="character" w:customStyle="1" w:styleId="CommentSubjectChar">
    <w:name w:val="Comment Subject Char"/>
    <w:basedOn w:val="CommentTextChar"/>
    <w:link w:val="CommentSubject"/>
    <w:semiHidden/>
    <w:rsid w:val="005828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7D39-F306-44EF-AB9E-7088E78D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4805</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1716758</dc:title>
  <dc:subject>A/HRC/36/L.16</dc:subject>
  <dc:creator>Kiatsurayanon</dc:creator>
  <cp:keywords/>
  <dc:description/>
  <cp:lastModifiedBy>Generic Desk Anglais</cp:lastModifiedBy>
  <cp:revision>2</cp:revision>
  <cp:lastPrinted>2017-09-21T15:22:00Z</cp:lastPrinted>
  <dcterms:created xsi:type="dcterms:W3CDTF">2017-09-25T11:50:00Z</dcterms:created>
  <dcterms:modified xsi:type="dcterms:W3CDTF">2017-09-25T11:50:00Z</dcterms:modified>
</cp:coreProperties>
</file>