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2A4773">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1C43E1">
            <w:pPr>
              <w:spacing w:after="80"/>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A1D42" w:rsidP="00B7199C">
            <w:pPr>
              <w:jc w:val="right"/>
            </w:pPr>
            <w:r w:rsidRPr="00EA1D42">
              <w:rPr>
                <w:sz w:val="40"/>
              </w:rPr>
              <w:t>A</w:t>
            </w:r>
            <w:r>
              <w:t>/HRC/37/L.37</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AC41DA" w:rsidP="00B7199C">
            <w:pPr>
              <w:spacing w:before="120"/>
              <w:jc w:val="center"/>
            </w:pPr>
            <w:r>
              <w:rPr>
                <w:noProof/>
                <w:lang w:eastAsia="zh-CN"/>
              </w:rPr>
              <w:drawing>
                <wp:inline distT="0" distB="0" distL="0" distR="0">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1C43E1">
            <w:pPr>
              <w:spacing w:before="120"/>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A1D42" w:rsidP="001C43E1">
            <w:pPr>
              <w:spacing w:before="240"/>
            </w:pPr>
            <w:r>
              <w:t>Distr.: Limited</w:t>
            </w:r>
          </w:p>
          <w:p w:rsidR="00EA1D42" w:rsidRDefault="00F265DE" w:rsidP="001C43E1">
            <w:r>
              <w:t>20</w:t>
            </w:r>
            <w:r w:rsidR="00EA1D42">
              <w:t xml:space="preserve"> March </w:t>
            </w:r>
            <w:r w:rsidR="00B7199C">
              <w:t>2</w:t>
            </w:r>
            <w:r w:rsidR="00EA1D42">
              <w:t>018</w:t>
            </w:r>
          </w:p>
          <w:p w:rsidR="00EA1D42" w:rsidRDefault="00EA1D42" w:rsidP="001C43E1"/>
          <w:p w:rsidR="00EA1D42" w:rsidRDefault="00EA1D42" w:rsidP="001C43E1">
            <w:r>
              <w:t>Original: English</w:t>
            </w:r>
          </w:p>
        </w:tc>
      </w:tr>
    </w:tbl>
    <w:p w:rsidR="00EA1D42" w:rsidRPr="00C958FA" w:rsidRDefault="00EA1D42">
      <w:pPr>
        <w:spacing w:before="120"/>
        <w:rPr>
          <w:b/>
          <w:sz w:val="24"/>
          <w:szCs w:val="24"/>
        </w:rPr>
      </w:pPr>
      <w:r w:rsidRPr="00C958FA">
        <w:rPr>
          <w:b/>
          <w:sz w:val="24"/>
          <w:szCs w:val="24"/>
        </w:rPr>
        <w:t>Human Rights Council</w:t>
      </w:r>
    </w:p>
    <w:p w:rsidR="00EA1D42" w:rsidRPr="00C958FA" w:rsidRDefault="00EA1D42">
      <w:pPr>
        <w:rPr>
          <w:b/>
        </w:rPr>
      </w:pPr>
      <w:r w:rsidRPr="00C958FA">
        <w:rPr>
          <w:b/>
        </w:rPr>
        <w:t>Thirty-seventh session</w:t>
      </w:r>
    </w:p>
    <w:p w:rsidR="00EA1D42" w:rsidRPr="00C958FA" w:rsidRDefault="00EA1D42">
      <w:r w:rsidRPr="00C958FA">
        <w:t>26 February–23 March 2018</w:t>
      </w:r>
    </w:p>
    <w:p w:rsidR="00EA1D42" w:rsidRPr="00C958FA" w:rsidRDefault="00EA1D42">
      <w:r w:rsidRPr="00C958FA">
        <w:t>Agenda item 3</w:t>
      </w:r>
    </w:p>
    <w:p w:rsidR="00EA1D42" w:rsidRPr="00C958FA" w:rsidRDefault="00EA1D42">
      <w:pPr>
        <w:rPr>
          <w:b/>
        </w:rPr>
      </w:pPr>
      <w:r w:rsidRPr="00C958FA">
        <w:rPr>
          <w:b/>
        </w:rPr>
        <w:t>Promotion and protection of all human rights, civil,</w:t>
      </w:r>
      <w:r w:rsidRPr="00C958FA">
        <w:rPr>
          <w:b/>
        </w:rPr>
        <w:br/>
        <w:t>political, economic, social and cultural rights,</w:t>
      </w:r>
      <w:r w:rsidRPr="00C958FA">
        <w:rPr>
          <w:b/>
        </w:rPr>
        <w:br/>
        <w:t>including the right to development</w:t>
      </w:r>
    </w:p>
    <w:p w:rsidR="00EA1D42" w:rsidRPr="00C958FA" w:rsidRDefault="00EA1D42" w:rsidP="001C43E1">
      <w:pPr>
        <w:keepNext/>
        <w:keepLines/>
        <w:tabs>
          <w:tab w:val="right" w:pos="851"/>
        </w:tabs>
        <w:spacing w:before="240" w:after="120"/>
        <w:ind w:left="1134" w:right="1134" w:hanging="1134"/>
        <w:rPr>
          <w:b/>
        </w:rPr>
      </w:pPr>
      <w:r w:rsidRPr="00C958FA">
        <w:rPr>
          <w:b/>
        </w:rPr>
        <w:tab/>
      </w:r>
      <w:r w:rsidRPr="00C958FA">
        <w:rPr>
          <w:b/>
        </w:rPr>
        <w:tab/>
      </w:r>
      <w:r w:rsidR="00792854" w:rsidRPr="00C958FA">
        <w:rPr>
          <w:b/>
        </w:rPr>
        <w:t xml:space="preserve">Afghanistan, </w:t>
      </w:r>
      <w:r w:rsidRPr="00C958FA">
        <w:rPr>
          <w:b/>
        </w:rPr>
        <w:t>Angola, Australia, Azerbaijan,</w:t>
      </w:r>
      <w:r w:rsidRPr="00F265DE">
        <w:t>*</w:t>
      </w:r>
      <w:r w:rsidRPr="00C958FA">
        <w:rPr>
          <w:b/>
        </w:rPr>
        <w:t xml:space="preserve"> </w:t>
      </w:r>
      <w:r w:rsidR="00792854" w:rsidRPr="00C958FA">
        <w:rPr>
          <w:b/>
        </w:rPr>
        <w:t>Brazil, Bulgaria,</w:t>
      </w:r>
      <w:r w:rsidR="00792854" w:rsidRPr="00F265DE">
        <w:t>*</w:t>
      </w:r>
      <w:r w:rsidR="00792854" w:rsidRPr="00C958FA">
        <w:rPr>
          <w:b/>
        </w:rPr>
        <w:t xml:space="preserve"> </w:t>
      </w:r>
      <w:r w:rsidRPr="00C958FA">
        <w:rPr>
          <w:b/>
        </w:rPr>
        <w:t>Canada,</w:t>
      </w:r>
      <w:r w:rsidRPr="00F265DE">
        <w:t>*</w:t>
      </w:r>
      <w:r w:rsidRPr="00C958FA">
        <w:rPr>
          <w:b/>
        </w:rPr>
        <w:t xml:space="preserve"> Chile, </w:t>
      </w:r>
      <w:r w:rsidR="00792854" w:rsidRPr="00C958FA">
        <w:rPr>
          <w:b/>
        </w:rPr>
        <w:t>Cyprus,</w:t>
      </w:r>
      <w:r w:rsidR="00792854" w:rsidRPr="00F265DE">
        <w:t>*</w:t>
      </w:r>
      <w:r w:rsidR="00792854" w:rsidRPr="00C958FA">
        <w:rPr>
          <w:b/>
        </w:rPr>
        <w:t xml:space="preserve"> </w:t>
      </w:r>
      <w:r w:rsidRPr="00C958FA">
        <w:rPr>
          <w:b/>
        </w:rPr>
        <w:t xml:space="preserve">Democratic Republic of </w:t>
      </w:r>
      <w:r w:rsidR="008127C9" w:rsidRPr="00C958FA">
        <w:rPr>
          <w:b/>
        </w:rPr>
        <w:t xml:space="preserve">the </w:t>
      </w:r>
      <w:r w:rsidRPr="009B0E5D">
        <w:rPr>
          <w:b/>
        </w:rPr>
        <w:t>Congo, Denmark,</w:t>
      </w:r>
      <w:r w:rsidRPr="00F265DE">
        <w:t>*</w:t>
      </w:r>
      <w:r w:rsidRPr="009B0E5D">
        <w:rPr>
          <w:b/>
        </w:rPr>
        <w:t xml:space="preserve"> Ecuador, </w:t>
      </w:r>
      <w:r w:rsidR="00792854" w:rsidRPr="009B0E5D">
        <w:rPr>
          <w:b/>
        </w:rPr>
        <w:t>Fiji,</w:t>
      </w:r>
      <w:r w:rsidR="00792854" w:rsidRPr="00F265DE">
        <w:t>*</w:t>
      </w:r>
      <w:r w:rsidR="00792854" w:rsidRPr="009B0E5D">
        <w:rPr>
          <w:b/>
        </w:rPr>
        <w:t xml:space="preserve"> Finland,</w:t>
      </w:r>
      <w:r w:rsidR="00792854" w:rsidRPr="00F265DE">
        <w:t>*</w:t>
      </w:r>
      <w:r w:rsidR="00792854" w:rsidRPr="009B0E5D">
        <w:rPr>
          <w:b/>
        </w:rPr>
        <w:t xml:space="preserve"> </w:t>
      </w:r>
      <w:r w:rsidRPr="00C958FA">
        <w:rPr>
          <w:b/>
        </w:rPr>
        <w:t>France,</w:t>
      </w:r>
      <w:r w:rsidRPr="00F265DE">
        <w:t>*</w:t>
      </w:r>
      <w:r w:rsidRPr="00C958FA">
        <w:rPr>
          <w:b/>
        </w:rPr>
        <w:t xml:space="preserve"> </w:t>
      </w:r>
      <w:r w:rsidR="00792854" w:rsidRPr="00C958FA">
        <w:rPr>
          <w:b/>
        </w:rPr>
        <w:t xml:space="preserve">Germany, </w:t>
      </w:r>
      <w:r w:rsidRPr="00C958FA">
        <w:rPr>
          <w:b/>
        </w:rPr>
        <w:t>Ghana,</w:t>
      </w:r>
      <w:r w:rsidRPr="00F265DE">
        <w:t>*</w:t>
      </w:r>
      <w:r w:rsidRPr="00C958FA">
        <w:rPr>
          <w:b/>
        </w:rPr>
        <w:t xml:space="preserve"> </w:t>
      </w:r>
      <w:r w:rsidR="00792854" w:rsidRPr="00C958FA">
        <w:rPr>
          <w:b/>
        </w:rPr>
        <w:t>Honduras,</w:t>
      </w:r>
      <w:r w:rsidR="00792854" w:rsidRPr="00F265DE">
        <w:t>*</w:t>
      </w:r>
      <w:r w:rsidR="00792854" w:rsidRPr="00C958FA">
        <w:rPr>
          <w:b/>
        </w:rPr>
        <w:t xml:space="preserve"> </w:t>
      </w:r>
      <w:r w:rsidRPr="00C958FA">
        <w:rPr>
          <w:b/>
        </w:rPr>
        <w:t xml:space="preserve">Hungary, </w:t>
      </w:r>
      <w:r w:rsidR="00792854" w:rsidRPr="00C958FA">
        <w:rPr>
          <w:b/>
        </w:rPr>
        <w:t>Iceland,</w:t>
      </w:r>
      <w:r w:rsidR="00792854" w:rsidRPr="00F265DE">
        <w:t>*</w:t>
      </w:r>
      <w:r w:rsidR="00792854" w:rsidRPr="00C958FA">
        <w:rPr>
          <w:b/>
        </w:rPr>
        <w:t xml:space="preserve"> Ireland,</w:t>
      </w:r>
      <w:r w:rsidR="00792854" w:rsidRPr="00F265DE">
        <w:t>*</w:t>
      </w:r>
      <w:r w:rsidR="00792854" w:rsidRPr="00C958FA">
        <w:rPr>
          <w:b/>
        </w:rPr>
        <w:t xml:space="preserve"> </w:t>
      </w:r>
      <w:r w:rsidRPr="00C958FA">
        <w:rPr>
          <w:b/>
        </w:rPr>
        <w:t>Israel,</w:t>
      </w:r>
      <w:r w:rsidRPr="00F265DE">
        <w:rPr>
          <w:rStyle w:val="FootnoteReference"/>
          <w:sz w:val="20"/>
          <w:vertAlign w:val="baseline"/>
        </w:rPr>
        <w:footnoteReference w:customMarkFollows="1" w:id="2"/>
        <w:t>*</w:t>
      </w:r>
      <w:r w:rsidRPr="00C958FA">
        <w:rPr>
          <w:rStyle w:val="FootnoteReference"/>
          <w:b/>
          <w:sz w:val="20"/>
          <w:vertAlign w:val="baseline"/>
        </w:rPr>
        <w:t xml:space="preserve"> </w:t>
      </w:r>
      <w:r w:rsidR="00792854" w:rsidRPr="00C958FA">
        <w:rPr>
          <w:b/>
        </w:rPr>
        <w:t>Italy,</w:t>
      </w:r>
      <w:r w:rsidR="00792854" w:rsidRPr="00F265DE">
        <w:t>*</w:t>
      </w:r>
      <w:r w:rsidR="00792854" w:rsidRPr="00C958FA">
        <w:rPr>
          <w:b/>
        </w:rPr>
        <w:t xml:space="preserve"> Kenya, </w:t>
      </w:r>
      <w:r w:rsidRPr="00C958FA">
        <w:rPr>
          <w:b/>
        </w:rPr>
        <w:t>Lithuania,</w:t>
      </w:r>
      <w:r w:rsidRPr="00F265DE">
        <w:t>*</w:t>
      </w:r>
      <w:r w:rsidRPr="00C958FA">
        <w:rPr>
          <w:b/>
        </w:rPr>
        <w:t xml:space="preserve"> Luxembourg,</w:t>
      </w:r>
      <w:r w:rsidRPr="00F265DE">
        <w:t>*</w:t>
      </w:r>
      <w:r w:rsidRPr="00C958FA">
        <w:rPr>
          <w:b/>
        </w:rPr>
        <w:t xml:space="preserve"> Madagascar,</w:t>
      </w:r>
      <w:r w:rsidRPr="00F265DE">
        <w:t>*</w:t>
      </w:r>
      <w:r w:rsidRPr="00C958FA">
        <w:rPr>
          <w:b/>
        </w:rPr>
        <w:t xml:space="preserve"> </w:t>
      </w:r>
      <w:r w:rsidR="00792854" w:rsidRPr="00C958FA">
        <w:rPr>
          <w:b/>
        </w:rPr>
        <w:t>Netherlands,</w:t>
      </w:r>
      <w:r w:rsidR="00792854" w:rsidRPr="00F265DE">
        <w:t>*</w:t>
      </w:r>
      <w:r w:rsidR="00792854" w:rsidRPr="00C958FA">
        <w:rPr>
          <w:b/>
        </w:rPr>
        <w:t xml:space="preserve"> </w:t>
      </w:r>
      <w:r w:rsidRPr="00C958FA">
        <w:rPr>
          <w:rStyle w:val="FootnoteReference"/>
          <w:b/>
          <w:sz w:val="20"/>
          <w:vertAlign w:val="baseline"/>
        </w:rPr>
        <w:t>New Zealand,</w:t>
      </w:r>
      <w:r w:rsidRPr="00F265DE">
        <w:rPr>
          <w:rStyle w:val="FootnoteReference"/>
          <w:sz w:val="20"/>
          <w:vertAlign w:val="baseline"/>
        </w:rPr>
        <w:t>*</w:t>
      </w:r>
      <w:r w:rsidRPr="00C958FA">
        <w:rPr>
          <w:b/>
        </w:rPr>
        <w:t xml:space="preserve"> </w:t>
      </w:r>
      <w:r w:rsidR="00792854" w:rsidRPr="00C958FA">
        <w:rPr>
          <w:b/>
        </w:rPr>
        <w:t>Paraguay,</w:t>
      </w:r>
      <w:r w:rsidR="00792854" w:rsidRPr="00F265DE">
        <w:t>*</w:t>
      </w:r>
      <w:r w:rsidR="00792854" w:rsidRPr="00C958FA">
        <w:rPr>
          <w:b/>
        </w:rPr>
        <w:t xml:space="preserve"> Portugal,</w:t>
      </w:r>
      <w:r w:rsidR="00792854" w:rsidRPr="00F265DE">
        <w:t>*</w:t>
      </w:r>
      <w:r w:rsidR="00792854" w:rsidRPr="00C958FA">
        <w:rPr>
          <w:b/>
        </w:rPr>
        <w:t xml:space="preserve"> </w:t>
      </w:r>
      <w:r w:rsidRPr="00C958FA">
        <w:rPr>
          <w:b/>
        </w:rPr>
        <w:t>Rwanda, Senegal, Sierra Leone,</w:t>
      </w:r>
      <w:r w:rsidRPr="00F265DE">
        <w:t>*</w:t>
      </w:r>
      <w:r w:rsidRPr="00C958FA">
        <w:rPr>
          <w:b/>
        </w:rPr>
        <w:t xml:space="preserve"> Spain, Sweden,</w:t>
      </w:r>
      <w:r w:rsidRPr="00F265DE">
        <w:t>*</w:t>
      </w:r>
      <w:r w:rsidRPr="00C958FA">
        <w:rPr>
          <w:b/>
        </w:rPr>
        <w:t xml:space="preserve"> Thailand,</w:t>
      </w:r>
      <w:r w:rsidRPr="00F265DE">
        <w:t>*</w:t>
      </w:r>
      <w:r w:rsidRPr="00C958FA">
        <w:rPr>
          <w:b/>
        </w:rPr>
        <w:t xml:space="preserve"> Togo, </w:t>
      </w:r>
      <w:r w:rsidR="00792854" w:rsidRPr="00C958FA">
        <w:rPr>
          <w:b/>
        </w:rPr>
        <w:t>Turkey,</w:t>
      </w:r>
      <w:r w:rsidR="00792854" w:rsidRPr="00F265DE">
        <w:t>*</w:t>
      </w:r>
      <w:r w:rsidR="00792854" w:rsidRPr="00C958FA">
        <w:rPr>
          <w:b/>
        </w:rPr>
        <w:t xml:space="preserve"> United Kingdom of Great Britain and Northern Ireland, </w:t>
      </w:r>
      <w:r w:rsidRPr="00C958FA">
        <w:rPr>
          <w:b/>
        </w:rPr>
        <w:t>Uruguay</w:t>
      </w:r>
      <w:r w:rsidR="00762563">
        <w:rPr>
          <w:b/>
        </w:rPr>
        <w:t>:</w:t>
      </w:r>
      <w:r w:rsidRPr="00F265DE">
        <w:t>*</w:t>
      </w:r>
      <w:r w:rsidRPr="00C958FA">
        <w:rPr>
          <w:b/>
        </w:rPr>
        <w:t xml:space="preserve"> draft resolution</w:t>
      </w:r>
    </w:p>
    <w:p w:rsidR="00EA1D42" w:rsidRPr="009B0E5D" w:rsidRDefault="00EA1D42" w:rsidP="001C43E1">
      <w:pPr>
        <w:keepNext/>
        <w:keepLines/>
        <w:spacing w:before="360" w:after="240"/>
        <w:ind w:left="1843" w:right="1134" w:hanging="709"/>
        <w:rPr>
          <w:b/>
          <w:sz w:val="24"/>
        </w:rPr>
      </w:pPr>
      <w:r w:rsidRPr="00C958FA">
        <w:rPr>
          <w:b/>
          <w:sz w:val="24"/>
        </w:rPr>
        <w:t>37/…</w:t>
      </w:r>
      <w:r w:rsidRPr="00C958FA">
        <w:rPr>
          <w:b/>
          <w:sz w:val="24"/>
        </w:rPr>
        <w:tab/>
      </w:r>
      <w:r w:rsidR="00306312">
        <w:rPr>
          <w:b/>
          <w:sz w:val="24"/>
        </w:rPr>
        <w:t>P</w:t>
      </w:r>
      <w:r w:rsidRPr="001C43E1">
        <w:rPr>
          <w:b/>
          <w:sz w:val="24"/>
        </w:rPr>
        <w:t>romotion and protection of human rights and the implementation of the 2030 Agenda for Sustainable Development</w:t>
      </w:r>
    </w:p>
    <w:p w:rsidR="00EA1D42" w:rsidRPr="00C958FA" w:rsidRDefault="00EA1D42" w:rsidP="00F265DE">
      <w:pPr>
        <w:spacing w:after="120"/>
        <w:ind w:left="1134" w:right="1134" w:firstLine="567"/>
        <w:jc w:val="both"/>
      </w:pPr>
      <w:r w:rsidRPr="00C958FA">
        <w:tab/>
      </w:r>
      <w:r w:rsidRPr="00C958FA">
        <w:rPr>
          <w:i/>
        </w:rPr>
        <w:t>The Human Rights Council</w:t>
      </w:r>
      <w:r w:rsidRPr="00C958FA">
        <w:t>,</w:t>
      </w:r>
    </w:p>
    <w:p w:rsidR="00EA1D42" w:rsidRPr="001C43E1" w:rsidRDefault="00EA1D42">
      <w:pPr>
        <w:pStyle w:val="SingleTxtG"/>
        <w:ind w:firstLine="567"/>
      </w:pPr>
      <w:bookmarkStart w:id="0" w:name="_Hlk509164757"/>
      <w:r w:rsidRPr="001C43E1">
        <w:rPr>
          <w:i/>
        </w:rPr>
        <w:t>Guided</w:t>
      </w:r>
      <w:r w:rsidRPr="001C43E1">
        <w:t xml:space="preserve"> by the purposes and principles of the Charter of the United Nations,</w:t>
      </w:r>
    </w:p>
    <w:p w:rsidR="00EA1D42" w:rsidRPr="001C43E1" w:rsidRDefault="00EA1D42">
      <w:pPr>
        <w:pStyle w:val="SingleTxtG"/>
        <w:ind w:firstLine="567"/>
      </w:pPr>
      <w:r w:rsidRPr="001C43E1">
        <w:rPr>
          <w:i/>
        </w:rPr>
        <w:t>Reaffirming</w:t>
      </w:r>
      <w:r w:rsidRPr="001C43E1">
        <w:t xml:space="preserve"> the Universal Declaration of Human Rights and that all human rights are universal, indivisible, interrelated, interdependent and mutually reinforcing,</w:t>
      </w:r>
    </w:p>
    <w:p w:rsidR="00EA1D42" w:rsidRPr="001C43E1" w:rsidRDefault="00EA1D42">
      <w:pPr>
        <w:pStyle w:val="SingleTxtG"/>
        <w:ind w:firstLine="567"/>
      </w:pPr>
      <w:r w:rsidRPr="001C43E1">
        <w:rPr>
          <w:i/>
        </w:rPr>
        <w:t>Recalling</w:t>
      </w:r>
      <w:r w:rsidRPr="001C43E1">
        <w:t xml:space="preserve"> the International Covenant on Economic, Social and Cultural Rights, the International Covenant on Civil and Political Rights and all other human rights instruments,</w:t>
      </w:r>
    </w:p>
    <w:bookmarkEnd w:id="0"/>
    <w:p w:rsidR="00EA1D42" w:rsidRPr="001C43E1" w:rsidRDefault="00EA1D42">
      <w:pPr>
        <w:pStyle w:val="SingleTxtG"/>
        <w:ind w:firstLine="567"/>
      </w:pPr>
      <w:r w:rsidRPr="001C43E1">
        <w:rPr>
          <w:i/>
        </w:rPr>
        <w:t>Reaffirming</w:t>
      </w:r>
      <w:r w:rsidRPr="001C43E1">
        <w:t xml:space="preserve"> General Assembly resolution 60/251 of 3 April 2006, in which the Assembly decided that the work of the Human Rights Council </w:t>
      </w:r>
      <w:r w:rsidR="0094026E" w:rsidRPr="001C43E1">
        <w:t>w</w:t>
      </w:r>
      <w:r w:rsidR="00306312">
        <w:t xml:space="preserve">ould be </w:t>
      </w:r>
      <w:r w:rsidRPr="001C43E1">
        <w:t xml:space="preserve"> guided by the principles of universality, impartiality, objectivity and non-selectivity, constructive international dialogue and cooperation, with a view to enhancing the promotion and protection of all human rights, civil, political, economic, social and cultural rights, including the right to development,</w:t>
      </w:r>
    </w:p>
    <w:p w:rsidR="00EA1D42" w:rsidRPr="001C43E1" w:rsidRDefault="00EA1D42">
      <w:pPr>
        <w:pStyle w:val="SingleTxtG"/>
        <w:ind w:firstLine="567"/>
      </w:pPr>
      <w:r w:rsidRPr="001C43E1">
        <w:rPr>
          <w:i/>
        </w:rPr>
        <w:t xml:space="preserve">Reaffirming also </w:t>
      </w:r>
      <w:r w:rsidRPr="001C43E1">
        <w:t>General Assembly resolution 70/1 of 25 September 2015, entitled “Transforming our world: the 2030 Agenda for Sustainable Development”, in which the Assembly adopted the outcome document of the United Nations summit for the adoption of the post-2015 development agenda and pledged that no one w</w:t>
      </w:r>
      <w:r w:rsidR="0094026E" w:rsidRPr="001C43E1">
        <w:t>ould</w:t>
      </w:r>
      <w:r w:rsidRPr="001C43E1">
        <w:t xml:space="preserve"> be left behind,</w:t>
      </w:r>
    </w:p>
    <w:p w:rsidR="00EA1D42" w:rsidRPr="001C43E1" w:rsidRDefault="00EA1D42">
      <w:pPr>
        <w:pStyle w:val="SingleTxtG"/>
        <w:ind w:firstLine="567"/>
      </w:pPr>
      <w:r w:rsidRPr="001C43E1">
        <w:rPr>
          <w:i/>
        </w:rPr>
        <w:t xml:space="preserve">Recalling </w:t>
      </w:r>
      <w:r w:rsidRPr="001C43E1">
        <w:t xml:space="preserve">relevant resolutions adopted by </w:t>
      </w:r>
      <w:r w:rsidR="0094026E" w:rsidRPr="001C43E1">
        <w:t xml:space="preserve">the </w:t>
      </w:r>
      <w:r w:rsidRPr="001C43E1">
        <w:t>Human Rights Council,</w:t>
      </w:r>
    </w:p>
    <w:p w:rsidR="00EA1D42" w:rsidRPr="001C43E1" w:rsidRDefault="00EA1D42">
      <w:pPr>
        <w:pStyle w:val="SingleTxtG"/>
        <w:ind w:firstLine="567"/>
      </w:pPr>
      <w:r w:rsidRPr="001C43E1">
        <w:rPr>
          <w:i/>
        </w:rPr>
        <w:t>Recognizing</w:t>
      </w:r>
      <w:r w:rsidRPr="001C43E1">
        <w:t xml:space="preserve"> that the 2030 Agenda </w:t>
      </w:r>
      <w:r w:rsidR="0094026E" w:rsidRPr="001C43E1">
        <w:t xml:space="preserve">for Sustainable Development </w:t>
      </w:r>
      <w:r w:rsidRPr="001C43E1">
        <w:t xml:space="preserve">is guided by the purposes and principles of the Charter, including full respect for international law, and is </w:t>
      </w:r>
      <w:r w:rsidRPr="001C43E1">
        <w:lastRenderedPageBreak/>
        <w:t>grounded in the Universal Declaration of Human Rights, international human rights treaties, the United Nations Millennium Declaration and the 2005 World Summit Outcome, and is informed by other instruments</w:t>
      </w:r>
      <w:r w:rsidR="00FA17E2" w:rsidRPr="001C43E1">
        <w:t>,</w:t>
      </w:r>
      <w:r w:rsidRPr="001C43E1">
        <w:t xml:space="preserve"> such as the Declaration on the Right to Development,</w:t>
      </w:r>
    </w:p>
    <w:p w:rsidR="00EA1D42" w:rsidRPr="001C43E1" w:rsidRDefault="00EA1D42">
      <w:pPr>
        <w:pStyle w:val="SingleTxtG"/>
        <w:ind w:firstLine="567"/>
      </w:pPr>
      <w:r w:rsidRPr="001C43E1">
        <w:rPr>
          <w:i/>
        </w:rPr>
        <w:t xml:space="preserve">Recognizing also </w:t>
      </w:r>
      <w:r w:rsidRPr="001C43E1">
        <w:t>that the implementation of the 2030 Agenda must be consistent with a State’s obligations under international human rights law,</w:t>
      </w:r>
    </w:p>
    <w:p w:rsidR="00EA1D42" w:rsidRPr="001C43E1" w:rsidRDefault="00EA1D42">
      <w:pPr>
        <w:pStyle w:val="SingleTxtG"/>
        <w:ind w:firstLine="567"/>
      </w:pPr>
      <w:r w:rsidRPr="001C43E1">
        <w:rPr>
          <w:i/>
        </w:rPr>
        <w:t>Acknowledging</w:t>
      </w:r>
      <w:r w:rsidRPr="001C43E1">
        <w:t xml:space="preserve"> that the promotion and protection of human rights and the implementation of the 2030 Agenda are interrelated and mutually reinforcing,</w:t>
      </w:r>
    </w:p>
    <w:p w:rsidR="00EA1D42" w:rsidRPr="001C43E1" w:rsidRDefault="00EA1D42">
      <w:pPr>
        <w:pStyle w:val="SingleTxtG"/>
        <w:ind w:firstLine="567"/>
        <w:rPr>
          <w:bCs/>
        </w:rPr>
      </w:pPr>
      <w:r w:rsidRPr="001C43E1">
        <w:rPr>
          <w:bCs/>
          <w:i/>
        </w:rPr>
        <w:t>Reaffirming</w:t>
      </w:r>
      <w:r w:rsidRPr="001C43E1">
        <w:rPr>
          <w:bCs/>
        </w:rPr>
        <w:t xml:space="preserve"> the central role of the </w:t>
      </w:r>
      <w:r w:rsidR="00F024BB" w:rsidRPr="001C43E1">
        <w:rPr>
          <w:bCs/>
        </w:rPr>
        <w:t>h</w:t>
      </w:r>
      <w:r w:rsidRPr="001C43E1">
        <w:rPr>
          <w:bCs/>
        </w:rPr>
        <w:t>igh-</w:t>
      </w:r>
      <w:r w:rsidR="00F024BB" w:rsidRPr="001C43E1">
        <w:rPr>
          <w:bCs/>
        </w:rPr>
        <w:t>l</w:t>
      </w:r>
      <w:r w:rsidRPr="001C43E1">
        <w:rPr>
          <w:bCs/>
        </w:rPr>
        <w:t xml:space="preserve">evel </w:t>
      </w:r>
      <w:r w:rsidR="00F024BB" w:rsidRPr="001C43E1">
        <w:rPr>
          <w:bCs/>
        </w:rPr>
        <w:t>p</w:t>
      </w:r>
      <w:r w:rsidRPr="001C43E1">
        <w:rPr>
          <w:bCs/>
        </w:rPr>
        <w:t xml:space="preserve">olitical </w:t>
      </w:r>
      <w:r w:rsidR="00F024BB" w:rsidRPr="001C43E1">
        <w:rPr>
          <w:bCs/>
        </w:rPr>
        <w:t>f</w:t>
      </w:r>
      <w:r w:rsidRPr="001C43E1">
        <w:rPr>
          <w:bCs/>
        </w:rPr>
        <w:t xml:space="preserve">orum </w:t>
      </w:r>
      <w:r w:rsidR="0071481E" w:rsidRPr="001C43E1">
        <w:rPr>
          <w:bCs/>
        </w:rPr>
        <w:t xml:space="preserve">on sustainable development </w:t>
      </w:r>
      <w:r w:rsidRPr="001C43E1">
        <w:rPr>
          <w:bCs/>
        </w:rPr>
        <w:t>in providing political leadership, guidance and recommendations for sustainable development</w:t>
      </w:r>
      <w:r w:rsidR="00F024BB" w:rsidRPr="001C43E1">
        <w:rPr>
          <w:bCs/>
        </w:rPr>
        <w:t xml:space="preserve"> and in </w:t>
      </w:r>
      <w:r w:rsidRPr="001C43E1">
        <w:rPr>
          <w:bCs/>
        </w:rPr>
        <w:t>follow</w:t>
      </w:r>
      <w:r w:rsidR="00F14187" w:rsidRPr="001C43E1">
        <w:rPr>
          <w:bCs/>
        </w:rPr>
        <w:t>ing</w:t>
      </w:r>
      <w:r w:rsidRPr="001C43E1">
        <w:rPr>
          <w:bCs/>
        </w:rPr>
        <w:t xml:space="preserve"> up </w:t>
      </w:r>
      <w:r w:rsidR="00306312">
        <w:rPr>
          <w:bCs/>
        </w:rPr>
        <w:t xml:space="preserve">on </w:t>
      </w:r>
      <w:r w:rsidRPr="001C43E1">
        <w:rPr>
          <w:bCs/>
        </w:rPr>
        <w:t>and review</w:t>
      </w:r>
      <w:r w:rsidR="00F024BB" w:rsidRPr="001C43E1">
        <w:rPr>
          <w:bCs/>
        </w:rPr>
        <w:t>ing</w:t>
      </w:r>
      <w:r w:rsidRPr="001C43E1">
        <w:rPr>
          <w:bCs/>
        </w:rPr>
        <w:t xml:space="preserve"> progress in the implementation of sustainable development commitments,</w:t>
      </w:r>
    </w:p>
    <w:p w:rsidR="00EA1D42" w:rsidRPr="001C43E1" w:rsidRDefault="004A5D02">
      <w:pPr>
        <w:pStyle w:val="SingleTxtG"/>
        <w:ind w:firstLine="567"/>
      </w:pPr>
      <w:r w:rsidRPr="001C43E1">
        <w:rPr>
          <w:i/>
        </w:rPr>
        <w:t>Noting</w:t>
      </w:r>
      <w:r w:rsidR="00EA1D42" w:rsidRPr="001C43E1">
        <w:rPr>
          <w:i/>
        </w:rPr>
        <w:t xml:space="preserve"> </w:t>
      </w:r>
      <w:r w:rsidR="00EA1D42" w:rsidRPr="001C43E1">
        <w:t xml:space="preserve">the contributions of the international human rights mechanisms, including </w:t>
      </w:r>
      <w:r w:rsidRPr="001C43E1">
        <w:t xml:space="preserve">the </w:t>
      </w:r>
      <w:r w:rsidR="00EA1D42" w:rsidRPr="001C43E1">
        <w:t>human rights treat</w:t>
      </w:r>
      <w:r w:rsidR="00306312">
        <w:t>y</w:t>
      </w:r>
      <w:r w:rsidR="00EA1D42" w:rsidRPr="001C43E1">
        <w:t xml:space="preserve"> bodies, the </w:t>
      </w:r>
      <w:r w:rsidRPr="001C43E1">
        <w:t xml:space="preserve">special procedures of the </w:t>
      </w:r>
      <w:r w:rsidR="00EA1D42" w:rsidRPr="001C43E1">
        <w:t xml:space="preserve">Human Rights Council and the </w:t>
      </w:r>
      <w:r w:rsidRPr="001C43E1">
        <w:t>u</w:t>
      </w:r>
      <w:r w:rsidR="00EA1D42" w:rsidRPr="001C43E1">
        <w:t xml:space="preserve">niversal </w:t>
      </w:r>
      <w:r w:rsidRPr="001C43E1">
        <w:t>p</w:t>
      </w:r>
      <w:r w:rsidR="00EA1D42" w:rsidRPr="001C43E1">
        <w:t xml:space="preserve">eriodic </w:t>
      </w:r>
      <w:r w:rsidRPr="001C43E1">
        <w:t>r</w:t>
      </w:r>
      <w:r w:rsidR="00EA1D42" w:rsidRPr="001C43E1">
        <w:t xml:space="preserve">eview, in promoting the implementation of the 2030 Agenda in accordance with States’ human rights obligations, </w:t>
      </w:r>
    </w:p>
    <w:p w:rsidR="00EA1D42" w:rsidRPr="001C43E1" w:rsidRDefault="00EA1D42">
      <w:pPr>
        <w:pStyle w:val="SingleTxtG"/>
        <w:ind w:firstLine="567"/>
      </w:pPr>
      <w:r w:rsidRPr="001C43E1">
        <w:rPr>
          <w:i/>
        </w:rPr>
        <w:t>Noting</w:t>
      </w:r>
      <w:r w:rsidRPr="001C43E1">
        <w:t xml:space="preserve"> </w:t>
      </w:r>
      <w:r w:rsidR="007379B7" w:rsidRPr="001C43E1">
        <w:rPr>
          <w:i/>
        </w:rPr>
        <w:t>also</w:t>
      </w:r>
      <w:r w:rsidR="007379B7" w:rsidRPr="001C43E1">
        <w:t xml:space="preserve"> </w:t>
      </w:r>
      <w:r w:rsidRPr="001C43E1">
        <w:t>the important role that technical cooperation and capacity</w:t>
      </w:r>
      <w:r w:rsidR="006F6E8F" w:rsidRPr="001C43E1">
        <w:t>-</w:t>
      </w:r>
      <w:r w:rsidRPr="001C43E1">
        <w:t>building can play in building States’ capacities to implement the Sustainable Development Goals in a way that is consistent with their respective obligations under international human rights law,</w:t>
      </w:r>
    </w:p>
    <w:p w:rsidR="00EA1D42" w:rsidRPr="001C43E1" w:rsidRDefault="00EA1D42">
      <w:pPr>
        <w:pStyle w:val="SingleTxtG"/>
        <w:ind w:firstLine="567"/>
        <w:rPr>
          <w:bCs/>
        </w:rPr>
      </w:pPr>
      <w:r w:rsidRPr="001C43E1">
        <w:rPr>
          <w:bCs/>
          <w:i/>
        </w:rPr>
        <w:t xml:space="preserve">Recalling </w:t>
      </w:r>
      <w:r w:rsidRPr="001C43E1">
        <w:rPr>
          <w:bCs/>
        </w:rPr>
        <w:t xml:space="preserve">that the organizations of the United Nations system and other relevant intergovernmental organizations are invited to contribute within their respective mandates to the discussions of the </w:t>
      </w:r>
      <w:r w:rsidR="0071481E" w:rsidRPr="001C43E1">
        <w:rPr>
          <w:bCs/>
        </w:rPr>
        <w:t>h</w:t>
      </w:r>
      <w:r w:rsidRPr="001C43E1">
        <w:rPr>
          <w:bCs/>
        </w:rPr>
        <w:t>igh-</w:t>
      </w:r>
      <w:r w:rsidR="0071481E" w:rsidRPr="001C43E1">
        <w:rPr>
          <w:bCs/>
        </w:rPr>
        <w:t>l</w:t>
      </w:r>
      <w:r w:rsidRPr="001C43E1">
        <w:rPr>
          <w:bCs/>
        </w:rPr>
        <w:t xml:space="preserve">evel </w:t>
      </w:r>
      <w:r w:rsidR="0071481E" w:rsidRPr="001C43E1">
        <w:rPr>
          <w:bCs/>
        </w:rPr>
        <w:t>p</w:t>
      </w:r>
      <w:r w:rsidRPr="001C43E1">
        <w:rPr>
          <w:bCs/>
        </w:rPr>
        <w:t xml:space="preserve">olitical </w:t>
      </w:r>
      <w:r w:rsidR="0071481E" w:rsidRPr="001C43E1">
        <w:rPr>
          <w:bCs/>
        </w:rPr>
        <w:t>f</w:t>
      </w:r>
      <w:r w:rsidRPr="001C43E1">
        <w:rPr>
          <w:bCs/>
        </w:rPr>
        <w:t>orum</w:t>
      </w:r>
      <w:r w:rsidR="0071481E" w:rsidRPr="001C43E1">
        <w:rPr>
          <w:bCs/>
        </w:rPr>
        <w:t xml:space="preserve"> on sustainable development</w:t>
      </w:r>
      <w:r w:rsidRPr="001C43E1">
        <w:rPr>
          <w:bCs/>
        </w:rPr>
        <w:t>,</w:t>
      </w:r>
    </w:p>
    <w:p w:rsidR="00EA1D42" w:rsidRPr="001C43E1" w:rsidRDefault="00EA1D42">
      <w:pPr>
        <w:pStyle w:val="SingleTxtG"/>
        <w:ind w:firstLine="567"/>
      </w:pPr>
      <w:r w:rsidRPr="001C43E1">
        <w:t>1.</w:t>
      </w:r>
      <w:r w:rsidRPr="001C43E1">
        <w:tab/>
      </w:r>
      <w:r w:rsidRPr="001C43E1">
        <w:rPr>
          <w:i/>
        </w:rPr>
        <w:t>Decides</w:t>
      </w:r>
      <w:r w:rsidRPr="001C43E1">
        <w:t xml:space="preserve"> to organize two one-day intersessional meetings for dialogue and cooperation on human rights and the 2030 Agenda for Sustainable Development, which will provide a space for States, relevant U</w:t>
      </w:r>
      <w:r w:rsidR="00891AE2" w:rsidRPr="001C43E1">
        <w:t xml:space="preserve">nited </w:t>
      </w:r>
      <w:r w:rsidRPr="001C43E1">
        <w:t>N</w:t>
      </w:r>
      <w:r w:rsidR="00891AE2" w:rsidRPr="001C43E1">
        <w:t>ations</w:t>
      </w:r>
      <w:r w:rsidRPr="001C43E1">
        <w:t xml:space="preserve"> and regional human rights mechanisms, U</w:t>
      </w:r>
      <w:r w:rsidR="00891AE2" w:rsidRPr="001C43E1">
        <w:t xml:space="preserve">nited </w:t>
      </w:r>
      <w:r w:rsidRPr="001C43E1">
        <w:t>N</w:t>
      </w:r>
      <w:r w:rsidR="00891AE2" w:rsidRPr="001C43E1">
        <w:t>ations</w:t>
      </w:r>
      <w:r w:rsidRPr="001C43E1">
        <w:t xml:space="preserve"> agencies</w:t>
      </w:r>
      <w:r w:rsidR="00306312">
        <w:t>, funds</w:t>
      </w:r>
      <w:r w:rsidRPr="001C43E1">
        <w:t xml:space="preserve"> and program</w:t>
      </w:r>
      <w:r w:rsidR="00891AE2" w:rsidRPr="001C43E1">
        <w:t>me</w:t>
      </w:r>
      <w:r w:rsidRPr="001C43E1">
        <w:t>s, national human rights institutions and civil society</w:t>
      </w:r>
      <w:r w:rsidR="00891AE2" w:rsidRPr="001C43E1">
        <w:t xml:space="preserve"> organizations </w:t>
      </w:r>
      <w:r w:rsidRPr="001C43E1">
        <w:t>to voluntarily share good practices, achievements, challenges and lessons learn</w:t>
      </w:r>
      <w:r w:rsidR="00891AE2" w:rsidRPr="001C43E1">
        <w:t>ed</w:t>
      </w:r>
      <w:r w:rsidRPr="001C43E1">
        <w:t xml:space="preserve"> in the promotion and protection of human rights and the implementation of </w:t>
      </w:r>
      <w:r w:rsidR="006F6E8F" w:rsidRPr="001C43E1">
        <w:t xml:space="preserve">the </w:t>
      </w:r>
      <w:r w:rsidRPr="001C43E1">
        <w:t>2030 Agenda;</w:t>
      </w:r>
    </w:p>
    <w:p w:rsidR="00EA1D42" w:rsidRPr="001C43E1" w:rsidRDefault="00EA1D42">
      <w:pPr>
        <w:pStyle w:val="SingleTxtG"/>
        <w:ind w:firstLine="567"/>
      </w:pPr>
      <w:r w:rsidRPr="001C43E1">
        <w:t>2.</w:t>
      </w:r>
      <w:r w:rsidRPr="001C43E1">
        <w:tab/>
      </w:r>
      <w:r w:rsidR="00FE064F" w:rsidRPr="001C43E1">
        <w:rPr>
          <w:i/>
        </w:rPr>
        <w:t>Also</w:t>
      </w:r>
      <w:r w:rsidR="00FE064F" w:rsidRPr="001C43E1">
        <w:t xml:space="preserve"> </w:t>
      </w:r>
      <w:r w:rsidR="00FE064F" w:rsidRPr="001C43E1">
        <w:rPr>
          <w:i/>
        </w:rPr>
        <w:t>d</w:t>
      </w:r>
      <w:r w:rsidRPr="001C43E1">
        <w:rPr>
          <w:i/>
        </w:rPr>
        <w:t>ecides</w:t>
      </w:r>
      <w:r w:rsidRPr="001C43E1">
        <w:t xml:space="preserve"> that the focus of each </w:t>
      </w:r>
      <w:r w:rsidR="00891AE2" w:rsidRPr="001C43E1">
        <w:t xml:space="preserve">of the above-mentioned </w:t>
      </w:r>
      <w:r w:rsidRPr="001C43E1">
        <w:t xml:space="preserve">meetings </w:t>
      </w:r>
      <w:r w:rsidR="00B375D8">
        <w:t>wi</w:t>
      </w:r>
      <w:r w:rsidRPr="001C43E1">
        <w:t xml:space="preserve">ll reflect the stated themes of the 2019 and 2020 </w:t>
      </w:r>
      <w:r w:rsidR="00891AE2" w:rsidRPr="001C43E1">
        <w:t>h</w:t>
      </w:r>
      <w:r w:rsidRPr="001C43E1">
        <w:t>igh-</w:t>
      </w:r>
      <w:r w:rsidR="00891AE2" w:rsidRPr="001C43E1">
        <w:t>l</w:t>
      </w:r>
      <w:r w:rsidRPr="001C43E1">
        <w:t xml:space="preserve">evel </w:t>
      </w:r>
      <w:r w:rsidR="00891AE2" w:rsidRPr="001C43E1">
        <w:t>p</w:t>
      </w:r>
      <w:r w:rsidRPr="001C43E1">
        <w:t xml:space="preserve">olitical </w:t>
      </w:r>
      <w:r w:rsidR="00891AE2" w:rsidRPr="001C43E1">
        <w:t>f</w:t>
      </w:r>
      <w:r w:rsidRPr="001C43E1">
        <w:t xml:space="preserve">orums on </w:t>
      </w:r>
      <w:r w:rsidR="00891AE2" w:rsidRPr="001C43E1">
        <w:t>s</w:t>
      </w:r>
      <w:r w:rsidRPr="001C43E1">
        <w:t xml:space="preserve">ustainable </w:t>
      </w:r>
      <w:r w:rsidR="00891AE2" w:rsidRPr="001C43E1">
        <w:t>d</w:t>
      </w:r>
      <w:r w:rsidRPr="001C43E1">
        <w:t>evelopment;</w:t>
      </w:r>
    </w:p>
    <w:p w:rsidR="00EA1D42" w:rsidRPr="001C43E1" w:rsidRDefault="00EA1D42">
      <w:pPr>
        <w:pStyle w:val="SingleTxtG"/>
        <w:ind w:firstLine="567"/>
      </w:pPr>
      <w:r w:rsidRPr="001C43E1">
        <w:t>3.</w:t>
      </w:r>
      <w:r w:rsidRPr="001C43E1">
        <w:tab/>
      </w:r>
      <w:r w:rsidR="00FE064F" w:rsidRPr="001C43E1">
        <w:rPr>
          <w:i/>
        </w:rPr>
        <w:t>Further d</w:t>
      </w:r>
      <w:r w:rsidRPr="001C43E1">
        <w:rPr>
          <w:i/>
        </w:rPr>
        <w:t>ecides</w:t>
      </w:r>
      <w:r w:rsidRPr="001C43E1">
        <w:t xml:space="preserve"> that the meetings should </w:t>
      </w:r>
      <w:r w:rsidR="00B375D8">
        <w:t>be held</w:t>
      </w:r>
      <w:r w:rsidRPr="001C43E1">
        <w:t xml:space="preserve"> in advance of the 2019 and 2020 </w:t>
      </w:r>
      <w:r w:rsidR="00891AE2" w:rsidRPr="001C43E1">
        <w:t>h</w:t>
      </w:r>
      <w:r w:rsidRPr="001C43E1">
        <w:t>igh-</w:t>
      </w:r>
      <w:r w:rsidR="00891AE2" w:rsidRPr="001C43E1">
        <w:t>l</w:t>
      </w:r>
      <w:r w:rsidRPr="001C43E1">
        <w:t xml:space="preserve">evel </w:t>
      </w:r>
      <w:r w:rsidR="00891AE2" w:rsidRPr="001C43E1">
        <w:t>p</w:t>
      </w:r>
      <w:r w:rsidRPr="001C43E1">
        <w:t xml:space="preserve">olitical </w:t>
      </w:r>
      <w:r w:rsidR="00891AE2" w:rsidRPr="001C43E1">
        <w:t>f</w:t>
      </w:r>
      <w:r w:rsidRPr="001C43E1">
        <w:t>orums respectively;</w:t>
      </w:r>
    </w:p>
    <w:p w:rsidR="00EA1D42" w:rsidRPr="001C43E1" w:rsidRDefault="00EA1D42">
      <w:pPr>
        <w:pStyle w:val="SingleTxtG"/>
        <w:ind w:firstLine="567"/>
      </w:pPr>
      <w:r w:rsidRPr="001C43E1">
        <w:t>4.</w:t>
      </w:r>
      <w:r w:rsidRPr="001C43E1">
        <w:tab/>
      </w:r>
      <w:r w:rsidRPr="001C43E1">
        <w:rPr>
          <w:i/>
        </w:rPr>
        <w:t>Requests</w:t>
      </w:r>
      <w:r w:rsidRPr="001C43E1">
        <w:t xml:space="preserve"> the United Nations High Commissioner for Human Ri</w:t>
      </w:r>
      <w:bookmarkStart w:id="1" w:name="_GoBack"/>
      <w:bookmarkEnd w:id="1"/>
      <w:r w:rsidRPr="001C43E1">
        <w:t>ghts to organize the two meetings in consultation with Member States, relevant United Nations agencies, funds and program</w:t>
      </w:r>
      <w:r w:rsidR="00891AE2" w:rsidRPr="001C43E1">
        <w:t>me</w:t>
      </w:r>
      <w:r w:rsidRPr="001C43E1">
        <w:t>s, international human rights mechanisms, national human rights institutions, civil society organizations and other relevant stakeholders</w:t>
      </w:r>
      <w:r w:rsidR="00891AE2" w:rsidRPr="001C43E1">
        <w:t>,</w:t>
      </w:r>
      <w:r w:rsidRPr="001C43E1">
        <w:t xml:space="preserve"> and to facilitate their participation in the two meetings</w:t>
      </w:r>
      <w:r w:rsidR="00891AE2" w:rsidRPr="001C43E1">
        <w:t>,</w:t>
      </w:r>
      <w:r w:rsidRPr="001C43E1">
        <w:t xml:space="preserve"> as appropriate;</w:t>
      </w:r>
    </w:p>
    <w:p w:rsidR="00EA1D42" w:rsidRPr="001C43E1" w:rsidRDefault="00EA1D42">
      <w:pPr>
        <w:pStyle w:val="SingleTxtG"/>
        <w:ind w:firstLine="567"/>
      </w:pPr>
      <w:r w:rsidRPr="001C43E1">
        <w:t>5.</w:t>
      </w:r>
      <w:r w:rsidRPr="001C43E1">
        <w:tab/>
      </w:r>
      <w:r w:rsidRPr="001C43E1">
        <w:rPr>
          <w:i/>
        </w:rPr>
        <w:t>Also requests</w:t>
      </w:r>
      <w:r w:rsidRPr="001C43E1">
        <w:t xml:space="preserve"> the High Commissioner to provide</w:t>
      </w:r>
      <w:r w:rsidR="00B375D8">
        <w:t>, for</w:t>
      </w:r>
      <w:r w:rsidRPr="001C43E1">
        <w:t xml:space="preserve"> the above-mentioned </w:t>
      </w:r>
      <w:r w:rsidRPr="000E6BD2">
        <w:rPr>
          <w:lang w:val="en-US"/>
        </w:rPr>
        <w:t>one-day inter-sessional</w:t>
      </w:r>
      <w:r w:rsidRPr="001C43E1">
        <w:t xml:space="preserve"> meetings</w:t>
      </w:r>
      <w:r w:rsidR="009B0E5D">
        <w:t>,</w:t>
      </w:r>
      <w:r w:rsidRPr="001C43E1">
        <w:t xml:space="preserve"> all the services and facilities necessary to make the discussions fully accessible to persons with disabilities;</w:t>
      </w:r>
    </w:p>
    <w:p w:rsidR="00EA1D42" w:rsidRPr="001C43E1" w:rsidRDefault="00EA1D42">
      <w:pPr>
        <w:pStyle w:val="SingleTxtG"/>
        <w:ind w:firstLine="567"/>
      </w:pPr>
      <w:r w:rsidRPr="001C43E1">
        <w:t>6.</w:t>
      </w:r>
      <w:r w:rsidRPr="001C43E1">
        <w:tab/>
      </w:r>
      <w:r w:rsidRPr="001C43E1">
        <w:rPr>
          <w:i/>
        </w:rPr>
        <w:t>Requests</w:t>
      </w:r>
      <w:r w:rsidRPr="001C43E1">
        <w:t xml:space="preserve"> the President of the Human Rights Council to appoint for each meeting, on the basis of regional rotation, and in consultation with regional groups, a chairperson of the meeting from candidates nominated by members and observers of the Council; </w:t>
      </w:r>
      <w:r w:rsidR="00B375D8">
        <w:t>t</w:t>
      </w:r>
      <w:r w:rsidRPr="001C43E1">
        <w:t>he chair, together with the Office of the High Commissioner, shall be responsible for the preparation of summary reports of the discussions of the meetings, to be made available to all its participants</w:t>
      </w:r>
      <w:r w:rsidR="00424FD6" w:rsidRPr="001C43E1">
        <w:t>,</w:t>
      </w:r>
      <w:r w:rsidRPr="001C43E1">
        <w:t xml:space="preserve"> and </w:t>
      </w:r>
      <w:r w:rsidR="00424FD6" w:rsidRPr="001053C7">
        <w:rPr>
          <w:lang w:val="en-US"/>
        </w:rPr>
        <w:t>for their presentation</w:t>
      </w:r>
      <w:r w:rsidRPr="001C43E1">
        <w:t xml:space="preserve"> to the Council at its </w:t>
      </w:r>
      <w:r w:rsidR="00424FD6" w:rsidRPr="001C43E1">
        <w:t>fortieth</w:t>
      </w:r>
      <w:r w:rsidRPr="001C43E1">
        <w:t xml:space="preserve"> and </w:t>
      </w:r>
      <w:r w:rsidR="00424FD6" w:rsidRPr="001C43E1">
        <w:t>forty-third</w:t>
      </w:r>
      <w:r w:rsidRPr="001C43E1">
        <w:t xml:space="preserve"> sessions</w:t>
      </w:r>
      <w:r w:rsidR="00B375D8">
        <w:t>,</w:t>
      </w:r>
      <w:r w:rsidRPr="001C43E1">
        <w:t xml:space="preserve"> respectively;</w:t>
      </w:r>
    </w:p>
    <w:p w:rsidR="00EA1D42" w:rsidRPr="001C43E1" w:rsidRDefault="00EA1D42">
      <w:pPr>
        <w:pStyle w:val="SingleTxtG"/>
        <w:ind w:firstLine="567"/>
      </w:pPr>
      <w:r w:rsidRPr="001C43E1">
        <w:t>7.</w:t>
      </w:r>
      <w:r w:rsidRPr="001C43E1">
        <w:tab/>
      </w:r>
      <w:r w:rsidRPr="001C43E1">
        <w:rPr>
          <w:i/>
        </w:rPr>
        <w:t>Decides</w:t>
      </w:r>
      <w:r w:rsidRPr="001C43E1">
        <w:t xml:space="preserve"> that the summary reports of the discussions of the two meetings should be made available to the </w:t>
      </w:r>
      <w:r w:rsidR="00891AE2" w:rsidRPr="001C43E1">
        <w:t>h</w:t>
      </w:r>
      <w:r w:rsidRPr="001C43E1">
        <w:t xml:space="preserve">igh-level </w:t>
      </w:r>
      <w:r w:rsidR="00891AE2" w:rsidRPr="001C43E1">
        <w:t>p</w:t>
      </w:r>
      <w:r w:rsidRPr="001C43E1">
        <w:t xml:space="preserve">olitical </w:t>
      </w:r>
      <w:r w:rsidR="00891AE2" w:rsidRPr="001C43E1">
        <w:t>f</w:t>
      </w:r>
      <w:r w:rsidRPr="001C43E1">
        <w:t>orum</w:t>
      </w:r>
      <w:r w:rsidR="00891AE2" w:rsidRPr="001C43E1">
        <w:t xml:space="preserve"> on sustainable development</w:t>
      </w:r>
      <w:r w:rsidRPr="001C43E1">
        <w:t>.</w:t>
      </w:r>
    </w:p>
    <w:p w:rsidR="00CF586F" w:rsidRPr="00C958FA" w:rsidRDefault="00EA1D42">
      <w:pPr>
        <w:spacing w:before="240"/>
        <w:ind w:left="1134" w:right="1134"/>
        <w:jc w:val="center"/>
        <w:rPr>
          <w:u w:val="single"/>
        </w:rPr>
      </w:pPr>
      <w:r w:rsidRPr="00C958FA">
        <w:rPr>
          <w:u w:val="single"/>
        </w:rPr>
        <w:tab/>
      </w:r>
      <w:r w:rsidRPr="00C958FA">
        <w:rPr>
          <w:u w:val="single"/>
        </w:rPr>
        <w:tab/>
      </w:r>
      <w:r w:rsidRPr="00C958FA">
        <w:rPr>
          <w:u w:val="single"/>
        </w:rPr>
        <w:tab/>
      </w:r>
      <w:r w:rsidR="00F265DE">
        <w:rPr>
          <w:u w:val="single"/>
        </w:rPr>
        <w:tab/>
      </w:r>
    </w:p>
    <w:sectPr w:rsidR="00CF586F" w:rsidRPr="00C958FA" w:rsidSect="00EA1D42">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20" w:rsidRDefault="00DD4120"/>
  </w:endnote>
  <w:endnote w:type="continuationSeparator" w:id="0">
    <w:p w:rsidR="00DD4120" w:rsidRDefault="00DD4120"/>
  </w:endnote>
  <w:endnote w:type="continuationNotice" w:id="1">
    <w:p w:rsidR="00DD4120" w:rsidRDefault="00DD4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D42" w:rsidRPr="00EA1D42" w:rsidRDefault="00EA1D42" w:rsidP="00EA1D42">
    <w:pPr>
      <w:pStyle w:val="Footer"/>
      <w:tabs>
        <w:tab w:val="right" w:pos="9638"/>
      </w:tabs>
      <w:rPr>
        <w:sz w:val="18"/>
      </w:rPr>
    </w:pPr>
    <w:r w:rsidRPr="00EA1D42">
      <w:rPr>
        <w:b/>
        <w:sz w:val="18"/>
      </w:rPr>
      <w:fldChar w:fldCharType="begin"/>
    </w:r>
    <w:r w:rsidRPr="00EA1D42">
      <w:rPr>
        <w:b/>
        <w:sz w:val="18"/>
      </w:rPr>
      <w:instrText xml:space="preserve"> PAGE  \* MERGEFORMAT </w:instrText>
    </w:r>
    <w:r w:rsidRPr="00EA1D42">
      <w:rPr>
        <w:b/>
        <w:sz w:val="18"/>
      </w:rPr>
      <w:fldChar w:fldCharType="separate"/>
    </w:r>
    <w:r w:rsidR="00007488">
      <w:rPr>
        <w:b/>
        <w:noProof/>
        <w:sz w:val="18"/>
      </w:rPr>
      <w:t>2</w:t>
    </w:r>
    <w:r w:rsidRPr="00EA1D4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D42" w:rsidRPr="00EA1D42" w:rsidRDefault="00EA1D42" w:rsidP="00EA1D42">
    <w:pPr>
      <w:pStyle w:val="Footer"/>
      <w:tabs>
        <w:tab w:val="right" w:pos="9638"/>
      </w:tabs>
      <w:rPr>
        <w:b/>
        <w:sz w:val="18"/>
      </w:rPr>
    </w:pPr>
    <w:r>
      <w:tab/>
    </w:r>
    <w:r w:rsidRPr="00EA1D42">
      <w:rPr>
        <w:b/>
        <w:sz w:val="18"/>
      </w:rPr>
      <w:fldChar w:fldCharType="begin"/>
    </w:r>
    <w:r w:rsidRPr="00EA1D42">
      <w:rPr>
        <w:b/>
        <w:sz w:val="18"/>
      </w:rPr>
      <w:instrText xml:space="preserve"> PAGE  \* MERGEFORMAT </w:instrText>
    </w:r>
    <w:r w:rsidRPr="00EA1D42">
      <w:rPr>
        <w:b/>
        <w:sz w:val="18"/>
      </w:rPr>
      <w:fldChar w:fldCharType="separate"/>
    </w:r>
    <w:r w:rsidR="001C43E1">
      <w:rPr>
        <w:b/>
        <w:noProof/>
        <w:sz w:val="18"/>
      </w:rPr>
      <w:t>3</w:t>
    </w:r>
    <w:r w:rsidRPr="00EA1D4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BA" w:rsidRDefault="001427BA" w:rsidP="001427BA">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427BA" w:rsidRDefault="001427BA" w:rsidP="001427BA">
    <w:pPr>
      <w:pStyle w:val="Footer"/>
      <w:ind w:right="1134"/>
      <w:rPr>
        <w:sz w:val="20"/>
      </w:rPr>
    </w:pPr>
    <w:r>
      <w:rPr>
        <w:sz w:val="20"/>
      </w:rPr>
      <w:t>GE.18-04204(E)</w:t>
    </w:r>
  </w:p>
  <w:p w:rsidR="001427BA" w:rsidRPr="001427BA" w:rsidRDefault="001427BA" w:rsidP="001427B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7/L.3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3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20" w:rsidRPr="000B175B" w:rsidRDefault="00DD4120" w:rsidP="000B175B">
      <w:pPr>
        <w:tabs>
          <w:tab w:val="right" w:pos="2155"/>
        </w:tabs>
        <w:spacing w:after="80"/>
        <w:ind w:left="680"/>
        <w:rPr>
          <w:u w:val="single"/>
        </w:rPr>
      </w:pPr>
      <w:r>
        <w:rPr>
          <w:u w:val="single"/>
        </w:rPr>
        <w:tab/>
      </w:r>
    </w:p>
  </w:footnote>
  <w:footnote w:type="continuationSeparator" w:id="0">
    <w:p w:rsidR="00DD4120" w:rsidRPr="00FC68B7" w:rsidRDefault="00DD4120" w:rsidP="00FC68B7">
      <w:pPr>
        <w:tabs>
          <w:tab w:val="left" w:pos="2155"/>
        </w:tabs>
        <w:spacing w:after="80"/>
        <w:ind w:left="680"/>
        <w:rPr>
          <w:u w:val="single"/>
        </w:rPr>
      </w:pPr>
      <w:r>
        <w:rPr>
          <w:u w:val="single"/>
        </w:rPr>
        <w:tab/>
      </w:r>
    </w:p>
  </w:footnote>
  <w:footnote w:type="continuationNotice" w:id="1">
    <w:p w:rsidR="00DD4120" w:rsidRDefault="00DD4120"/>
  </w:footnote>
  <w:footnote w:id="2">
    <w:p w:rsidR="00EA1D42" w:rsidRPr="00EA1D42" w:rsidRDefault="00EA1D42">
      <w:pPr>
        <w:pStyle w:val="FootnoteText"/>
      </w:pPr>
      <w:r>
        <w:rPr>
          <w:rStyle w:val="FootnoteReference"/>
        </w:rPr>
        <w:tab/>
      </w:r>
      <w:r w:rsidRPr="00F265DE">
        <w:rPr>
          <w:rStyle w:val="FootnoteReference"/>
          <w:szCs w:val="18"/>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D42" w:rsidRPr="00EA1D42" w:rsidRDefault="00306312">
    <w:pPr>
      <w:pStyle w:val="Header"/>
    </w:pPr>
    <w:r>
      <w:t>A/HRC/37/L.37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D42" w:rsidRPr="00EA1D42" w:rsidRDefault="00007488" w:rsidP="00EA1D42">
    <w:pPr>
      <w:pStyle w:val="Header"/>
      <w:jc w:val="right"/>
    </w:pPr>
    <w:r>
      <w:fldChar w:fldCharType="begin"/>
    </w:r>
    <w:r>
      <w:instrText xml:space="preserve"> TITLE  \* MERGEFORMAT </w:instrText>
    </w:r>
    <w:r>
      <w:fldChar w:fldCharType="separate"/>
    </w:r>
    <w:r>
      <w:t>1804204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A53E66"/>
    <w:multiLevelType w:val="hybridMultilevel"/>
    <w:tmpl w:val="18F4B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42"/>
    <w:rsid w:val="00007488"/>
    <w:rsid w:val="00007F7F"/>
    <w:rsid w:val="00022DB5"/>
    <w:rsid w:val="000403D1"/>
    <w:rsid w:val="000449AA"/>
    <w:rsid w:val="00050F6B"/>
    <w:rsid w:val="0005662A"/>
    <w:rsid w:val="000706FA"/>
    <w:rsid w:val="00072C8C"/>
    <w:rsid w:val="00073E70"/>
    <w:rsid w:val="00074354"/>
    <w:rsid w:val="000876EB"/>
    <w:rsid w:val="00091419"/>
    <w:rsid w:val="000931C0"/>
    <w:rsid w:val="000B175B"/>
    <w:rsid w:val="000B2851"/>
    <w:rsid w:val="000B3A0F"/>
    <w:rsid w:val="000B4A3B"/>
    <w:rsid w:val="000C59D8"/>
    <w:rsid w:val="000D1851"/>
    <w:rsid w:val="000E0415"/>
    <w:rsid w:val="000E6BD2"/>
    <w:rsid w:val="001053C7"/>
    <w:rsid w:val="001427BA"/>
    <w:rsid w:val="00146D32"/>
    <w:rsid w:val="001509BA"/>
    <w:rsid w:val="00167448"/>
    <w:rsid w:val="001B4B04"/>
    <w:rsid w:val="001C43E1"/>
    <w:rsid w:val="001C6663"/>
    <w:rsid w:val="001C7895"/>
    <w:rsid w:val="001D26DF"/>
    <w:rsid w:val="001E2790"/>
    <w:rsid w:val="00211E0B"/>
    <w:rsid w:val="00211E72"/>
    <w:rsid w:val="00214047"/>
    <w:rsid w:val="0022130F"/>
    <w:rsid w:val="00226F82"/>
    <w:rsid w:val="00237785"/>
    <w:rsid w:val="002410DD"/>
    <w:rsid w:val="00241466"/>
    <w:rsid w:val="00253D58"/>
    <w:rsid w:val="0027725F"/>
    <w:rsid w:val="002A4773"/>
    <w:rsid w:val="002A7BAB"/>
    <w:rsid w:val="002C21F0"/>
    <w:rsid w:val="00306312"/>
    <w:rsid w:val="003107FA"/>
    <w:rsid w:val="003229D8"/>
    <w:rsid w:val="003314D1"/>
    <w:rsid w:val="00335A2F"/>
    <w:rsid w:val="00341937"/>
    <w:rsid w:val="0039277A"/>
    <w:rsid w:val="003972E0"/>
    <w:rsid w:val="003975ED"/>
    <w:rsid w:val="003C2CC4"/>
    <w:rsid w:val="003D4B23"/>
    <w:rsid w:val="003D5150"/>
    <w:rsid w:val="00424C80"/>
    <w:rsid w:val="00424FD6"/>
    <w:rsid w:val="004325CB"/>
    <w:rsid w:val="0044503A"/>
    <w:rsid w:val="00446DE4"/>
    <w:rsid w:val="00447761"/>
    <w:rsid w:val="00451EC3"/>
    <w:rsid w:val="004721B1"/>
    <w:rsid w:val="004859EC"/>
    <w:rsid w:val="00496A15"/>
    <w:rsid w:val="004A5D02"/>
    <w:rsid w:val="004B75D2"/>
    <w:rsid w:val="004D1140"/>
    <w:rsid w:val="004F55ED"/>
    <w:rsid w:val="0052176C"/>
    <w:rsid w:val="005261E5"/>
    <w:rsid w:val="0053520C"/>
    <w:rsid w:val="00540B66"/>
    <w:rsid w:val="005420F2"/>
    <w:rsid w:val="00542574"/>
    <w:rsid w:val="005436AB"/>
    <w:rsid w:val="00546924"/>
    <w:rsid w:val="00546DBF"/>
    <w:rsid w:val="005527C9"/>
    <w:rsid w:val="00553D76"/>
    <w:rsid w:val="005552B5"/>
    <w:rsid w:val="0056117B"/>
    <w:rsid w:val="00562621"/>
    <w:rsid w:val="00571365"/>
    <w:rsid w:val="005A0E16"/>
    <w:rsid w:val="005B230B"/>
    <w:rsid w:val="005B3DB3"/>
    <w:rsid w:val="005B6E48"/>
    <w:rsid w:val="005D53BE"/>
    <w:rsid w:val="005E0568"/>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6F6E8F"/>
    <w:rsid w:val="007065EB"/>
    <w:rsid w:val="0071481E"/>
    <w:rsid w:val="00720183"/>
    <w:rsid w:val="0072632A"/>
    <w:rsid w:val="007379B7"/>
    <w:rsid w:val="0074200B"/>
    <w:rsid w:val="007619BF"/>
    <w:rsid w:val="00762563"/>
    <w:rsid w:val="00792854"/>
    <w:rsid w:val="007A6296"/>
    <w:rsid w:val="007A79E4"/>
    <w:rsid w:val="007B6BA5"/>
    <w:rsid w:val="007C1B62"/>
    <w:rsid w:val="007C3390"/>
    <w:rsid w:val="007C4F4B"/>
    <w:rsid w:val="007D2CDC"/>
    <w:rsid w:val="007D5327"/>
    <w:rsid w:val="007F6611"/>
    <w:rsid w:val="008127C9"/>
    <w:rsid w:val="008155C3"/>
    <w:rsid w:val="008175E9"/>
    <w:rsid w:val="0082243E"/>
    <w:rsid w:val="008242D7"/>
    <w:rsid w:val="00856CD2"/>
    <w:rsid w:val="00861BC6"/>
    <w:rsid w:val="00871FD5"/>
    <w:rsid w:val="008847BB"/>
    <w:rsid w:val="00891AE2"/>
    <w:rsid w:val="008979B1"/>
    <w:rsid w:val="008A4789"/>
    <w:rsid w:val="008A6B25"/>
    <w:rsid w:val="008A6C4F"/>
    <w:rsid w:val="008C1E4D"/>
    <w:rsid w:val="008D4BB0"/>
    <w:rsid w:val="008E0E46"/>
    <w:rsid w:val="0090452C"/>
    <w:rsid w:val="00907C3F"/>
    <w:rsid w:val="0092237C"/>
    <w:rsid w:val="0093707B"/>
    <w:rsid w:val="009400EB"/>
    <w:rsid w:val="0094026E"/>
    <w:rsid w:val="009427E3"/>
    <w:rsid w:val="00946575"/>
    <w:rsid w:val="00956D9B"/>
    <w:rsid w:val="00963CBA"/>
    <w:rsid w:val="009654B7"/>
    <w:rsid w:val="00991261"/>
    <w:rsid w:val="009A0B83"/>
    <w:rsid w:val="009B0E5D"/>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B07FB"/>
    <w:rsid w:val="00AC41DA"/>
    <w:rsid w:val="00AC5AE2"/>
    <w:rsid w:val="00AD09E9"/>
    <w:rsid w:val="00AF0576"/>
    <w:rsid w:val="00AF3829"/>
    <w:rsid w:val="00B037F0"/>
    <w:rsid w:val="00B2327D"/>
    <w:rsid w:val="00B2718F"/>
    <w:rsid w:val="00B30179"/>
    <w:rsid w:val="00B3317B"/>
    <w:rsid w:val="00B334DC"/>
    <w:rsid w:val="00B3631A"/>
    <w:rsid w:val="00B375D8"/>
    <w:rsid w:val="00B53013"/>
    <w:rsid w:val="00B67F5E"/>
    <w:rsid w:val="00B7199C"/>
    <w:rsid w:val="00B73E65"/>
    <w:rsid w:val="00B81E12"/>
    <w:rsid w:val="00B87110"/>
    <w:rsid w:val="00B97FA8"/>
    <w:rsid w:val="00BC1385"/>
    <w:rsid w:val="00BC74E9"/>
    <w:rsid w:val="00BE618E"/>
    <w:rsid w:val="00BE655C"/>
    <w:rsid w:val="00C217E7"/>
    <w:rsid w:val="00C24693"/>
    <w:rsid w:val="00C35F0B"/>
    <w:rsid w:val="00C463DD"/>
    <w:rsid w:val="00C64458"/>
    <w:rsid w:val="00C67A4F"/>
    <w:rsid w:val="00C745C3"/>
    <w:rsid w:val="00C958FA"/>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4120"/>
    <w:rsid w:val="00DE3EC0"/>
    <w:rsid w:val="00E11593"/>
    <w:rsid w:val="00E12119"/>
    <w:rsid w:val="00E12B6B"/>
    <w:rsid w:val="00E130AB"/>
    <w:rsid w:val="00E2086C"/>
    <w:rsid w:val="00E438D9"/>
    <w:rsid w:val="00E5644E"/>
    <w:rsid w:val="00E7260F"/>
    <w:rsid w:val="00E806EE"/>
    <w:rsid w:val="00E96630"/>
    <w:rsid w:val="00EA1D42"/>
    <w:rsid w:val="00EB0FB9"/>
    <w:rsid w:val="00EB3314"/>
    <w:rsid w:val="00ED0CA9"/>
    <w:rsid w:val="00ED7A2A"/>
    <w:rsid w:val="00EF1D7F"/>
    <w:rsid w:val="00EF5BDB"/>
    <w:rsid w:val="00F024BB"/>
    <w:rsid w:val="00F07FD9"/>
    <w:rsid w:val="00F14187"/>
    <w:rsid w:val="00F23933"/>
    <w:rsid w:val="00F24119"/>
    <w:rsid w:val="00F265DE"/>
    <w:rsid w:val="00F40E75"/>
    <w:rsid w:val="00F42CD9"/>
    <w:rsid w:val="00F52936"/>
    <w:rsid w:val="00F54083"/>
    <w:rsid w:val="00F677CB"/>
    <w:rsid w:val="00F67B04"/>
    <w:rsid w:val="00FA17E2"/>
    <w:rsid w:val="00FA7DF3"/>
    <w:rsid w:val="00FC68B7"/>
    <w:rsid w:val="00FD7C12"/>
    <w:rsid w:val="00FE064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20794E9D-2692-4E12-877E-2E081783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94026E"/>
    <w:rPr>
      <w:sz w:val="16"/>
      <w:szCs w:val="16"/>
    </w:rPr>
  </w:style>
  <w:style w:type="paragraph" w:styleId="CommentText">
    <w:name w:val="annotation text"/>
    <w:basedOn w:val="Normal"/>
    <w:link w:val="CommentTextChar"/>
    <w:semiHidden/>
    <w:unhideWhenUsed/>
    <w:rsid w:val="0094026E"/>
    <w:pPr>
      <w:spacing w:line="240" w:lineRule="auto"/>
    </w:pPr>
  </w:style>
  <w:style w:type="character" w:customStyle="1" w:styleId="CommentTextChar">
    <w:name w:val="Comment Text Char"/>
    <w:basedOn w:val="DefaultParagraphFont"/>
    <w:link w:val="CommentText"/>
    <w:semiHidden/>
    <w:rsid w:val="0094026E"/>
    <w:rPr>
      <w:lang w:eastAsia="en-US"/>
    </w:rPr>
  </w:style>
  <w:style w:type="paragraph" w:styleId="CommentSubject">
    <w:name w:val="annotation subject"/>
    <w:basedOn w:val="CommentText"/>
    <w:next w:val="CommentText"/>
    <w:link w:val="CommentSubjectChar"/>
    <w:semiHidden/>
    <w:unhideWhenUsed/>
    <w:rsid w:val="0094026E"/>
    <w:rPr>
      <w:b/>
      <w:bCs/>
    </w:rPr>
  </w:style>
  <w:style w:type="character" w:customStyle="1" w:styleId="CommentSubjectChar">
    <w:name w:val="Comment Subject Char"/>
    <w:basedOn w:val="CommentTextChar"/>
    <w:link w:val="CommentSubject"/>
    <w:semiHidden/>
    <w:rsid w:val="0094026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03F2-0B99-4489-A15C-AFB88AE0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879</Words>
  <Characters>5376</Characters>
  <Application>Microsoft Office Word</Application>
  <DocSecurity>0</DocSecurity>
  <Lines>97</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A/HRC/37/L.37</vt:lpstr>
      <vt:lpstr>A/HRC/37/L.37</vt:lpstr>
    </vt:vector>
  </TitlesOfParts>
  <Company>CSD</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1804204</dc:title>
  <dc:subject>A/HRC/37/L.37</dc:subject>
  <dc:creator>Sumiko IHARA</dc:creator>
  <cp:keywords/>
  <dc:description/>
  <cp:lastModifiedBy>Generic Pdf eng</cp:lastModifiedBy>
  <cp:revision>3</cp:revision>
  <cp:lastPrinted>2018-03-19T15:55:00Z</cp:lastPrinted>
  <dcterms:created xsi:type="dcterms:W3CDTF">2018-03-19T15:55:00Z</dcterms:created>
  <dcterms:modified xsi:type="dcterms:W3CDTF">2018-03-19T15:55:00Z</dcterms:modified>
</cp:coreProperties>
</file>