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4DA97201"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C522FA6" w14:textId="0914C988" w:rsidR="00E52109" w:rsidRDefault="00150C8B" w:rsidP="00316281">
            <w:pPr>
              <w:suppressAutoHyphens w:val="0"/>
              <w:spacing w:after="20"/>
              <w:jc w:val="right"/>
            </w:pPr>
            <w:r w:rsidRPr="00150C8B">
              <w:rPr>
                <w:sz w:val="40"/>
              </w:rPr>
              <w:t>A</w:t>
            </w:r>
            <w:r>
              <w:t>/HRC/</w:t>
            </w:r>
            <w:r w:rsidR="00316281" w:rsidRPr="00316281">
              <w:t>5</w:t>
            </w:r>
            <w:r w:rsidR="00586B41">
              <w:t>3</w:t>
            </w:r>
            <w:r>
              <w:t>/NI/</w:t>
            </w:r>
            <w:r w:rsidR="00316281">
              <w:t>3</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2CA6E931"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2B26BC87" w:rsidR="00E52109" w:rsidRDefault="00A63CD1" w:rsidP="0040017C">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16E9E574" w:rsidR="00150C8B" w:rsidRPr="00316281" w:rsidRDefault="00A722A0" w:rsidP="00150C8B">
            <w:pPr>
              <w:suppressAutoHyphens w:val="0"/>
            </w:pPr>
            <w:r>
              <w:t>1</w:t>
            </w:r>
            <w:r w:rsidR="00B44BE2">
              <w:t>9</w:t>
            </w:r>
            <w:r>
              <w:t xml:space="preserve"> June 2023</w:t>
            </w:r>
          </w:p>
          <w:p w14:paraId="3A12F471" w14:textId="77777777" w:rsidR="00150C8B" w:rsidRDefault="00150C8B" w:rsidP="00150C8B">
            <w:pPr>
              <w:suppressAutoHyphens w:val="0"/>
            </w:pPr>
          </w:p>
          <w:p w14:paraId="04386301" w14:textId="3592AB7D" w:rsidR="00150C8B" w:rsidRDefault="00150C8B" w:rsidP="00316281">
            <w:pPr>
              <w:suppressAutoHyphens w:val="0"/>
            </w:pPr>
            <w:r>
              <w:t xml:space="preserve">Original: </w:t>
            </w:r>
            <w:r w:rsidR="00316281" w:rsidRPr="00316281">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32D83C6F" w14:textId="77777777" w:rsidR="00586B41" w:rsidRPr="00653A55" w:rsidRDefault="00586B41" w:rsidP="00586B41">
      <w:pPr>
        <w:tabs>
          <w:tab w:val="right" w:pos="1701"/>
        </w:tabs>
        <w:spacing w:line="240" w:lineRule="auto"/>
        <w:rPr>
          <w:b/>
          <w:bCs/>
          <w:lang w:val="en-US"/>
        </w:rPr>
      </w:pPr>
      <w:r w:rsidRPr="00653A55">
        <w:rPr>
          <w:b/>
          <w:bCs/>
          <w:lang w:val="en-US"/>
        </w:rPr>
        <w:t>Fifty-third session</w:t>
      </w:r>
    </w:p>
    <w:p w14:paraId="2C9349BD" w14:textId="77777777" w:rsidR="00586B41" w:rsidRPr="00653A55" w:rsidRDefault="00586B41" w:rsidP="00586B41">
      <w:pPr>
        <w:rPr>
          <w:b/>
          <w:bCs/>
          <w:lang w:val="en-US"/>
        </w:rPr>
      </w:pPr>
      <w:r w:rsidRPr="00653A55">
        <w:rPr>
          <w:lang w:val="en-US"/>
        </w:rPr>
        <w:t>19 June–14 July 2023</w:t>
      </w:r>
    </w:p>
    <w:p w14:paraId="66679A17" w14:textId="78BD27CE" w:rsidR="00150C8B" w:rsidRPr="0016350D" w:rsidRDefault="00150C8B" w:rsidP="00150C8B">
      <w:r w:rsidRPr="0016350D">
        <w:t xml:space="preserve">Agenda item </w:t>
      </w:r>
      <w:r w:rsidR="00A722A0">
        <w:t>10</w:t>
      </w:r>
    </w:p>
    <w:p w14:paraId="1B84BF3B" w14:textId="740B1FE0" w:rsidR="00150C8B" w:rsidRPr="001820EE" w:rsidRDefault="00A722A0" w:rsidP="00726529">
      <w:pPr>
        <w:rPr>
          <w:b/>
        </w:rPr>
      </w:pPr>
      <w:r>
        <w:rPr>
          <w:b/>
        </w:rPr>
        <w:t>Technical assistance and capacity building</w:t>
      </w:r>
    </w:p>
    <w:p w14:paraId="4EA8E990" w14:textId="773DC70E" w:rsidR="00150C8B" w:rsidRPr="0016350D" w:rsidRDefault="00150C8B" w:rsidP="002711C8">
      <w:pPr>
        <w:pStyle w:val="HChG"/>
        <w:jc w:val="both"/>
      </w:pPr>
      <w:r w:rsidRPr="0016350D">
        <w:tab/>
      </w:r>
      <w:r w:rsidRPr="0016350D">
        <w:tab/>
        <w:t xml:space="preserve">Written submission by the </w:t>
      </w:r>
      <w:r w:rsidR="00A722A0">
        <w:t>Public Defender’s Office of Georgia</w:t>
      </w:r>
      <w:r w:rsidR="00316281" w:rsidRPr="00316281">
        <w:rPr>
          <w:rFonts w:eastAsia="Times New Roman"/>
          <w:b w:val="0"/>
          <w:sz w:val="20"/>
        </w:rPr>
        <w:footnoteReference w:customMarkFollows="1" w:id="2"/>
        <w:sym w:font="Symbol" w:char="F02A"/>
      </w:r>
    </w:p>
    <w:p w14:paraId="41151CD1" w14:textId="77777777" w:rsidR="00150C8B" w:rsidRPr="0016350D" w:rsidRDefault="00150C8B" w:rsidP="00290262">
      <w:pPr>
        <w:pStyle w:val="H1G"/>
      </w:pPr>
      <w:r w:rsidRPr="0016350D">
        <w:tab/>
      </w:r>
      <w:r w:rsidRPr="0016350D">
        <w:tab/>
        <w:t>Note by the Secretariat</w:t>
      </w:r>
    </w:p>
    <w:p w14:paraId="61FF6028" w14:textId="7A67BB0B" w:rsidR="00150C8B" w:rsidRPr="0016350D" w:rsidRDefault="00150C8B" w:rsidP="00726529">
      <w:pPr>
        <w:pStyle w:val="SingleTxtG"/>
      </w:pPr>
      <w:r>
        <w:tab/>
      </w:r>
      <w:r w:rsidRPr="0016350D">
        <w:t xml:space="preserve">The </w:t>
      </w:r>
      <w:r w:rsidR="0030300B">
        <w:t>s</w:t>
      </w:r>
      <w:r w:rsidRPr="0016350D">
        <w:t xml:space="preserve">ecretariat has the honour to transmit to the Human Rights Council the written submission by the </w:t>
      </w:r>
      <w:r w:rsidR="00A722A0">
        <w:t>Public Defender’s Office of Georgia</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3086FEE5" w14:textId="77777777" w:rsidR="00316281" w:rsidRPr="00316281" w:rsidRDefault="00150C8B" w:rsidP="00316281">
      <w:pPr>
        <w:pStyle w:val="HChG"/>
        <w:jc w:val="both"/>
        <w:rPr>
          <w:rFonts w:eastAsia="Times New Roman"/>
          <w:lang w:eastAsia="en-GB"/>
        </w:rPr>
      </w:pPr>
      <w:r w:rsidRPr="0016350D">
        <w:br w:type="page"/>
      </w:r>
      <w:r w:rsidR="00316281" w:rsidRPr="00316281">
        <w:rPr>
          <w:rFonts w:eastAsia="Times New Roman"/>
          <w:lang w:eastAsia="en-GB"/>
        </w:rPr>
        <w:lastRenderedPageBreak/>
        <w:t>Annex</w:t>
      </w:r>
    </w:p>
    <w:p w14:paraId="45ED5A8D" w14:textId="4EA56E86" w:rsidR="00316281" w:rsidRPr="00316281" w:rsidRDefault="00316281" w:rsidP="00316281">
      <w:pPr>
        <w:keepNext/>
        <w:keepLines/>
        <w:tabs>
          <w:tab w:val="right" w:pos="851"/>
        </w:tabs>
        <w:suppressAutoHyphens w:val="0"/>
        <w:kinsoku/>
        <w:overflowPunct/>
        <w:autoSpaceDE/>
        <w:autoSpaceDN/>
        <w:adjustRightInd/>
        <w:snapToGrid/>
        <w:spacing w:before="360" w:after="240" w:line="300" w:lineRule="exact"/>
        <w:ind w:left="1134" w:right="1134" w:hanging="1134"/>
        <w:jc w:val="both"/>
        <w:rPr>
          <w:rFonts w:eastAsia="Times New Roman"/>
          <w:b/>
          <w:sz w:val="28"/>
        </w:rPr>
      </w:pPr>
      <w:r w:rsidRPr="00316281">
        <w:rPr>
          <w:rFonts w:eastAsia="Times New Roman"/>
          <w:b/>
          <w:sz w:val="28"/>
        </w:rPr>
        <w:tab/>
      </w:r>
      <w:r w:rsidRPr="00316281">
        <w:rPr>
          <w:rFonts w:eastAsia="Times New Roman"/>
          <w:b/>
          <w:sz w:val="28"/>
        </w:rPr>
        <w:tab/>
        <w:t xml:space="preserve">Written statement by </w:t>
      </w:r>
      <w:r w:rsidR="00E25060">
        <w:rPr>
          <w:rFonts w:eastAsia="Times New Roman"/>
          <w:b/>
          <w:sz w:val="28"/>
        </w:rPr>
        <w:t xml:space="preserve">the </w:t>
      </w:r>
      <w:r w:rsidR="00A722A0">
        <w:rPr>
          <w:rFonts w:eastAsia="Times New Roman"/>
          <w:b/>
          <w:sz w:val="28"/>
        </w:rPr>
        <w:t>Public Defender’s Office of Georgia</w:t>
      </w:r>
      <w:r>
        <w:rPr>
          <w:rFonts w:eastAsia="Times New Roman"/>
          <w:b/>
          <w:sz w:val="28"/>
        </w:rPr>
        <w:t xml:space="preserve"> </w:t>
      </w:r>
    </w:p>
    <w:p w14:paraId="208EDFD6" w14:textId="0F868D54" w:rsidR="00AF7B1A" w:rsidRPr="00A722A0" w:rsidRDefault="00316281" w:rsidP="00A722A0">
      <w:pPr>
        <w:pStyle w:val="HChG"/>
        <w:rPr>
          <w:rFonts w:eastAsia="Times New Roman"/>
          <w:sz w:val="24"/>
        </w:rPr>
      </w:pPr>
      <w:r w:rsidRPr="00316281">
        <w:rPr>
          <w:rFonts w:eastAsia="Times New Roman"/>
          <w:sz w:val="24"/>
        </w:rPr>
        <w:tab/>
      </w:r>
      <w:r w:rsidRPr="00316281">
        <w:rPr>
          <w:rFonts w:eastAsia="Times New Roman"/>
          <w:sz w:val="24"/>
        </w:rPr>
        <w:tab/>
      </w:r>
      <w:r w:rsidRPr="00316281">
        <w:rPr>
          <w:rFonts w:eastAsia="Times New Roman"/>
          <w:sz w:val="24"/>
        </w:rPr>
        <w:tab/>
      </w:r>
      <w:r w:rsidR="00A722A0">
        <w:rPr>
          <w:rFonts w:eastAsia="Times New Roman"/>
          <w:sz w:val="24"/>
        </w:rPr>
        <w:t>Submission to the OHCHR pursuant to the Human Rights Council Resolution on “Cooperation with Georgia"</w:t>
      </w:r>
      <w:r>
        <w:rPr>
          <w:rFonts w:eastAsia="Times New Roman"/>
          <w:sz w:val="24"/>
        </w:rPr>
        <w:t xml:space="preserve"> </w:t>
      </w:r>
    </w:p>
    <w:p w14:paraId="01A84DC6" w14:textId="0753780F" w:rsidR="00316281" w:rsidRDefault="00A722A0" w:rsidP="00AF7B1A">
      <w:pPr>
        <w:pStyle w:val="ParaNoG"/>
        <w:numPr>
          <w:ilvl w:val="0"/>
          <w:numId w:val="0"/>
        </w:numPr>
        <w:ind w:left="1134"/>
        <w:rPr>
          <w:rFonts w:asciiTheme="majorBidi" w:eastAsia="Times New Roman" w:hAnsiTheme="majorBidi" w:cstheme="majorBidi"/>
        </w:rPr>
      </w:pPr>
      <w:r w:rsidRPr="00A722A0">
        <w:rPr>
          <w:rFonts w:asciiTheme="majorBidi" w:eastAsia="Times New Roman" w:hAnsiTheme="majorBidi" w:cstheme="majorBidi"/>
        </w:rPr>
        <w:t>The present written submission by the Public Defender’s Office of Georgia (hereinafter PDO) focuses on the human rights and humanitarian situation in Georgia’s occupied regions of Abkhazia and South Ossetia/Tskhinvali region, as well as human rights issues on the rest of Georgia’s territory</w:t>
      </w:r>
      <w:r w:rsidR="00316281" w:rsidRPr="00316281">
        <w:rPr>
          <w:rFonts w:asciiTheme="majorBidi" w:eastAsia="Times New Roman" w:hAnsiTheme="majorBidi" w:cstheme="majorBidi"/>
        </w:rPr>
        <w:t>.</w:t>
      </w:r>
    </w:p>
    <w:p w14:paraId="40E06593" w14:textId="62DBED5F" w:rsidR="00AF7B1A" w:rsidRPr="00AF7B1A" w:rsidRDefault="00180B2E" w:rsidP="00B738B1">
      <w:pPr>
        <w:pStyle w:val="ParaNoG"/>
        <w:numPr>
          <w:ilvl w:val="0"/>
          <w:numId w:val="14"/>
        </w:numPr>
        <w:rPr>
          <w:rFonts w:asciiTheme="majorBidi" w:eastAsia="Times New Roman" w:hAnsiTheme="majorBidi" w:cstheme="majorBidi"/>
          <w:b/>
        </w:rPr>
      </w:pPr>
      <w:r>
        <w:rPr>
          <w:rFonts w:asciiTheme="majorBidi" w:eastAsia="Times New Roman" w:hAnsiTheme="majorBidi" w:cstheme="majorBidi"/>
          <w:b/>
        </w:rPr>
        <w:t>Administration of justice</w:t>
      </w:r>
    </w:p>
    <w:p w14:paraId="5EB52517" w14:textId="1C4430C3" w:rsidR="00AF7B1A" w:rsidRDefault="00180B2E"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80B2E">
        <w:rPr>
          <w:rFonts w:asciiTheme="majorBidi" w:eastAsia="Times New Roman" w:hAnsiTheme="majorBidi" w:cstheme="majorBidi"/>
        </w:rPr>
        <w:t>In annual report dated 12 July 2022, OHCHR recommended the Government of Georgia to take legislative steps to ensure the independence of the judiciary. The Public Defender of Georgia</w:t>
      </w:r>
      <w:r w:rsidRPr="00180B2E">
        <w:rPr>
          <w:rFonts w:asciiTheme="majorBidi" w:eastAsia="Times New Roman" w:hAnsiTheme="majorBidi" w:cstheme="majorBidi"/>
          <w:lang w:val="ka-GE"/>
        </w:rPr>
        <w:t xml:space="preserve"> </w:t>
      </w:r>
      <w:r w:rsidRPr="00180B2E">
        <w:rPr>
          <w:rFonts w:asciiTheme="majorBidi" w:eastAsia="Times New Roman" w:hAnsiTheme="majorBidi" w:cstheme="majorBidi"/>
        </w:rPr>
        <w:t>has also proposed to the Parliament of Georgia to take legislative steps for judicial reform</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4"/>
      </w:r>
      <w:r w:rsidR="00AF7B1A" w:rsidRPr="00AF7B1A">
        <w:rPr>
          <w:rFonts w:asciiTheme="majorBidi" w:eastAsia="Times New Roman" w:hAnsiTheme="majorBidi" w:cstheme="majorBidi"/>
        </w:rPr>
        <w:t xml:space="preserve"> </w:t>
      </w:r>
    </w:p>
    <w:p w14:paraId="5EB70890" w14:textId="73A85F3B" w:rsidR="00AF7B1A" w:rsidRPr="00180B2E" w:rsidRDefault="00180B2E" w:rsidP="00180B2E">
      <w:pPr>
        <w:suppressAutoHyphens w:val="0"/>
        <w:kinsoku/>
        <w:overflowPunct/>
        <w:autoSpaceDE/>
        <w:autoSpaceDN/>
        <w:adjustRightInd/>
        <w:snapToGrid/>
        <w:spacing w:after="120" w:line="240" w:lineRule="auto"/>
        <w:ind w:left="1134" w:right="1134"/>
        <w:jc w:val="both"/>
        <w:rPr>
          <w:rFonts w:asciiTheme="minorHAnsi" w:eastAsia="Times New Roman" w:hAnsiTheme="minorHAnsi" w:cstheme="majorBidi"/>
          <w:lang w:val="ka-GE"/>
        </w:rPr>
      </w:pPr>
      <w:r w:rsidRPr="00180B2E">
        <w:rPr>
          <w:rFonts w:asciiTheme="majorBidi" w:eastAsia="Times New Roman" w:hAnsiTheme="majorBidi" w:cstheme="majorBidi"/>
        </w:rPr>
        <w:t xml:space="preserve">Some of those proposals which until now have not been positively resolved concern the following issues:1) The need to change the </w:t>
      </w:r>
      <w:r w:rsidRPr="00180B2E">
        <w:rPr>
          <w:rFonts w:asciiTheme="majorBidi" w:eastAsia="Times New Roman" w:hAnsiTheme="majorBidi" w:cstheme="majorBidi"/>
          <w:lang w:val="ka-GE"/>
        </w:rPr>
        <w:t xml:space="preserve">decision making </w:t>
      </w:r>
      <w:r w:rsidRPr="00180B2E">
        <w:rPr>
          <w:rFonts w:asciiTheme="majorBidi" w:eastAsia="Times New Roman" w:hAnsiTheme="majorBidi" w:cstheme="majorBidi"/>
        </w:rPr>
        <w:t xml:space="preserve">rule </w:t>
      </w:r>
      <w:r w:rsidRPr="00180B2E">
        <w:rPr>
          <w:rFonts w:asciiTheme="majorBidi" w:eastAsia="Times New Roman" w:hAnsiTheme="majorBidi" w:cstheme="majorBidi"/>
          <w:lang w:val="ka-GE"/>
        </w:rPr>
        <w:t>in the High Council of Justice</w:t>
      </w:r>
      <w:r w:rsidRPr="00180B2E">
        <w:rPr>
          <w:rFonts w:asciiTheme="majorBidi" w:eastAsia="Times New Roman" w:hAnsiTheme="majorBidi" w:cstheme="majorBidi"/>
        </w:rPr>
        <w:t xml:space="preserve"> (hereinafter HCJ) into </w:t>
      </w:r>
      <w:r w:rsidRPr="00180B2E">
        <w:rPr>
          <w:rFonts w:asciiTheme="majorBidi" w:eastAsia="Times New Roman" w:hAnsiTheme="majorBidi" w:cstheme="majorBidi"/>
          <w:lang w:val="ka-GE"/>
        </w:rPr>
        <w:t xml:space="preserve">the principle of double majority (with the support of 2/3 of judge members and 2/3 of non- judge members) for any decision; </w:t>
      </w:r>
      <w:r w:rsidRPr="00180B2E">
        <w:rPr>
          <w:rFonts w:asciiTheme="majorBidi" w:eastAsia="Times New Roman" w:hAnsiTheme="majorBidi" w:cstheme="majorBidi"/>
        </w:rPr>
        <w:t>2)  The need to prescribe by law that</w:t>
      </w:r>
      <w:r w:rsidRPr="00180B2E">
        <w:rPr>
          <w:rFonts w:asciiTheme="majorBidi" w:eastAsia="Times New Roman" w:hAnsiTheme="majorBidi" w:cstheme="majorBidi"/>
          <w:lang w:val="ka-GE"/>
        </w:rPr>
        <w:t>,</w:t>
      </w:r>
      <w:r w:rsidRPr="00180B2E">
        <w:rPr>
          <w:rFonts w:asciiTheme="majorBidi" w:eastAsia="Times New Roman" w:hAnsiTheme="majorBidi" w:cstheme="majorBidi"/>
        </w:rPr>
        <w:t xml:space="preserve"> for the review of a case by a panel/chamber, the composition of a panel/chamber be determined by an electronic case distribution system, rather than a court chairperson</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5"/>
      </w:r>
      <w:r w:rsidR="00AF7B1A" w:rsidRPr="00AF7B1A">
        <w:rPr>
          <w:rFonts w:asciiTheme="majorBidi" w:eastAsia="Times New Roman" w:hAnsiTheme="majorBidi" w:cstheme="majorBidi"/>
        </w:rPr>
        <w:t xml:space="preserve">  </w:t>
      </w:r>
      <w:r w:rsidRPr="00180B2E">
        <w:rPr>
          <w:rFonts w:asciiTheme="majorBidi" w:eastAsia="Times New Roman" w:hAnsiTheme="majorBidi" w:cstheme="majorBidi"/>
        </w:rPr>
        <w:t>3) The need to reform the current procedure of electing presidents of courts (or of a section or a chamber), so that they are elected by individual judges instead of the HCJ,</w:t>
      </w:r>
      <w:r w:rsidRPr="00180B2E">
        <w:rPr>
          <w:rFonts w:asciiTheme="majorBidi" w:eastAsia="Times New Roman" w:hAnsiTheme="majorBidi" w:cstheme="majorBidi"/>
          <w:lang w:val="ka-GE"/>
        </w:rPr>
        <w:t xml:space="preserve"> </w:t>
      </w:r>
      <w:r w:rsidRPr="00180B2E">
        <w:rPr>
          <w:rFonts w:asciiTheme="majorBidi" w:eastAsia="Times New Roman" w:hAnsiTheme="majorBidi" w:cstheme="majorBidi"/>
        </w:rPr>
        <w:t>etc.</w:t>
      </w:r>
    </w:p>
    <w:p w14:paraId="045438BB" w14:textId="33FAF65F" w:rsidR="00AF7B1A" w:rsidRDefault="00180B2E" w:rsidP="00B738B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Pr>
          <w:rFonts w:asciiTheme="majorBidi" w:eastAsia="Times New Roman" w:hAnsiTheme="majorBidi" w:cstheme="majorBidi"/>
          <w:b/>
        </w:rPr>
        <w:t>Combatting discrimination</w:t>
      </w:r>
    </w:p>
    <w:p w14:paraId="56024FD1" w14:textId="35A637CB" w:rsidR="00180B2E" w:rsidRPr="00180B2E" w:rsidRDefault="00180B2E" w:rsidP="00180B2E">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80B2E">
        <w:rPr>
          <w:rFonts w:asciiTheme="majorBidi" w:eastAsia="Times New Roman" w:hAnsiTheme="majorBidi" w:cstheme="majorBidi"/>
        </w:rPr>
        <w:t>The government has not taken effective steps to improve equality policy in 2022. On the contrary, the 2022-2030 National Strategy for Protection of Human Rights and the State Gender Equality Concept do not mention the LGBT+ community at all and completely ignore the needs of this minority</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6"/>
      </w:r>
      <w:r w:rsidR="00AF7B1A" w:rsidRPr="00AF7B1A">
        <w:rPr>
          <w:rFonts w:asciiTheme="majorBidi" w:eastAsia="Times New Roman" w:hAnsiTheme="majorBidi" w:cstheme="majorBidi"/>
        </w:rPr>
        <w:t xml:space="preserve"> </w:t>
      </w:r>
      <w:r w:rsidRPr="00180B2E">
        <w:rPr>
          <w:rFonts w:asciiTheme="majorBidi" w:eastAsia="Times New Roman" w:hAnsiTheme="majorBidi" w:cstheme="majorBidi"/>
        </w:rPr>
        <w:t>In terms of freedom of assembly and expression, the Public Defender believes that due to threats by far-right groups, there is no public space left for the realization of these rights of LGBT+ people.</w:t>
      </w:r>
    </w:p>
    <w:p w14:paraId="658B50B9" w14:textId="77777777" w:rsidR="00180B2E" w:rsidRDefault="00180B2E" w:rsidP="00180B2E">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80B2E">
        <w:rPr>
          <w:rFonts w:asciiTheme="majorBidi" w:eastAsia="Times New Roman" w:hAnsiTheme="majorBidi" w:cstheme="majorBidi"/>
        </w:rPr>
        <w:t>As to investigating and punishing hate crimes, in cases, when an offence committed with discriminatory motive is classified as an administrative offence the discriminatory motive remains unrecorded as the Administrative Offences Code of Georgia does not include such a motive as an aggravating circumstance. The Public Defender recommends that the law enforcement consider, case by case, classifying such offences as a less serious crime under the Criminal Code (such as crime under article 142)</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7"/>
      </w:r>
    </w:p>
    <w:p w14:paraId="2478962A" w14:textId="6A94EDAF" w:rsidR="00B44BE2" w:rsidRDefault="00180B2E" w:rsidP="00AF7B1A">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80B2E">
        <w:rPr>
          <w:rFonts w:asciiTheme="majorBidi" w:eastAsia="Times New Roman" w:hAnsiTheme="majorBidi" w:cstheme="majorBidi"/>
        </w:rPr>
        <w:t>The Law enforcement agencies still fail to meet the standards of effectiveness and timeliness of investigation of hate crimes, thereby decreasing the trust of vulnerable groups towards the law enforcement</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8"/>
      </w:r>
      <w:r w:rsidR="00AF7B1A" w:rsidRPr="00AF7B1A">
        <w:rPr>
          <w:rFonts w:asciiTheme="majorBidi" w:eastAsia="Times New Roman" w:hAnsiTheme="majorBidi" w:cstheme="majorBidi"/>
        </w:rPr>
        <w:t xml:space="preserve"> </w:t>
      </w:r>
      <w:r w:rsidRPr="00180B2E">
        <w:rPr>
          <w:rFonts w:asciiTheme="majorBidi" w:eastAsia="Times New Roman" w:hAnsiTheme="majorBidi" w:cstheme="majorBidi"/>
        </w:rPr>
        <w:t>A clear example of this problem is the response to the 5 July violence as, to this day, neither investigation not prosecution for organizing group violence and publicly calling for violence has been launched.</w:t>
      </w:r>
      <w:r w:rsidR="00B44BE2">
        <w:rPr>
          <w:rFonts w:asciiTheme="majorBidi" w:eastAsia="Times New Roman" w:hAnsiTheme="majorBidi" w:cstheme="majorBidi"/>
        </w:rPr>
        <w:br w:type="page"/>
      </w:r>
    </w:p>
    <w:p w14:paraId="365A2E36" w14:textId="77777777" w:rsidR="00180B2E" w:rsidRDefault="00180B2E" w:rsidP="00180B2E">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bCs/>
        </w:rPr>
      </w:pPr>
      <w:r w:rsidRPr="00180B2E">
        <w:rPr>
          <w:rFonts w:asciiTheme="majorBidi" w:eastAsia="Times New Roman" w:hAnsiTheme="majorBidi" w:cstheme="majorBidi"/>
          <w:b/>
          <w:bCs/>
        </w:rPr>
        <w:lastRenderedPageBreak/>
        <w:t>Combatting gender-based violence</w:t>
      </w:r>
    </w:p>
    <w:p w14:paraId="3B177686" w14:textId="4B8EA88D" w:rsidR="00AF7B1A" w:rsidRPr="00180B2E" w:rsidRDefault="00180B2E" w:rsidP="00180B2E">
      <w:pPr>
        <w:suppressAutoHyphens w:val="0"/>
        <w:kinsoku/>
        <w:overflowPunct/>
        <w:autoSpaceDE/>
        <w:autoSpaceDN/>
        <w:adjustRightInd/>
        <w:snapToGrid/>
        <w:spacing w:after="120" w:line="240" w:lineRule="auto"/>
        <w:ind w:left="1140" w:right="1134"/>
        <w:jc w:val="both"/>
        <w:rPr>
          <w:rFonts w:asciiTheme="majorBidi" w:eastAsia="Times New Roman" w:hAnsiTheme="majorBidi" w:cstheme="majorBidi"/>
          <w:b/>
          <w:bCs/>
        </w:rPr>
      </w:pPr>
      <w:r w:rsidRPr="00180B2E">
        <w:rPr>
          <w:rFonts w:asciiTheme="majorBidi" w:eastAsia="Times New Roman" w:hAnsiTheme="majorBidi" w:cstheme="majorBidi"/>
        </w:rPr>
        <w:t>The number of cases of murders/attempted murders of women increased in 2022 in comparison to the 2021 statistics</w:t>
      </w:r>
      <w:r w:rsidR="00AF7B1A" w:rsidRPr="00180B2E">
        <w:rPr>
          <w:rFonts w:asciiTheme="majorBidi" w:eastAsia="Times New Roman" w:hAnsiTheme="majorBidi" w:cstheme="majorBidi"/>
        </w:rPr>
        <w:t>.</w:t>
      </w:r>
      <w:r w:rsidR="00AF7B1A" w:rsidRPr="00AF7B1A">
        <w:rPr>
          <w:vertAlign w:val="superscript"/>
        </w:rPr>
        <w:footnoteReference w:id="9"/>
      </w:r>
      <w:r w:rsidR="00AF7B1A" w:rsidRPr="00180B2E">
        <w:rPr>
          <w:rFonts w:asciiTheme="majorBidi" w:eastAsia="Times New Roman" w:hAnsiTheme="majorBidi" w:cstheme="majorBidi"/>
        </w:rPr>
        <w:t xml:space="preserve">  </w:t>
      </w:r>
    </w:p>
    <w:p w14:paraId="18C73515" w14:textId="1086343E" w:rsidR="00AF7B1A" w:rsidRPr="00AF7B1A" w:rsidRDefault="00180B2E" w:rsidP="003C3EC2">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80B2E">
        <w:rPr>
          <w:rFonts w:asciiTheme="majorBidi" w:eastAsia="Times New Roman" w:hAnsiTheme="majorBidi" w:cstheme="majorBidi"/>
        </w:rPr>
        <w:t>The femicide monitoring illustrates that qualification of killings and attempted killings of women as gender-based crimes, signing a plea bargain with a light sentence, and using a conditional sentence without assessing the risks in the cases of attempted femicide are still problematic</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10"/>
      </w:r>
      <w:r w:rsidR="00AF7B1A" w:rsidRPr="00AF7B1A">
        <w:rPr>
          <w:rFonts w:asciiTheme="majorBidi" w:eastAsia="Times New Roman" w:hAnsiTheme="majorBidi" w:cstheme="majorBidi"/>
        </w:rPr>
        <w:t xml:space="preserve"> </w:t>
      </w:r>
      <w:r w:rsidRPr="00180B2E">
        <w:rPr>
          <w:rFonts w:asciiTheme="majorBidi" w:eastAsia="Times New Roman" w:hAnsiTheme="majorBidi" w:cstheme="majorBidi"/>
        </w:rPr>
        <w:t>It is also a serious problem that the relevant criminal legislation is not fully compatible with the Istanbul Convention as it fails to correctly define rape and to provide the opportunity to remotely question the victim or temporarily remove the accused from the court room</w:t>
      </w:r>
      <w:r>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11"/>
      </w:r>
      <w:r w:rsidR="00AF7B1A" w:rsidRPr="00AF7B1A">
        <w:rPr>
          <w:rFonts w:asciiTheme="majorBidi" w:eastAsia="Times New Roman" w:hAnsiTheme="majorBidi" w:cstheme="majorBidi"/>
        </w:rPr>
        <w:t xml:space="preserve"> </w:t>
      </w:r>
      <w:r w:rsidR="003C3EC2" w:rsidRPr="003C3EC2">
        <w:rPr>
          <w:rFonts w:asciiTheme="majorBidi" w:eastAsia="Times New Roman" w:hAnsiTheme="majorBidi" w:cstheme="majorBidi"/>
        </w:rPr>
        <w:t>Moreover, launch of administrative proceedings in cases of early marriage or engagement is also problematic. Cases of early marriage show that coordination between state agencies is ineffective. It is particularly difficult for the authorities to respond to child marriage cases not containing signs of crimes</w:t>
      </w:r>
      <w:r w:rsidR="00AF7B1A" w:rsidRPr="00AF7B1A">
        <w:rPr>
          <w:rFonts w:asciiTheme="majorBidi" w:eastAsia="Times New Roman" w:hAnsiTheme="majorBidi" w:cstheme="majorBidi"/>
        </w:rPr>
        <w:t>.</w:t>
      </w:r>
      <w:r w:rsidR="00AF7B1A" w:rsidRPr="00AF7B1A">
        <w:rPr>
          <w:rFonts w:asciiTheme="majorBidi" w:eastAsia="Times New Roman" w:hAnsiTheme="majorBidi" w:cstheme="majorBidi"/>
          <w:vertAlign w:val="superscript"/>
        </w:rPr>
        <w:footnoteReference w:id="12"/>
      </w:r>
      <w:r w:rsidR="00AF7B1A" w:rsidRPr="00AF7B1A">
        <w:rPr>
          <w:rFonts w:asciiTheme="majorBidi" w:eastAsia="Times New Roman" w:hAnsiTheme="majorBidi" w:cstheme="majorBidi"/>
        </w:rPr>
        <w:t xml:space="preserve">  </w:t>
      </w:r>
    </w:p>
    <w:p w14:paraId="4FF3AA3D" w14:textId="7627AD2E" w:rsidR="00AF7B1A" w:rsidRPr="00B738B1" w:rsidRDefault="003C3EC2" w:rsidP="00B738B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Pr>
          <w:rFonts w:asciiTheme="majorBidi" w:eastAsia="Times New Roman" w:hAnsiTheme="majorBidi" w:cstheme="majorBidi"/>
          <w:b/>
        </w:rPr>
        <w:t>The mandate of the Special Investigation Service</w:t>
      </w:r>
    </w:p>
    <w:p w14:paraId="7C38F105" w14:textId="2710B6B5" w:rsidR="00DF6A46" w:rsidRDefault="00DF6A46" w:rsidP="00192997">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DF6A46">
        <w:rPr>
          <w:rFonts w:asciiTheme="majorBidi" w:eastAsia="Times New Roman" w:hAnsiTheme="majorBidi" w:cstheme="majorBidi"/>
        </w:rPr>
        <w:t>The Special Investigation Service (SIS) established to replace the State Inspector has a flawed mandate. The SIS jurisdiction does not cover crimes committed by the Prosecutor General, the Minister of Internal Affairs and the Head of the Security Service.</w:t>
      </w:r>
      <w:r>
        <w:rPr>
          <w:rStyle w:val="FootnoteReference"/>
          <w:rFonts w:eastAsia="Times New Roman" w:cstheme="majorBidi"/>
        </w:rPr>
        <w:footnoteReference w:id="13"/>
      </w:r>
      <w:r w:rsidRPr="00DF6A46">
        <w:rPr>
          <w:rFonts w:asciiTheme="majorBidi" w:eastAsia="Times New Roman" w:hAnsiTheme="majorBidi" w:cstheme="majorBidi"/>
        </w:rPr>
        <w:t xml:space="preserve">  Moreover, intentional killing, infliction of serious harm to health, violence, rape, trafficking and threat committed by prosecutors fall outside the SIS jurisdiction.</w:t>
      </w:r>
      <w:r>
        <w:rPr>
          <w:rStyle w:val="FootnoteReference"/>
          <w:rFonts w:eastAsia="Times New Roman" w:cstheme="majorBidi"/>
        </w:rPr>
        <w:footnoteReference w:id="14"/>
      </w:r>
      <w:r w:rsidRPr="00DF6A46">
        <w:rPr>
          <w:rFonts w:asciiTheme="majorBidi" w:eastAsia="Times New Roman" w:hAnsiTheme="majorBidi" w:cstheme="majorBidi"/>
        </w:rPr>
        <w:t xml:space="preserve">  Priority placed on serious crimes committed by law enforcement may be reduced due to extension of the SIS mandate to crimes less important for purposes of this body.</w:t>
      </w:r>
      <w:r w:rsidR="00192997">
        <w:rPr>
          <w:rStyle w:val="FootnoteReference"/>
          <w:rFonts w:eastAsia="Times New Roman" w:cstheme="majorBidi"/>
        </w:rPr>
        <w:footnoteReference w:id="15"/>
      </w:r>
      <w:r w:rsidRPr="00DF6A46">
        <w:rPr>
          <w:rFonts w:asciiTheme="majorBidi" w:eastAsia="Times New Roman" w:hAnsiTheme="majorBidi" w:cstheme="majorBidi"/>
        </w:rPr>
        <w:t xml:space="preserve"> The relevant legislation fails to provide the SIS with investigative guarantees, such as guarantees to ensure gathering, protecting and storing evidence in a timely manner and without hinderance, the authority to enter temporary detention </w:t>
      </w:r>
      <w:proofErr w:type="spellStart"/>
      <w:r w:rsidRPr="00DF6A46">
        <w:rPr>
          <w:rFonts w:asciiTheme="majorBidi" w:eastAsia="Times New Roman" w:hAnsiTheme="majorBidi" w:cstheme="majorBidi"/>
        </w:rPr>
        <w:t>centers</w:t>
      </w:r>
      <w:proofErr w:type="spellEnd"/>
      <w:r w:rsidRPr="00DF6A46">
        <w:rPr>
          <w:rFonts w:asciiTheme="majorBidi" w:eastAsia="Times New Roman" w:hAnsiTheme="majorBidi" w:cstheme="majorBidi"/>
        </w:rPr>
        <w:t xml:space="preserve"> without limitations, etc.</w:t>
      </w:r>
      <w:r w:rsidR="00192997">
        <w:rPr>
          <w:rStyle w:val="FootnoteReference"/>
          <w:rFonts w:eastAsia="Times New Roman" w:cstheme="majorBidi"/>
        </w:rPr>
        <w:footnoteReference w:id="16"/>
      </w:r>
      <w:r w:rsidRPr="00DF6A46">
        <w:rPr>
          <w:rFonts w:asciiTheme="majorBidi" w:eastAsia="Times New Roman" w:hAnsiTheme="majorBidi" w:cstheme="majorBidi"/>
        </w:rPr>
        <w:t xml:space="preserve"> </w:t>
      </w:r>
    </w:p>
    <w:p w14:paraId="12BAFF2B" w14:textId="77777777" w:rsidR="00192997" w:rsidRPr="00192997" w:rsidRDefault="00192997" w:rsidP="00192997">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92997">
        <w:rPr>
          <w:rFonts w:asciiTheme="majorBidi" w:eastAsia="Times New Roman" w:hAnsiTheme="majorBidi" w:cstheme="majorBidi"/>
        </w:rPr>
        <w:t>The harmful practice of unjustified administrative arrests of assembly participants and imposition of administrative sanctions on them continued in 2022.</w:t>
      </w:r>
      <w:r w:rsidRPr="00192997">
        <w:rPr>
          <w:rFonts w:asciiTheme="majorBidi" w:eastAsia="Times New Roman" w:hAnsiTheme="majorBidi" w:cstheme="majorBidi"/>
          <w:vertAlign w:val="superscript"/>
        </w:rPr>
        <w:footnoteReference w:id="17"/>
      </w:r>
      <w:r w:rsidRPr="00192997">
        <w:rPr>
          <w:rFonts w:asciiTheme="majorBidi" w:eastAsia="Times New Roman" w:hAnsiTheme="majorBidi" w:cstheme="majorBidi"/>
        </w:rPr>
        <w:t xml:space="preserve"> Such arrests are based on the seriously flawed Administrative Offences Code adopted during the Soviet period and incompatible with modern human rights standards.</w:t>
      </w:r>
      <w:r w:rsidRPr="00192997">
        <w:rPr>
          <w:rFonts w:asciiTheme="majorBidi" w:eastAsia="Times New Roman" w:hAnsiTheme="majorBidi" w:cstheme="majorBidi"/>
          <w:vertAlign w:val="superscript"/>
        </w:rPr>
        <w:footnoteReference w:id="18"/>
      </w:r>
      <w:r w:rsidRPr="00192997">
        <w:rPr>
          <w:rFonts w:asciiTheme="majorBidi" w:eastAsia="Times New Roman" w:hAnsiTheme="majorBidi" w:cstheme="majorBidi"/>
        </w:rPr>
        <w:t xml:space="preserve"> The arrests are usually carried out under the pretext of petty hooliganism or disobedience of a lawful order of the police in violation of freedom of assembly and expression.</w:t>
      </w:r>
      <w:r w:rsidRPr="00192997">
        <w:rPr>
          <w:rFonts w:asciiTheme="majorBidi" w:eastAsia="Times New Roman" w:hAnsiTheme="majorBidi" w:cstheme="majorBidi"/>
          <w:vertAlign w:val="superscript"/>
        </w:rPr>
        <w:footnoteReference w:id="19"/>
      </w:r>
    </w:p>
    <w:p w14:paraId="2ADBD2BD" w14:textId="77777777" w:rsidR="00192997" w:rsidRPr="00192997" w:rsidRDefault="00192997" w:rsidP="00192997">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92997">
        <w:rPr>
          <w:rFonts w:asciiTheme="majorBidi" w:eastAsia="Times New Roman" w:hAnsiTheme="majorBidi" w:cstheme="majorBidi"/>
        </w:rPr>
        <w:t>In 2022, the PDO recorded multiple cases of alleged crimes committed against media representatives, such as illegal interference in professional activity, attacks, threats, damage to an object, breach of private life.</w:t>
      </w:r>
      <w:r w:rsidRPr="00192997">
        <w:rPr>
          <w:rFonts w:asciiTheme="majorBidi" w:eastAsia="Times New Roman" w:hAnsiTheme="majorBidi" w:cstheme="majorBidi"/>
          <w:vertAlign w:val="superscript"/>
        </w:rPr>
        <w:footnoteReference w:id="20"/>
      </w:r>
      <w:r w:rsidRPr="00192997">
        <w:rPr>
          <w:rFonts w:asciiTheme="majorBidi" w:eastAsia="Times New Roman" w:hAnsiTheme="majorBidi" w:cstheme="majorBidi"/>
        </w:rPr>
        <w:t xml:space="preserve"> Unfortunately, investigations into past crimes have been conducted ineffectively.</w:t>
      </w:r>
      <w:r w:rsidRPr="00192997">
        <w:rPr>
          <w:rFonts w:asciiTheme="majorBidi" w:eastAsia="Times New Roman" w:hAnsiTheme="majorBidi" w:cstheme="majorBidi"/>
          <w:vertAlign w:val="superscript"/>
        </w:rPr>
        <w:footnoteReference w:id="21"/>
      </w:r>
      <w:r w:rsidRPr="00192997">
        <w:rPr>
          <w:rFonts w:asciiTheme="majorBidi" w:eastAsia="Times New Roman" w:hAnsiTheme="majorBidi" w:cstheme="majorBidi"/>
        </w:rPr>
        <w:t xml:space="preserve"> Other obstacles faced by the media in 2022 included alleged illegal eavesdropping, a discriminatory dismissal due to difference in opinion, restriction of attending government sittings, verbal attacks by the MPs and a growing number of SLAPPs.</w:t>
      </w:r>
      <w:r w:rsidRPr="00192997">
        <w:rPr>
          <w:rFonts w:asciiTheme="majorBidi" w:eastAsia="Times New Roman" w:hAnsiTheme="majorBidi" w:cstheme="majorBidi"/>
          <w:vertAlign w:val="superscript"/>
        </w:rPr>
        <w:footnoteReference w:id="22"/>
      </w:r>
      <w:r w:rsidRPr="00192997">
        <w:rPr>
          <w:rFonts w:asciiTheme="majorBidi" w:eastAsia="Times New Roman" w:hAnsiTheme="majorBidi" w:cstheme="majorBidi"/>
        </w:rPr>
        <w:t xml:space="preserve"> Furthermore, amendments to the Law on Broadcasters increased powers of the National Communications Commission, thereby risking more interference in media freedom by the body which lacks media’s trust and has been criticized due to its activities.</w:t>
      </w:r>
      <w:r w:rsidRPr="00192997">
        <w:rPr>
          <w:rFonts w:asciiTheme="majorBidi" w:eastAsia="Times New Roman" w:hAnsiTheme="majorBidi" w:cstheme="majorBidi"/>
          <w:vertAlign w:val="superscript"/>
        </w:rPr>
        <w:footnoteReference w:id="23"/>
      </w:r>
    </w:p>
    <w:p w14:paraId="473E0ADB" w14:textId="1BB77F7F" w:rsidR="00192997" w:rsidRDefault="00192997" w:rsidP="00192997">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192997">
        <w:rPr>
          <w:rFonts w:asciiTheme="majorBidi" w:eastAsia="Times New Roman" w:hAnsiTheme="majorBidi" w:cstheme="majorBidi"/>
          <w:bCs/>
        </w:rPr>
        <w:t xml:space="preserve">During the reporting period, the law enforcement officials used excessive force against participants of the assemblies held on March 7-9 to protest the so-called “foreign agents” </w:t>
      </w:r>
    </w:p>
    <w:p w14:paraId="012BFC20" w14:textId="4E1F6A87" w:rsidR="003C2A81" w:rsidRDefault="003F2B08" w:rsidP="003C2A81">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bCs/>
        </w:rPr>
      </w:pPr>
      <w:r w:rsidRPr="003F2B08">
        <w:rPr>
          <w:rFonts w:asciiTheme="majorBidi" w:eastAsia="Times New Roman" w:hAnsiTheme="majorBidi" w:cstheme="majorBidi"/>
          <w:bCs/>
        </w:rPr>
        <w:lastRenderedPageBreak/>
        <w:t>draft law</w:t>
      </w:r>
      <w:r w:rsidRPr="003F2B08">
        <w:rPr>
          <w:rFonts w:asciiTheme="majorBidi" w:eastAsia="Times New Roman" w:hAnsiTheme="majorBidi" w:cstheme="majorBidi"/>
        </w:rPr>
        <w:t>.</w:t>
      </w:r>
      <w:r w:rsidRPr="003F2B08">
        <w:rPr>
          <w:rFonts w:asciiTheme="majorBidi" w:eastAsia="Times New Roman" w:hAnsiTheme="majorBidi" w:cstheme="majorBidi"/>
          <w:vertAlign w:val="superscript"/>
        </w:rPr>
        <w:footnoteReference w:id="24"/>
      </w:r>
      <w:r w:rsidRPr="003F2B08">
        <w:rPr>
          <w:rFonts w:asciiTheme="majorBidi" w:eastAsia="Times New Roman" w:hAnsiTheme="majorBidi" w:cstheme="majorBidi"/>
        </w:rPr>
        <w:t xml:space="preserve"> </w:t>
      </w:r>
      <w:r w:rsidRPr="003F2B08">
        <w:rPr>
          <w:rFonts w:asciiTheme="majorBidi" w:eastAsia="Times New Roman" w:hAnsiTheme="majorBidi" w:cstheme="majorBidi"/>
          <w:bCs/>
        </w:rPr>
        <w:t>According to the Public Defender's assessment,</w:t>
      </w:r>
      <w:r w:rsidRPr="003F2B08">
        <w:rPr>
          <w:rFonts w:asciiTheme="majorBidi" w:eastAsia="Times New Roman" w:hAnsiTheme="majorBidi" w:cstheme="majorBidi"/>
          <w:vertAlign w:val="superscript"/>
        </w:rPr>
        <w:footnoteReference w:id="25"/>
      </w:r>
      <w:r w:rsidR="003C2A81" w:rsidRPr="003C2A81">
        <w:rPr>
          <w:rFonts w:asciiTheme="majorBidi" w:eastAsia="Times New Roman" w:hAnsiTheme="majorBidi" w:cstheme="majorBidi"/>
          <w:bCs/>
        </w:rPr>
        <w:t>at the time of the warning by the Ministry of Internal Affairs of Georgia in the evening hours of March 7, 2023, the assembly had a peaceful character and there was no reason to disperse it or to use force. As for the cases of violence by individual participants in the rally, if any, individual - necessary and proportionate - measures should have been taken against them. Contrary to this, law enforcement personnel used special equipment against participants, including peaceful demonstrators, in violation of the standard of necessity and proportionality.</w:t>
      </w:r>
      <w:r w:rsidR="003C2A81" w:rsidRPr="003C2A81">
        <w:rPr>
          <w:rFonts w:asciiTheme="majorBidi" w:eastAsia="Times New Roman" w:hAnsiTheme="majorBidi" w:cstheme="majorBidi"/>
        </w:rPr>
        <w:t xml:space="preserve"> </w:t>
      </w:r>
      <w:r w:rsidR="003C2A81" w:rsidRPr="003C2A81">
        <w:rPr>
          <w:rFonts w:asciiTheme="majorBidi" w:eastAsia="Times New Roman" w:hAnsiTheme="majorBidi" w:cstheme="majorBidi"/>
          <w:bCs/>
        </w:rPr>
        <w:t>According to the Public Defender, such unjustified use of force in similar situations always contribute to artificial escalation of the situation, which law enforcement officials are obliged to prevent. Moreover, before and during the dispersal of the assemblies, law enforcement officials actively applied the well-established practice of mass administrative arrests of demonstrator</w:t>
      </w:r>
      <w:r w:rsidR="003C2A81">
        <w:rPr>
          <w:rFonts w:asciiTheme="majorBidi" w:eastAsia="Times New Roman" w:hAnsiTheme="majorBidi" w:cstheme="majorBidi"/>
          <w:bCs/>
        </w:rPr>
        <w:t>.</w:t>
      </w:r>
      <w:r w:rsidRPr="003F2B08">
        <w:rPr>
          <w:rFonts w:asciiTheme="majorBidi" w:eastAsia="Times New Roman" w:hAnsiTheme="majorBidi" w:cstheme="majorBidi"/>
          <w:vertAlign w:val="superscript"/>
        </w:rPr>
        <w:footnoteReference w:id="26"/>
      </w:r>
      <w:r w:rsidRPr="003F2B08">
        <w:rPr>
          <w:rFonts w:asciiTheme="majorBidi" w:eastAsia="Times New Roman" w:hAnsiTheme="majorBidi" w:cstheme="majorBidi"/>
        </w:rPr>
        <w:t xml:space="preserve">  </w:t>
      </w:r>
      <w:r w:rsidR="003C2A81" w:rsidRPr="003C2A81">
        <w:rPr>
          <w:rFonts w:asciiTheme="majorBidi" w:eastAsia="Times New Roman" w:hAnsiTheme="majorBidi" w:cstheme="majorBidi"/>
          <w:bCs/>
        </w:rPr>
        <w:t>Relevant footage shows that in some cases, arrests did not aim to stop an ongoing offense, therefore and failed to meet the requirement of necessity and constituted an unjustified interference.</w:t>
      </w:r>
    </w:p>
    <w:p w14:paraId="0979ECB5" w14:textId="77777777" w:rsidR="003C2A81" w:rsidRDefault="003C2A81" w:rsidP="003C2A8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rPr>
      </w:pPr>
      <w:r w:rsidRPr="003C2A81">
        <w:rPr>
          <w:rFonts w:asciiTheme="majorBidi" w:eastAsia="Times New Roman" w:hAnsiTheme="majorBidi" w:cstheme="majorBidi"/>
          <w:b/>
        </w:rPr>
        <w:t>Rights of persons with disabilities</w:t>
      </w:r>
    </w:p>
    <w:p w14:paraId="649EA0FF" w14:textId="545AF090" w:rsidR="003C2A81" w:rsidRDefault="003C2A81" w:rsidP="002848CC">
      <w:pPr>
        <w:suppressAutoHyphens w:val="0"/>
        <w:kinsoku/>
        <w:overflowPunct/>
        <w:autoSpaceDE/>
        <w:autoSpaceDN/>
        <w:adjustRightInd/>
        <w:snapToGrid/>
        <w:spacing w:after="120" w:line="240" w:lineRule="auto"/>
        <w:ind w:left="1140" w:right="1134"/>
        <w:jc w:val="both"/>
        <w:rPr>
          <w:rFonts w:asciiTheme="majorBidi" w:eastAsia="Times New Roman" w:hAnsiTheme="majorBidi" w:cstheme="majorBidi"/>
        </w:rPr>
      </w:pPr>
      <w:r w:rsidRPr="003C2A81">
        <w:rPr>
          <w:rFonts w:asciiTheme="majorBidi" w:eastAsia="Times New Roman" w:hAnsiTheme="majorBidi" w:cstheme="majorBidi"/>
        </w:rPr>
        <w:t xml:space="preserve">Protection and </w:t>
      </w:r>
      <w:proofErr w:type="spellStart"/>
      <w:r w:rsidRPr="003C2A81">
        <w:rPr>
          <w:rFonts w:asciiTheme="majorBidi" w:eastAsia="Times New Roman" w:hAnsiTheme="majorBidi" w:cstheme="majorBidi"/>
        </w:rPr>
        <w:t>fulfillment</w:t>
      </w:r>
      <w:proofErr w:type="spellEnd"/>
      <w:r w:rsidRPr="003C2A81">
        <w:rPr>
          <w:rFonts w:asciiTheme="majorBidi" w:eastAsia="Times New Roman" w:hAnsiTheme="majorBidi" w:cstheme="majorBidi"/>
        </w:rPr>
        <w:t xml:space="preserve"> of rights of persons with disabilities still suffers from various shortcomings. They include: inadequate access to and lack of continuity of inclusive education; lack of meaningful participation in decision-making at various levels; insufficient access to physical environment, information, communication means and different services, etc</w:t>
      </w:r>
      <w:r w:rsidR="003F2B08" w:rsidRPr="003C2A81">
        <w:rPr>
          <w:rFonts w:asciiTheme="majorBidi" w:eastAsia="Times New Roman" w:hAnsiTheme="majorBidi" w:cstheme="majorBidi"/>
        </w:rPr>
        <w:t>.</w:t>
      </w:r>
      <w:r w:rsidR="003F2B08" w:rsidRPr="003F2B08">
        <w:rPr>
          <w:vertAlign w:val="superscript"/>
        </w:rPr>
        <w:footnoteReference w:id="27"/>
      </w:r>
      <w:r>
        <w:rPr>
          <w:rFonts w:asciiTheme="majorBidi" w:eastAsia="Times New Roman" w:hAnsiTheme="majorBidi" w:cstheme="majorBidi"/>
          <w:b/>
        </w:rPr>
        <w:t xml:space="preserve"> </w:t>
      </w:r>
      <w:r w:rsidRPr="003C2A81">
        <w:rPr>
          <w:rFonts w:asciiTheme="majorBidi" w:eastAsia="Times New Roman" w:hAnsiTheme="majorBidi" w:cstheme="majorBidi"/>
        </w:rPr>
        <w:t xml:space="preserve">Persons with disabilities also face obstacles in </w:t>
      </w:r>
      <w:proofErr w:type="spellStart"/>
      <w:r w:rsidRPr="003C2A81">
        <w:rPr>
          <w:rFonts w:asciiTheme="majorBidi" w:eastAsia="Times New Roman" w:hAnsiTheme="majorBidi" w:cstheme="majorBidi"/>
        </w:rPr>
        <w:t>labor</w:t>
      </w:r>
      <w:proofErr w:type="spellEnd"/>
      <w:r w:rsidRPr="003C2A81">
        <w:rPr>
          <w:rFonts w:asciiTheme="majorBidi" w:eastAsia="Times New Roman" w:hAnsiTheme="majorBidi" w:cstheme="majorBidi"/>
        </w:rPr>
        <w:t xml:space="preserve"> market as some employers have stereotypical attitudes due to lack of information.</w:t>
      </w:r>
      <w:r w:rsidRPr="003C2A81">
        <w:rPr>
          <w:rFonts w:asciiTheme="majorBidi" w:eastAsia="Times New Roman" w:hAnsiTheme="majorBidi" w:cstheme="majorBidi"/>
          <w:vertAlign w:val="superscript"/>
        </w:rPr>
        <w:footnoteReference w:id="28"/>
      </w:r>
      <w:r>
        <w:rPr>
          <w:rFonts w:asciiTheme="majorBidi" w:eastAsia="Times New Roman" w:hAnsiTheme="majorBidi" w:cstheme="majorBidi"/>
        </w:rPr>
        <w:t xml:space="preserve"> </w:t>
      </w:r>
      <w:r w:rsidRPr="003C2A81">
        <w:rPr>
          <w:rFonts w:asciiTheme="majorBidi" w:eastAsia="Times New Roman" w:hAnsiTheme="majorBidi" w:cstheme="majorBidi"/>
        </w:rPr>
        <w:t>The government had not approved the national accessibility plan and standard to ensure access to information, communication means, websites, mobile applications while the national standards of accessibility in the technical regulation</w:t>
      </w:r>
      <w:r w:rsidRPr="003C2A81">
        <w:rPr>
          <w:rFonts w:asciiTheme="majorBidi" w:eastAsia="Times New Roman" w:hAnsiTheme="majorBidi" w:cstheme="majorBidi"/>
          <w:lang w:val="ka-GE"/>
        </w:rPr>
        <w:t xml:space="preserve"> </w:t>
      </w:r>
      <w:r w:rsidRPr="003C2A81">
        <w:rPr>
          <w:rFonts w:asciiTheme="majorBidi" w:eastAsia="Times New Roman" w:hAnsiTheme="majorBidi" w:cstheme="majorBidi"/>
        </w:rPr>
        <w:t>are not being implemented effectively.</w:t>
      </w:r>
      <w:r w:rsidRPr="003C2A81">
        <w:rPr>
          <w:rFonts w:asciiTheme="majorBidi" w:eastAsia="Times New Roman" w:hAnsiTheme="majorBidi" w:cstheme="majorBidi"/>
          <w:vertAlign w:val="superscript"/>
        </w:rPr>
        <w:footnoteReference w:id="29"/>
      </w:r>
      <w:r w:rsidR="002848CC">
        <w:rPr>
          <w:rFonts w:asciiTheme="majorBidi" w:eastAsia="Times New Roman" w:hAnsiTheme="majorBidi" w:cstheme="majorBidi"/>
        </w:rPr>
        <w:t>A</w:t>
      </w:r>
      <w:r w:rsidRPr="003C2A81">
        <w:rPr>
          <w:rFonts w:asciiTheme="majorBidi" w:eastAsia="Times New Roman" w:hAnsiTheme="majorBidi" w:cstheme="majorBidi"/>
        </w:rPr>
        <w:t>wareness on these standards/documents among public and private service providers is low due to absence of a large-scale information campaign.</w:t>
      </w:r>
      <w:r w:rsidRPr="003C2A81">
        <w:rPr>
          <w:rFonts w:asciiTheme="majorBidi" w:eastAsia="Times New Roman" w:hAnsiTheme="majorBidi" w:cstheme="majorBidi"/>
          <w:vertAlign w:val="superscript"/>
        </w:rPr>
        <w:footnoteReference w:id="30"/>
      </w:r>
      <w:r w:rsidRPr="003C2A81">
        <w:rPr>
          <w:rFonts w:asciiTheme="majorBidi" w:eastAsia="Times New Roman" w:hAnsiTheme="majorBidi" w:cstheme="majorBidi"/>
        </w:rPr>
        <w:t xml:space="preserve">  </w:t>
      </w:r>
    </w:p>
    <w:p w14:paraId="11665F94" w14:textId="03EA7DD1" w:rsidR="003C2A81" w:rsidRPr="003C2A81" w:rsidRDefault="003C2A81" w:rsidP="003C2A81">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bCs/>
        </w:rPr>
      </w:pPr>
      <w:r w:rsidRPr="003C2A81">
        <w:rPr>
          <w:rFonts w:asciiTheme="majorBidi" w:eastAsia="Times New Roman" w:hAnsiTheme="majorBidi" w:cstheme="majorBidi"/>
          <w:b/>
          <w:bCs/>
        </w:rPr>
        <w:t>Social rights</w:t>
      </w:r>
    </w:p>
    <w:p w14:paraId="56692DD6" w14:textId="66045B77" w:rsidR="002848CC" w:rsidRDefault="003C2A81" w:rsidP="002848CC">
      <w:pPr>
        <w:suppressAutoHyphens w:val="0"/>
        <w:kinsoku/>
        <w:overflowPunct/>
        <w:autoSpaceDE/>
        <w:autoSpaceDN/>
        <w:adjustRightInd/>
        <w:snapToGrid/>
        <w:spacing w:after="120" w:line="240" w:lineRule="auto"/>
        <w:ind w:left="1134" w:right="1134"/>
        <w:jc w:val="both"/>
        <w:rPr>
          <w:rFonts w:asciiTheme="majorBidi" w:eastAsia="Times New Roman" w:hAnsiTheme="majorBidi" w:cstheme="majorBidi"/>
        </w:rPr>
      </w:pPr>
      <w:r w:rsidRPr="003C2A81">
        <w:rPr>
          <w:rFonts w:asciiTheme="majorBidi" w:eastAsia="Times New Roman" w:hAnsiTheme="majorBidi" w:cstheme="majorBidi"/>
          <w:bCs/>
        </w:rPr>
        <w:t>In terms of right to social protection, 1,176,588 individuals and 369,515 families (respectively, 31.5% and 34.7% of the whole population) were registered in targeted social support programme in 2022</w:t>
      </w:r>
      <w:r w:rsidRPr="003C2A81">
        <w:rPr>
          <w:rFonts w:asciiTheme="majorBidi" w:eastAsia="Times New Roman" w:hAnsiTheme="majorBidi" w:cstheme="majorBidi"/>
        </w:rPr>
        <w:t>.</w:t>
      </w:r>
      <w:r w:rsidRPr="003C2A81">
        <w:rPr>
          <w:rFonts w:asciiTheme="majorBidi" w:eastAsia="Times New Roman" w:hAnsiTheme="majorBidi" w:cstheme="majorBidi"/>
          <w:vertAlign w:val="superscript"/>
        </w:rPr>
        <w:footnoteReference w:id="31"/>
      </w:r>
      <w:r w:rsidR="002848CC" w:rsidRPr="002848CC">
        <w:rPr>
          <w:rFonts w:asciiTheme="majorBidi" w:eastAsia="Times New Roman" w:hAnsiTheme="majorBidi" w:cstheme="majorBidi"/>
          <w:bCs/>
        </w:rPr>
        <w:t>Unfortunately, shortcomings in this programme’s methodology of assessment of social-economic conditions of families remain unsolved and a lengthy period of several months is still prescribed for determination and allocation of social support</w:t>
      </w:r>
      <w:r w:rsidRPr="003C2A81">
        <w:rPr>
          <w:rFonts w:asciiTheme="majorBidi" w:eastAsia="Times New Roman" w:hAnsiTheme="majorBidi" w:cstheme="majorBidi"/>
        </w:rPr>
        <w:t>.</w:t>
      </w:r>
      <w:r w:rsidRPr="003C2A81">
        <w:rPr>
          <w:rFonts w:asciiTheme="majorBidi" w:eastAsia="Times New Roman" w:hAnsiTheme="majorBidi" w:cstheme="majorBidi"/>
          <w:vertAlign w:val="superscript"/>
        </w:rPr>
        <w:footnoteReference w:id="32"/>
      </w:r>
      <w:r w:rsidRPr="003C2A81">
        <w:rPr>
          <w:rFonts w:asciiTheme="majorBidi" w:eastAsia="Times New Roman" w:hAnsiTheme="majorBidi" w:cstheme="majorBidi"/>
        </w:rPr>
        <w:t xml:space="preserve">  </w:t>
      </w:r>
      <w:r w:rsidR="002848CC" w:rsidRPr="002848CC">
        <w:rPr>
          <w:rFonts w:asciiTheme="majorBidi" w:eastAsia="Times New Roman" w:hAnsiTheme="majorBidi" w:cstheme="majorBidi"/>
          <w:bCs/>
        </w:rPr>
        <w:t>As to right to adequate housing, the state still has not developed a unified data base of the homeless, minimal standards for design and establishment of social housing for the homeless, a government strategy and action plan for the homeless, a comprehensive legislative definition of a homeless person and a legislative framework for realization of the right to adequate housing</w:t>
      </w:r>
      <w:r w:rsidRPr="003C2A81">
        <w:rPr>
          <w:rFonts w:asciiTheme="majorBidi" w:eastAsia="Times New Roman" w:hAnsiTheme="majorBidi" w:cstheme="majorBidi"/>
        </w:rPr>
        <w:t>.</w:t>
      </w:r>
      <w:r w:rsidRPr="003C2A81">
        <w:rPr>
          <w:rFonts w:asciiTheme="majorBidi" w:eastAsia="Times New Roman" w:hAnsiTheme="majorBidi" w:cstheme="majorBidi"/>
          <w:vertAlign w:val="superscript"/>
        </w:rPr>
        <w:footnoteReference w:id="33"/>
      </w:r>
      <w:r w:rsidRPr="003C2A81">
        <w:rPr>
          <w:rFonts w:asciiTheme="majorBidi" w:eastAsia="Times New Roman" w:hAnsiTheme="majorBidi" w:cstheme="majorBidi"/>
        </w:rPr>
        <w:t xml:space="preserve">  </w:t>
      </w:r>
    </w:p>
    <w:p w14:paraId="5035D9A4" w14:textId="550D6B95" w:rsidR="002848CC" w:rsidRDefault="002848CC" w:rsidP="002848CC">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bCs/>
        </w:rPr>
      </w:pPr>
      <w:r w:rsidRPr="002848CC">
        <w:rPr>
          <w:rFonts w:asciiTheme="majorBidi" w:eastAsia="Times New Roman" w:hAnsiTheme="majorBidi" w:cstheme="majorBidi"/>
          <w:b/>
          <w:bCs/>
        </w:rPr>
        <w:t>Children’s rights</w:t>
      </w:r>
    </w:p>
    <w:p w14:paraId="721943F0" w14:textId="73D02774" w:rsidR="002848CC" w:rsidRDefault="002848CC" w:rsidP="006501F7">
      <w:pPr>
        <w:spacing w:after="120"/>
        <w:ind w:left="1134" w:right="1134"/>
        <w:jc w:val="both"/>
      </w:pPr>
      <w:r w:rsidRPr="002848CC">
        <w:t xml:space="preserve">In 2022, protection and </w:t>
      </w:r>
      <w:proofErr w:type="spellStart"/>
      <w:r w:rsidRPr="002848CC">
        <w:t>fulfillment</w:t>
      </w:r>
      <w:proofErr w:type="spellEnd"/>
      <w:r w:rsidRPr="002848CC">
        <w:t xml:space="preserve"> of children’s rights still faced serious challenges including: insufficient and inadequate programmes to address needs of children from families living in poverty, a lack of pre-school educational facilities, a high rate of dropping out from </w:t>
      </w:r>
      <w:r w:rsidRPr="002848CC">
        <w:lastRenderedPageBreak/>
        <w:t xml:space="preserve">schools, a need to improve prevention of violence against children and to ensure </w:t>
      </w:r>
      <w:proofErr w:type="gramStart"/>
      <w:r w:rsidRPr="002848CC">
        <w:t>sufficient number of</w:t>
      </w:r>
      <w:proofErr w:type="gramEnd"/>
      <w:r w:rsidRPr="002848CC">
        <w:t xml:space="preserve"> support specialists and rehabilitation services for children victim of violence, etc.</w:t>
      </w:r>
      <w:r w:rsidRPr="002848CC">
        <w:rPr>
          <w:vertAlign w:val="superscript"/>
        </w:rPr>
        <w:footnoteReference w:id="34"/>
      </w:r>
      <w:r w:rsidRPr="002848CC">
        <w:t xml:space="preserve">  </w:t>
      </w:r>
    </w:p>
    <w:p w14:paraId="5BA9FDA8" w14:textId="77777777" w:rsidR="002848CC" w:rsidRPr="002848CC" w:rsidRDefault="002848CC" w:rsidP="002848CC">
      <w:pPr>
        <w:pStyle w:val="ListParagraph"/>
        <w:numPr>
          <w:ilvl w:val="0"/>
          <w:numId w:val="14"/>
        </w:numPr>
        <w:suppressAutoHyphens w:val="0"/>
        <w:kinsoku/>
        <w:overflowPunct/>
        <w:autoSpaceDE/>
        <w:autoSpaceDN/>
        <w:adjustRightInd/>
        <w:snapToGrid/>
        <w:spacing w:after="120" w:line="240" w:lineRule="auto"/>
        <w:ind w:right="1134"/>
        <w:jc w:val="both"/>
        <w:rPr>
          <w:rFonts w:asciiTheme="majorBidi" w:eastAsia="Times New Roman" w:hAnsiTheme="majorBidi" w:cstheme="majorBidi"/>
          <w:b/>
          <w:bCs/>
        </w:rPr>
      </w:pPr>
      <w:r w:rsidRPr="002848CC">
        <w:rPr>
          <w:rFonts w:asciiTheme="majorBidi" w:eastAsia="Times New Roman" w:hAnsiTheme="majorBidi" w:cstheme="majorBidi"/>
          <w:b/>
          <w:bCs/>
        </w:rPr>
        <w:t>Rights of older persons</w:t>
      </w:r>
    </w:p>
    <w:p w14:paraId="27FA54D8" w14:textId="0C584310" w:rsidR="002848CC" w:rsidRDefault="002848CC" w:rsidP="002848CC">
      <w:pPr>
        <w:suppressAutoHyphens w:val="0"/>
        <w:kinsoku/>
        <w:overflowPunct/>
        <w:autoSpaceDE/>
        <w:autoSpaceDN/>
        <w:adjustRightInd/>
        <w:snapToGrid/>
        <w:spacing w:after="120" w:line="240" w:lineRule="auto"/>
        <w:ind w:left="1140" w:right="1134"/>
        <w:jc w:val="both"/>
        <w:rPr>
          <w:rFonts w:asciiTheme="majorBidi" w:eastAsia="Times New Roman" w:hAnsiTheme="majorBidi" w:cstheme="majorBidi"/>
        </w:rPr>
      </w:pPr>
      <w:r w:rsidRPr="002848CC">
        <w:rPr>
          <w:rFonts w:asciiTheme="majorBidi" w:eastAsia="Times New Roman" w:hAnsiTheme="majorBidi" w:cstheme="majorBidi"/>
          <w:bCs/>
        </w:rPr>
        <w:t xml:space="preserve">In 2022, protection and </w:t>
      </w:r>
      <w:proofErr w:type="spellStart"/>
      <w:r w:rsidRPr="002848CC">
        <w:rPr>
          <w:rFonts w:asciiTheme="majorBidi" w:eastAsia="Times New Roman" w:hAnsiTheme="majorBidi" w:cstheme="majorBidi"/>
          <w:bCs/>
        </w:rPr>
        <w:t>fulfillment</w:t>
      </w:r>
      <w:proofErr w:type="spellEnd"/>
      <w:r w:rsidRPr="002848CC">
        <w:rPr>
          <w:rFonts w:asciiTheme="majorBidi" w:eastAsia="Times New Roman" w:hAnsiTheme="majorBidi" w:cstheme="majorBidi"/>
          <w:bCs/>
        </w:rPr>
        <w:t xml:space="preserve"> of rights of the elderly still faced serious problems, such as: absence of protection and psycho-social services adjusted to the needs of the elderly victims of (domestic) violence, human rights violations and inadequate living conditions in nursing homes, lack of social work in municipalities, etc</w:t>
      </w:r>
      <w:r w:rsidRPr="002848CC">
        <w:rPr>
          <w:rFonts w:asciiTheme="majorBidi" w:eastAsia="Times New Roman" w:hAnsiTheme="majorBidi" w:cstheme="majorBidi"/>
        </w:rPr>
        <w:t>.</w:t>
      </w:r>
      <w:r w:rsidRPr="002848CC">
        <w:rPr>
          <w:vertAlign w:val="superscript"/>
        </w:rPr>
        <w:footnoteReference w:id="35"/>
      </w:r>
      <w:r w:rsidRPr="002848CC">
        <w:rPr>
          <w:rFonts w:asciiTheme="majorBidi" w:eastAsia="Times New Roman" w:hAnsiTheme="majorBidi" w:cstheme="majorBidi"/>
        </w:rPr>
        <w:t xml:space="preserve">  </w:t>
      </w:r>
    </w:p>
    <w:p w14:paraId="282FBE40" w14:textId="31C1AB0A" w:rsidR="00110E7E" w:rsidRDefault="002848CC" w:rsidP="00B44BE2">
      <w:pPr>
        <w:pStyle w:val="ListParagraph"/>
        <w:numPr>
          <w:ilvl w:val="0"/>
          <w:numId w:val="14"/>
        </w:numPr>
        <w:suppressAutoHyphens w:val="0"/>
        <w:kinsoku/>
        <w:overflowPunct/>
        <w:autoSpaceDE/>
        <w:autoSpaceDN/>
        <w:adjustRightInd/>
        <w:snapToGrid/>
        <w:spacing w:after="120"/>
        <w:ind w:left="1497" w:right="1134" w:hanging="357"/>
        <w:jc w:val="both"/>
        <w:rPr>
          <w:rFonts w:asciiTheme="majorBidi" w:eastAsia="Times New Roman" w:hAnsiTheme="majorBidi" w:cstheme="majorBidi"/>
          <w:b/>
          <w:bCs/>
        </w:rPr>
      </w:pPr>
      <w:r w:rsidRPr="002848CC">
        <w:rPr>
          <w:rFonts w:asciiTheme="majorBidi" w:eastAsia="Times New Roman" w:hAnsiTheme="majorBidi" w:cstheme="majorBidi"/>
          <w:b/>
          <w:bCs/>
        </w:rPr>
        <w:t>Human Rights in occupied territories of Georgia</w:t>
      </w:r>
    </w:p>
    <w:p w14:paraId="52D641E4" w14:textId="5B8E63FA" w:rsidR="00110E7E" w:rsidRPr="00110E7E" w:rsidRDefault="00110E7E" w:rsidP="00B44BE2">
      <w:pPr>
        <w:pStyle w:val="ListParagraph"/>
        <w:numPr>
          <w:ilvl w:val="0"/>
          <w:numId w:val="12"/>
        </w:numPr>
        <w:suppressAutoHyphens w:val="0"/>
        <w:kinsoku/>
        <w:overflowPunct/>
        <w:autoSpaceDE/>
        <w:autoSpaceDN/>
        <w:adjustRightInd/>
        <w:snapToGrid/>
        <w:spacing w:before="240" w:after="120"/>
        <w:ind w:left="1134" w:right="1134" w:firstLine="567"/>
        <w:contextualSpacing w:val="0"/>
        <w:jc w:val="both"/>
        <w:rPr>
          <w:rFonts w:asciiTheme="majorBidi" w:eastAsia="Times New Roman" w:hAnsiTheme="majorBidi" w:cstheme="majorBidi"/>
          <w:b/>
          <w:bCs/>
        </w:rPr>
      </w:pPr>
      <w:bookmarkStart w:id="0" w:name="_Hlk137820634"/>
      <w:r w:rsidRPr="00110E7E">
        <w:rPr>
          <w:rFonts w:asciiTheme="majorBidi" w:eastAsia="Times New Roman" w:hAnsiTheme="majorBidi" w:cstheme="majorBidi"/>
          <w:b/>
          <w:bCs/>
        </w:rPr>
        <w:t>Right to liberty and prohibition of ill-treatment</w:t>
      </w:r>
    </w:p>
    <w:p w14:paraId="4C0D585E" w14:textId="23F80BB7" w:rsidR="00110E7E" w:rsidRDefault="00110E7E" w:rsidP="00B44BE2">
      <w:pPr>
        <w:suppressAutoHyphens w:val="0"/>
        <w:kinsoku/>
        <w:overflowPunct/>
        <w:autoSpaceDE/>
        <w:autoSpaceDN/>
        <w:adjustRightInd/>
        <w:snapToGrid/>
        <w:spacing w:after="120"/>
        <w:ind w:left="1134" w:right="1134"/>
        <w:jc w:val="both"/>
        <w:rPr>
          <w:rFonts w:asciiTheme="majorBidi" w:eastAsia="Times New Roman" w:hAnsiTheme="majorBidi" w:cstheme="majorBidi"/>
        </w:rPr>
      </w:pPr>
      <w:r w:rsidRPr="00110E7E">
        <w:rPr>
          <w:rFonts w:asciiTheme="majorBidi" w:eastAsia="Times New Roman" w:hAnsiTheme="majorBidi" w:cstheme="majorBidi"/>
        </w:rPr>
        <w:t>Illegal detentions continued in 2022 as 42 individuals were detained in the direction of the Tskhinvali region and 13 individuals – in the direction of Abkhazia</w:t>
      </w:r>
      <w:r w:rsidRPr="002848CC">
        <w:rPr>
          <w:rFonts w:asciiTheme="majorBidi" w:eastAsia="Times New Roman" w:hAnsiTheme="majorBidi" w:cstheme="majorBidi"/>
        </w:rPr>
        <w:t>.</w:t>
      </w:r>
      <w:r w:rsidRPr="002848CC">
        <w:rPr>
          <w:rFonts w:asciiTheme="majorBidi" w:eastAsia="Times New Roman" w:hAnsiTheme="majorBidi" w:cstheme="majorBidi"/>
          <w:vertAlign w:val="superscript"/>
        </w:rPr>
        <w:footnoteReference w:id="36"/>
      </w:r>
      <w:r w:rsidRPr="002848CC">
        <w:rPr>
          <w:rFonts w:asciiTheme="majorBidi" w:eastAsia="Times New Roman" w:hAnsiTheme="majorBidi" w:cstheme="majorBidi"/>
        </w:rPr>
        <w:t xml:space="preserve">  </w:t>
      </w:r>
      <w:r w:rsidRPr="00110E7E">
        <w:rPr>
          <w:rFonts w:asciiTheme="majorBidi" w:eastAsia="Times New Roman" w:hAnsiTheme="majorBidi" w:cstheme="majorBidi"/>
        </w:rPr>
        <w:t>As of December 2022, 7 citizens of Georgia remained in illegal detention</w:t>
      </w:r>
      <w:r w:rsidRPr="00110E7E">
        <w:rPr>
          <w:rFonts w:asciiTheme="majorBidi" w:eastAsia="Times New Roman" w:hAnsiTheme="majorBidi" w:cstheme="majorBidi"/>
          <w:vertAlign w:val="superscript"/>
        </w:rPr>
        <w:t xml:space="preserve"> </w:t>
      </w:r>
      <w:r w:rsidRPr="002848CC">
        <w:rPr>
          <w:rFonts w:asciiTheme="majorBidi" w:eastAsia="Times New Roman" w:hAnsiTheme="majorBidi" w:cstheme="majorBidi"/>
          <w:vertAlign w:val="superscript"/>
        </w:rPr>
        <w:footnoteReference w:id="37"/>
      </w:r>
      <w:r>
        <w:rPr>
          <w:rFonts w:asciiTheme="majorBidi" w:eastAsia="Times New Roman" w:hAnsiTheme="majorBidi" w:cstheme="majorBidi"/>
        </w:rPr>
        <w:t xml:space="preserve"> </w:t>
      </w:r>
      <w:r w:rsidRPr="00110E7E">
        <w:rPr>
          <w:rFonts w:asciiTheme="majorBidi" w:eastAsia="Times New Roman" w:hAnsiTheme="majorBidi" w:cstheme="majorBidi"/>
        </w:rPr>
        <w:t>In terms of this problem, the ECtHR judgment of March 7, 2023 found Russia responsible for violations committed in the occupied territories before the 2008 war.</w:t>
      </w:r>
      <w:r w:rsidRPr="00110E7E">
        <w:rPr>
          <w:rFonts w:asciiTheme="majorBidi" w:eastAsia="Times New Roman" w:hAnsiTheme="majorBidi" w:cstheme="majorBidi"/>
          <w:vertAlign w:val="superscript"/>
        </w:rPr>
        <w:footnoteReference w:id="38"/>
      </w:r>
      <w:r w:rsidRPr="00110E7E">
        <w:rPr>
          <w:rFonts w:asciiTheme="majorBidi" w:eastAsia="Times New Roman" w:hAnsiTheme="majorBidi" w:cstheme="majorBidi"/>
        </w:rPr>
        <w:t xml:space="preserve">  In particular, the two applicants were illegally detained between 2001-2007 and 2003-2005 respectively and subjected to ill-treatment in the </w:t>
      </w:r>
      <w:proofErr w:type="spellStart"/>
      <w:r w:rsidRPr="00110E7E">
        <w:rPr>
          <w:rFonts w:asciiTheme="majorBidi" w:eastAsia="Times New Roman" w:hAnsiTheme="majorBidi" w:cstheme="majorBidi"/>
        </w:rPr>
        <w:t>Dranda</w:t>
      </w:r>
      <w:proofErr w:type="spellEnd"/>
      <w:r w:rsidRPr="00110E7E">
        <w:rPr>
          <w:rFonts w:asciiTheme="majorBidi" w:eastAsia="Times New Roman" w:hAnsiTheme="majorBidi" w:cstheme="majorBidi"/>
        </w:rPr>
        <w:t xml:space="preserve"> prison in the occupied Abkhazia.</w:t>
      </w:r>
      <w:r w:rsidRPr="00110E7E">
        <w:rPr>
          <w:rFonts w:asciiTheme="majorBidi" w:eastAsia="Times New Roman" w:hAnsiTheme="majorBidi" w:cstheme="majorBidi"/>
          <w:vertAlign w:val="superscript"/>
        </w:rPr>
        <w:footnoteReference w:id="39"/>
      </w:r>
      <w:r w:rsidRPr="00110E7E">
        <w:rPr>
          <w:rFonts w:asciiTheme="majorBidi" w:eastAsia="Times New Roman" w:hAnsiTheme="majorBidi" w:cstheme="majorBidi"/>
        </w:rPr>
        <w:t xml:space="preserve">  </w:t>
      </w:r>
    </w:p>
    <w:bookmarkEnd w:id="0"/>
    <w:p w14:paraId="1FB38435" w14:textId="3383B92B" w:rsidR="00110E7E" w:rsidRPr="00110E7E" w:rsidRDefault="00692C70" w:rsidP="00B44BE2">
      <w:pPr>
        <w:numPr>
          <w:ilvl w:val="0"/>
          <w:numId w:val="12"/>
        </w:numPr>
        <w:suppressAutoHyphens w:val="0"/>
        <w:kinsoku/>
        <w:overflowPunct/>
        <w:autoSpaceDE/>
        <w:autoSpaceDN/>
        <w:adjustRightInd/>
        <w:snapToGrid/>
        <w:spacing w:after="120"/>
        <w:ind w:left="1134" w:right="1134" w:firstLine="567"/>
        <w:jc w:val="both"/>
        <w:rPr>
          <w:rFonts w:asciiTheme="majorBidi" w:eastAsia="Times New Roman" w:hAnsiTheme="majorBidi" w:cstheme="majorBidi"/>
          <w:b/>
        </w:rPr>
      </w:pPr>
      <w:r>
        <w:rPr>
          <w:rFonts w:asciiTheme="majorBidi" w:eastAsia="Times New Roman" w:hAnsiTheme="majorBidi" w:cstheme="majorBidi"/>
          <w:b/>
        </w:rPr>
        <w:t>Freedom of movement</w:t>
      </w:r>
    </w:p>
    <w:p w14:paraId="799A737D" w14:textId="51F3A0FB" w:rsidR="00692C70" w:rsidRPr="00692C70" w:rsidRDefault="00110E7E" w:rsidP="00B44BE2">
      <w:pPr>
        <w:suppressAutoHyphens w:val="0"/>
        <w:kinsoku/>
        <w:overflowPunct/>
        <w:autoSpaceDE/>
        <w:autoSpaceDN/>
        <w:adjustRightInd/>
        <w:snapToGrid/>
        <w:spacing w:after="120"/>
        <w:ind w:left="1134" w:right="1134"/>
        <w:jc w:val="both"/>
        <w:rPr>
          <w:rFonts w:asciiTheme="majorBidi" w:eastAsia="Times New Roman" w:hAnsiTheme="majorBidi" w:cstheme="majorBidi"/>
        </w:rPr>
      </w:pPr>
      <w:r w:rsidRPr="00110E7E">
        <w:rPr>
          <w:rFonts w:asciiTheme="majorBidi" w:eastAsia="Times New Roman" w:hAnsiTheme="majorBidi" w:cstheme="majorBidi"/>
        </w:rPr>
        <w:t xml:space="preserve">Arbitrary restrictions on freedom of movement continue to deteriorate the human rights situation in the occupied territories. Since August 20, 2022, the so-called </w:t>
      </w:r>
      <w:proofErr w:type="spellStart"/>
      <w:r w:rsidRPr="00110E7E">
        <w:rPr>
          <w:rFonts w:asciiTheme="majorBidi" w:eastAsia="Times New Roman" w:hAnsiTheme="majorBidi" w:cstheme="majorBidi"/>
        </w:rPr>
        <w:t>Akhalgori</w:t>
      </w:r>
      <w:proofErr w:type="spellEnd"/>
      <w:r w:rsidRPr="00110E7E">
        <w:rPr>
          <w:rFonts w:asciiTheme="majorBidi" w:eastAsia="Times New Roman" w:hAnsiTheme="majorBidi" w:cstheme="majorBidi"/>
        </w:rPr>
        <w:t xml:space="preserve"> crossing point has become open between 20</w:t>
      </w:r>
      <w:r w:rsidRPr="00110E7E">
        <w:rPr>
          <w:rFonts w:asciiTheme="majorBidi" w:eastAsia="Times New Roman" w:hAnsiTheme="majorBidi" w:cstheme="majorBidi"/>
          <w:vertAlign w:val="superscript"/>
        </w:rPr>
        <w:t>th</w:t>
      </w:r>
      <w:r w:rsidRPr="00110E7E">
        <w:rPr>
          <w:rFonts w:asciiTheme="majorBidi" w:eastAsia="Times New Roman" w:hAnsiTheme="majorBidi" w:cstheme="majorBidi"/>
        </w:rPr>
        <w:t xml:space="preserve"> and 30</w:t>
      </w:r>
      <w:r w:rsidRPr="00110E7E">
        <w:rPr>
          <w:rFonts w:asciiTheme="majorBidi" w:eastAsia="Times New Roman" w:hAnsiTheme="majorBidi" w:cstheme="majorBidi"/>
          <w:vertAlign w:val="superscript"/>
        </w:rPr>
        <w:t>th</w:t>
      </w:r>
      <w:r w:rsidRPr="00110E7E">
        <w:rPr>
          <w:rFonts w:asciiTheme="majorBidi" w:eastAsia="Times New Roman" w:hAnsiTheme="majorBidi" w:cstheme="majorBidi"/>
        </w:rPr>
        <w:t xml:space="preserve"> day of each month.</w:t>
      </w:r>
      <w:r w:rsidRPr="00110E7E">
        <w:rPr>
          <w:rFonts w:asciiTheme="majorBidi" w:eastAsia="Times New Roman" w:hAnsiTheme="majorBidi" w:cstheme="majorBidi"/>
          <w:vertAlign w:val="superscript"/>
        </w:rPr>
        <w:footnoteReference w:id="40"/>
      </w:r>
      <w:r>
        <w:rPr>
          <w:rFonts w:asciiTheme="majorBidi" w:eastAsia="Times New Roman" w:hAnsiTheme="majorBidi" w:cstheme="majorBidi"/>
        </w:rPr>
        <w:t xml:space="preserve"> </w:t>
      </w:r>
      <w:r w:rsidRPr="00110E7E">
        <w:rPr>
          <w:rFonts w:asciiTheme="majorBidi" w:eastAsia="Times New Roman" w:hAnsiTheme="majorBidi" w:cstheme="majorBidi"/>
        </w:rPr>
        <w:t>However, movement of cars and mini</w:t>
      </w:r>
      <w:r>
        <w:rPr>
          <w:rFonts w:asciiTheme="majorBidi" w:eastAsia="Times New Roman" w:hAnsiTheme="majorBidi" w:cstheme="majorBidi"/>
        </w:rPr>
        <w:t>-</w:t>
      </w:r>
      <w:r w:rsidRPr="00110E7E">
        <w:rPr>
          <w:rFonts w:asciiTheme="majorBidi" w:eastAsia="Times New Roman" w:hAnsiTheme="majorBidi" w:cstheme="majorBidi"/>
        </w:rPr>
        <w:t>buses is prohibited and transfer of only 50 kg hand-baggage per person is allowed.</w:t>
      </w:r>
      <w:r w:rsidRPr="00110E7E">
        <w:rPr>
          <w:rFonts w:asciiTheme="majorBidi" w:eastAsia="Times New Roman" w:hAnsiTheme="majorBidi" w:cstheme="majorBidi"/>
          <w:vertAlign w:val="superscript"/>
        </w:rPr>
        <w:footnoteReference w:id="41"/>
      </w:r>
      <w:r>
        <w:rPr>
          <w:rFonts w:asciiTheme="majorBidi" w:eastAsia="Times New Roman" w:hAnsiTheme="majorBidi" w:cstheme="majorBidi"/>
        </w:rPr>
        <w:t xml:space="preserve"> </w:t>
      </w:r>
      <w:r w:rsidRPr="00110E7E">
        <w:rPr>
          <w:rFonts w:asciiTheme="majorBidi" w:eastAsia="Times New Roman" w:hAnsiTheme="majorBidi" w:cstheme="majorBidi"/>
        </w:rPr>
        <w:t xml:space="preserve">A “permit” is required to cross the so-called </w:t>
      </w:r>
      <w:proofErr w:type="spellStart"/>
      <w:r w:rsidRPr="00110E7E">
        <w:rPr>
          <w:rFonts w:asciiTheme="majorBidi" w:eastAsia="Times New Roman" w:hAnsiTheme="majorBidi" w:cstheme="majorBidi"/>
        </w:rPr>
        <w:t>Akhalgori</w:t>
      </w:r>
      <w:proofErr w:type="spellEnd"/>
      <w:r w:rsidRPr="00110E7E">
        <w:rPr>
          <w:rFonts w:asciiTheme="majorBidi" w:eastAsia="Times New Roman" w:hAnsiTheme="majorBidi" w:cstheme="majorBidi"/>
        </w:rPr>
        <w:t xml:space="preserve"> crossing point</w:t>
      </w:r>
      <w:r w:rsidRPr="00110E7E">
        <w:rPr>
          <w:rFonts w:asciiTheme="majorBidi" w:eastAsia="Times New Roman" w:hAnsiTheme="majorBidi" w:cstheme="majorBidi"/>
          <w:lang w:val="ka-GE"/>
        </w:rPr>
        <w:t xml:space="preserve"> </w:t>
      </w:r>
      <w:r w:rsidRPr="00110E7E">
        <w:rPr>
          <w:rFonts w:asciiTheme="majorBidi" w:eastAsia="Times New Roman" w:hAnsiTheme="majorBidi" w:cstheme="majorBidi"/>
        </w:rPr>
        <w:t>and there have been cases when issuance of the “permit” was artificially protracted or unjustifiably rejected</w:t>
      </w:r>
      <w:r w:rsidRPr="002848CC">
        <w:rPr>
          <w:rFonts w:asciiTheme="majorBidi" w:eastAsia="Times New Roman" w:hAnsiTheme="majorBidi" w:cstheme="majorBidi"/>
        </w:rPr>
        <w:t>.</w:t>
      </w:r>
      <w:r w:rsidRPr="002848CC">
        <w:rPr>
          <w:rFonts w:asciiTheme="majorBidi" w:eastAsia="Times New Roman" w:hAnsiTheme="majorBidi" w:cstheme="majorBidi"/>
          <w:vertAlign w:val="superscript"/>
        </w:rPr>
        <w:footnoteReference w:id="42"/>
      </w:r>
      <w:r w:rsidRPr="002848CC">
        <w:rPr>
          <w:rFonts w:asciiTheme="majorBidi" w:eastAsia="Times New Roman" w:hAnsiTheme="majorBidi" w:cstheme="majorBidi"/>
        </w:rPr>
        <w:t xml:space="preserve">  </w:t>
      </w:r>
      <w:r w:rsidRPr="00110E7E">
        <w:rPr>
          <w:rFonts w:asciiTheme="majorBidi" w:eastAsia="Times New Roman" w:hAnsiTheme="majorBidi" w:cstheme="majorBidi"/>
        </w:rPr>
        <w:t xml:space="preserve">The “permit” costs about 10,000-15,000 </w:t>
      </w:r>
      <w:proofErr w:type="spellStart"/>
      <w:r w:rsidRPr="00110E7E">
        <w:rPr>
          <w:rFonts w:asciiTheme="majorBidi" w:eastAsia="Times New Roman" w:hAnsiTheme="majorBidi" w:cstheme="majorBidi"/>
        </w:rPr>
        <w:t>Rubles</w:t>
      </w:r>
      <w:proofErr w:type="spellEnd"/>
      <w:r w:rsidRPr="002848CC">
        <w:rPr>
          <w:rFonts w:asciiTheme="majorBidi" w:eastAsia="Times New Roman" w:hAnsiTheme="majorBidi" w:cstheme="majorBidi"/>
        </w:rPr>
        <w:t>.</w:t>
      </w:r>
      <w:r w:rsidRPr="002848CC">
        <w:rPr>
          <w:rFonts w:asciiTheme="majorBidi" w:eastAsia="Times New Roman" w:hAnsiTheme="majorBidi" w:cstheme="majorBidi"/>
          <w:vertAlign w:val="superscript"/>
        </w:rPr>
        <w:footnoteReference w:id="43"/>
      </w:r>
      <w:r w:rsidRPr="002848CC">
        <w:rPr>
          <w:rFonts w:asciiTheme="majorBidi" w:eastAsia="Times New Roman" w:hAnsiTheme="majorBidi" w:cstheme="majorBidi"/>
        </w:rPr>
        <w:t xml:space="preserve"> </w:t>
      </w:r>
      <w:r w:rsidR="00692C70" w:rsidRPr="00692C70">
        <w:rPr>
          <w:rFonts w:asciiTheme="majorBidi" w:eastAsia="Times New Roman" w:hAnsiTheme="majorBidi" w:cstheme="majorBidi"/>
        </w:rPr>
        <w:t xml:space="preserve">The population of </w:t>
      </w:r>
      <w:proofErr w:type="spellStart"/>
      <w:r w:rsidR="00692C70" w:rsidRPr="00692C70">
        <w:rPr>
          <w:rFonts w:asciiTheme="majorBidi" w:eastAsia="Times New Roman" w:hAnsiTheme="majorBidi" w:cstheme="majorBidi"/>
        </w:rPr>
        <w:t>Gali</w:t>
      </w:r>
      <w:proofErr w:type="spellEnd"/>
      <w:r w:rsidR="00692C70" w:rsidRPr="00692C70">
        <w:rPr>
          <w:rFonts w:asciiTheme="majorBidi" w:eastAsia="Times New Roman" w:hAnsiTheme="majorBidi" w:cstheme="majorBidi"/>
        </w:rPr>
        <w:t xml:space="preserve"> has been prohibited to cross the so-called </w:t>
      </w:r>
      <w:proofErr w:type="spellStart"/>
      <w:r w:rsidR="00692C70" w:rsidRPr="00692C70">
        <w:rPr>
          <w:rFonts w:asciiTheme="majorBidi" w:eastAsia="Times New Roman" w:hAnsiTheme="majorBidi" w:cstheme="majorBidi"/>
        </w:rPr>
        <w:t>Enguri</w:t>
      </w:r>
      <w:proofErr w:type="spellEnd"/>
      <w:r w:rsidR="00692C70" w:rsidRPr="00692C70">
        <w:rPr>
          <w:rFonts w:asciiTheme="majorBidi" w:eastAsia="Times New Roman" w:hAnsiTheme="majorBidi" w:cstheme="majorBidi"/>
        </w:rPr>
        <w:t xml:space="preserve"> bridge crossing point with the so-called form N9 since 2022.</w:t>
      </w:r>
      <w:r w:rsidR="00692C70" w:rsidRPr="00692C70">
        <w:rPr>
          <w:rFonts w:asciiTheme="majorBidi" w:eastAsia="Times New Roman" w:hAnsiTheme="majorBidi" w:cstheme="majorBidi"/>
          <w:vertAlign w:val="superscript"/>
        </w:rPr>
        <w:footnoteReference w:id="44"/>
      </w:r>
      <w:r w:rsidR="00692C70" w:rsidRPr="00692C70">
        <w:rPr>
          <w:rFonts w:asciiTheme="majorBidi" w:eastAsia="Times New Roman" w:hAnsiTheme="majorBidi" w:cstheme="majorBidi"/>
        </w:rPr>
        <w:t xml:space="preserve">  The </w:t>
      </w:r>
      <w:proofErr w:type="spellStart"/>
      <w:r w:rsidR="00692C70" w:rsidRPr="00692C70">
        <w:rPr>
          <w:rFonts w:asciiTheme="majorBidi" w:eastAsia="Times New Roman" w:hAnsiTheme="majorBidi" w:cstheme="majorBidi"/>
        </w:rPr>
        <w:t>Gali</w:t>
      </w:r>
      <w:proofErr w:type="spellEnd"/>
      <w:r w:rsidR="00692C70" w:rsidRPr="00692C70">
        <w:rPr>
          <w:rFonts w:asciiTheme="majorBidi" w:eastAsia="Times New Roman" w:hAnsiTheme="majorBidi" w:cstheme="majorBidi"/>
        </w:rPr>
        <w:t xml:space="preserve"> locals have to pay the so-called fee to the so-called border-guard to transfer products to cross the crossing point. The fee amount is not pre-determined and depends on the individual guarding the so-called border.</w:t>
      </w:r>
      <w:r w:rsidR="00692C70" w:rsidRPr="00692C70">
        <w:rPr>
          <w:rFonts w:asciiTheme="majorBidi" w:eastAsia="Times New Roman" w:hAnsiTheme="majorBidi" w:cstheme="majorBidi"/>
          <w:vertAlign w:val="superscript"/>
        </w:rPr>
        <w:footnoteReference w:id="45"/>
      </w:r>
      <w:r w:rsidR="00692C70" w:rsidRPr="00692C70">
        <w:rPr>
          <w:rFonts w:asciiTheme="majorBidi" w:eastAsia="Times New Roman" w:hAnsiTheme="majorBidi" w:cstheme="majorBidi"/>
        </w:rPr>
        <w:t xml:space="preserve"> Movement across the so-called </w:t>
      </w:r>
      <w:proofErr w:type="spellStart"/>
      <w:r w:rsidR="00692C70" w:rsidRPr="00692C70">
        <w:rPr>
          <w:rFonts w:asciiTheme="majorBidi" w:eastAsia="Times New Roman" w:hAnsiTheme="majorBidi" w:cstheme="majorBidi"/>
        </w:rPr>
        <w:t>Enguri</w:t>
      </w:r>
      <w:proofErr w:type="spellEnd"/>
      <w:r w:rsidR="00692C70" w:rsidRPr="00692C70">
        <w:rPr>
          <w:rFonts w:asciiTheme="majorBidi" w:eastAsia="Times New Roman" w:hAnsiTheme="majorBidi" w:cstheme="majorBidi"/>
        </w:rPr>
        <w:t xml:space="preserve"> bridge crossing point is allowed with: 1. De facto (new) passport; 2. The so-called residence permit; 3. Birth certificate for a person under 14 years old; 4. Georgian passport for those who have the permit to enter Abkhazia (the so-called visa).</w:t>
      </w:r>
      <w:r w:rsidR="00692C70" w:rsidRPr="00692C70">
        <w:rPr>
          <w:rFonts w:asciiTheme="majorBidi" w:eastAsia="Times New Roman" w:hAnsiTheme="majorBidi" w:cstheme="majorBidi"/>
          <w:vertAlign w:val="superscript"/>
        </w:rPr>
        <w:footnoteReference w:id="46"/>
      </w:r>
      <w:r w:rsidR="00692C70">
        <w:rPr>
          <w:rFonts w:asciiTheme="majorBidi" w:eastAsia="Times New Roman" w:hAnsiTheme="majorBidi" w:cstheme="majorBidi"/>
        </w:rPr>
        <w:t xml:space="preserve"> </w:t>
      </w:r>
      <w:r w:rsidR="00692C70" w:rsidRPr="00692C70">
        <w:rPr>
          <w:rFonts w:asciiTheme="majorBidi" w:eastAsia="Times New Roman" w:hAnsiTheme="majorBidi" w:cstheme="majorBidi"/>
        </w:rPr>
        <w:t xml:space="preserve">Majority of the </w:t>
      </w:r>
      <w:proofErr w:type="spellStart"/>
      <w:r w:rsidR="00692C70" w:rsidRPr="00692C70">
        <w:rPr>
          <w:rFonts w:asciiTheme="majorBidi" w:eastAsia="Times New Roman" w:hAnsiTheme="majorBidi" w:cstheme="majorBidi"/>
        </w:rPr>
        <w:t>Gali</w:t>
      </w:r>
      <w:proofErr w:type="spellEnd"/>
      <w:r w:rsidR="00692C70" w:rsidRPr="00692C70">
        <w:rPr>
          <w:rFonts w:asciiTheme="majorBidi" w:eastAsia="Times New Roman" w:hAnsiTheme="majorBidi" w:cstheme="majorBidi"/>
        </w:rPr>
        <w:t xml:space="preserve"> population opposes the so-called residence permit as it gives them the status of a foreigner.</w:t>
      </w:r>
      <w:r w:rsidR="00692C70" w:rsidRPr="00692C70">
        <w:rPr>
          <w:rFonts w:asciiTheme="majorBidi" w:eastAsia="Times New Roman" w:hAnsiTheme="majorBidi" w:cstheme="majorBidi"/>
          <w:vertAlign w:val="superscript"/>
        </w:rPr>
        <w:footnoteReference w:id="47"/>
      </w:r>
      <w:r w:rsidR="00692C70" w:rsidRPr="00692C70">
        <w:rPr>
          <w:rFonts w:asciiTheme="majorBidi" w:eastAsia="Times New Roman" w:hAnsiTheme="majorBidi" w:cstheme="majorBidi"/>
        </w:rPr>
        <w:t xml:space="preserve">  Its validity is 5 years and its receipt establishes strict criteria which may be used to pressure the </w:t>
      </w:r>
      <w:proofErr w:type="spellStart"/>
      <w:r w:rsidR="00692C70" w:rsidRPr="00692C70">
        <w:rPr>
          <w:rFonts w:asciiTheme="majorBidi" w:eastAsia="Times New Roman" w:hAnsiTheme="majorBidi" w:cstheme="majorBidi"/>
        </w:rPr>
        <w:t>Gali</w:t>
      </w:r>
      <w:proofErr w:type="spellEnd"/>
      <w:r w:rsidR="00692C70" w:rsidRPr="00692C70">
        <w:rPr>
          <w:rFonts w:asciiTheme="majorBidi" w:eastAsia="Times New Roman" w:hAnsiTheme="majorBidi" w:cstheme="majorBidi"/>
        </w:rPr>
        <w:t xml:space="preserve"> population..</w:t>
      </w:r>
      <w:r w:rsidR="00692C70" w:rsidRPr="00692C70">
        <w:rPr>
          <w:rFonts w:asciiTheme="majorBidi" w:eastAsia="Times New Roman" w:hAnsiTheme="majorBidi" w:cstheme="majorBidi"/>
          <w:vertAlign w:val="superscript"/>
        </w:rPr>
        <w:footnoteReference w:id="48"/>
      </w:r>
      <w:r w:rsidR="00692C70" w:rsidRPr="00692C70">
        <w:rPr>
          <w:rFonts w:asciiTheme="majorBidi" w:eastAsia="Times New Roman" w:hAnsiTheme="majorBidi" w:cstheme="majorBidi"/>
        </w:rPr>
        <w:t xml:space="preserve"> Moreover, the de facto passport is not issued unless a local from </w:t>
      </w:r>
      <w:proofErr w:type="spellStart"/>
      <w:r w:rsidR="00692C70" w:rsidRPr="00692C70">
        <w:rPr>
          <w:rFonts w:asciiTheme="majorBidi" w:eastAsia="Times New Roman" w:hAnsiTheme="majorBidi" w:cstheme="majorBidi"/>
        </w:rPr>
        <w:t>Gali</w:t>
      </w:r>
      <w:proofErr w:type="spellEnd"/>
      <w:r w:rsidR="00692C70" w:rsidRPr="00692C70">
        <w:rPr>
          <w:rFonts w:asciiTheme="majorBidi" w:eastAsia="Times New Roman" w:hAnsiTheme="majorBidi" w:cstheme="majorBidi"/>
        </w:rPr>
        <w:t xml:space="preserve"> rejects Georgian citizenship.</w:t>
      </w:r>
      <w:r w:rsidR="00692C70" w:rsidRPr="00692C70">
        <w:rPr>
          <w:rFonts w:asciiTheme="majorBidi" w:eastAsia="Times New Roman" w:hAnsiTheme="majorBidi" w:cstheme="majorBidi"/>
          <w:vertAlign w:val="superscript"/>
        </w:rPr>
        <w:footnoteReference w:id="49"/>
      </w:r>
      <w:r w:rsidR="00692C70">
        <w:rPr>
          <w:rFonts w:asciiTheme="majorBidi" w:eastAsia="Times New Roman" w:hAnsiTheme="majorBidi" w:cstheme="majorBidi"/>
        </w:rPr>
        <w:t xml:space="preserve"> </w:t>
      </w:r>
      <w:r w:rsidR="00692C70" w:rsidRPr="00692C70">
        <w:rPr>
          <w:rFonts w:asciiTheme="majorBidi" w:eastAsia="Times New Roman" w:hAnsiTheme="majorBidi" w:cstheme="majorBidi"/>
        </w:rPr>
        <w:t>Such arbitrary and illegal restrictions on freedom of movement negatively affect other rights of the people living in the occupied territories, including access to health care and education.</w:t>
      </w:r>
    </w:p>
    <w:p w14:paraId="0F1A211A" w14:textId="4D35688D" w:rsidR="00692C70" w:rsidRDefault="00692C70" w:rsidP="00B44BE2">
      <w:pPr>
        <w:suppressAutoHyphens w:val="0"/>
        <w:kinsoku/>
        <w:overflowPunct/>
        <w:autoSpaceDE/>
        <w:autoSpaceDN/>
        <w:adjustRightInd/>
        <w:snapToGrid/>
        <w:spacing w:after="120"/>
        <w:ind w:left="1134" w:right="1134" w:firstLine="567"/>
        <w:jc w:val="both"/>
        <w:rPr>
          <w:rFonts w:asciiTheme="majorBidi" w:eastAsia="Times New Roman" w:hAnsiTheme="majorBidi" w:cstheme="majorBidi"/>
        </w:rPr>
      </w:pPr>
    </w:p>
    <w:p w14:paraId="7ACE2C19" w14:textId="6AEA6FAA" w:rsidR="008A2273" w:rsidRPr="008A2273" w:rsidRDefault="008A2273" w:rsidP="00B44BE2">
      <w:pPr>
        <w:pStyle w:val="ListParagraph"/>
        <w:numPr>
          <w:ilvl w:val="0"/>
          <w:numId w:val="12"/>
        </w:numPr>
        <w:suppressAutoHyphens w:val="0"/>
        <w:kinsoku/>
        <w:overflowPunct/>
        <w:autoSpaceDE/>
        <w:autoSpaceDN/>
        <w:adjustRightInd/>
        <w:snapToGrid/>
        <w:spacing w:after="120"/>
        <w:ind w:left="1134" w:right="1134" w:firstLine="567"/>
        <w:jc w:val="both"/>
        <w:rPr>
          <w:rFonts w:asciiTheme="majorBidi" w:eastAsia="Times New Roman" w:hAnsiTheme="majorBidi" w:cstheme="majorBidi"/>
          <w:b/>
          <w:bCs/>
        </w:rPr>
      </w:pPr>
      <w:r w:rsidRPr="008A2273">
        <w:rPr>
          <w:rFonts w:asciiTheme="majorBidi" w:eastAsia="Times New Roman" w:hAnsiTheme="majorBidi" w:cstheme="majorBidi"/>
          <w:b/>
          <w:bCs/>
        </w:rPr>
        <w:lastRenderedPageBreak/>
        <w:t>Right to education</w:t>
      </w:r>
    </w:p>
    <w:p w14:paraId="4D7ACA80" w14:textId="77777777" w:rsidR="008A2273" w:rsidRDefault="008A2273" w:rsidP="00B44BE2">
      <w:pPr>
        <w:suppressAutoHyphens w:val="0"/>
        <w:kinsoku/>
        <w:overflowPunct/>
        <w:autoSpaceDE/>
        <w:autoSpaceDN/>
        <w:adjustRightInd/>
        <w:snapToGrid/>
        <w:spacing w:after="120"/>
        <w:ind w:left="1134" w:right="1134"/>
        <w:jc w:val="both"/>
        <w:rPr>
          <w:rFonts w:asciiTheme="majorBidi" w:eastAsia="Times New Roman" w:hAnsiTheme="majorBidi" w:cstheme="majorBidi"/>
        </w:rPr>
      </w:pPr>
      <w:r w:rsidRPr="008A2273">
        <w:rPr>
          <w:rFonts w:asciiTheme="majorBidi" w:eastAsia="Times New Roman" w:hAnsiTheme="majorBidi" w:cstheme="majorBidi"/>
        </w:rPr>
        <w:t xml:space="preserve">Access to education in native (Georgian) language remains a serious challenge in the occupied territories. Since 2021, instruction in Georgian at schools has been completely prohibited in </w:t>
      </w:r>
      <w:proofErr w:type="spellStart"/>
      <w:r w:rsidRPr="008A2273">
        <w:rPr>
          <w:rFonts w:asciiTheme="majorBidi" w:eastAsia="Times New Roman" w:hAnsiTheme="majorBidi" w:cstheme="majorBidi"/>
        </w:rPr>
        <w:t>Gali</w:t>
      </w:r>
      <w:proofErr w:type="spellEnd"/>
      <w:r w:rsidRPr="008A2273">
        <w:rPr>
          <w:rFonts w:asciiTheme="majorBidi" w:eastAsia="Times New Roman" w:hAnsiTheme="majorBidi" w:cstheme="majorBidi"/>
        </w:rPr>
        <w:t xml:space="preserve"> and the teaching of Georgian has become a course/subject similar to foreign language and literature.</w:t>
      </w:r>
      <w:r w:rsidRPr="008A2273">
        <w:rPr>
          <w:rFonts w:asciiTheme="majorBidi" w:eastAsia="Times New Roman" w:hAnsiTheme="majorBidi" w:cstheme="majorBidi"/>
          <w:vertAlign w:val="superscript"/>
        </w:rPr>
        <w:footnoteReference w:id="50"/>
      </w:r>
      <w:r w:rsidRPr="008A2273">
        <w:rPr>
          <w:rFonts w:asciiTheme="majorBidi" w:eastAsia="Times New Roman" w:hAnsiTheme="majorBidi" w:cstheme="majorBidi"/>
        </w:rPr>
        <w:t xml:space="preserve">As to </w:t>
      </w:r>
      <w:proofErr w:type="spellStart"/>
      <w:r w:rsidRPr="008A2273">
        <w:rPr>
          <w:rFonts w:asciiTheme="majorBidi" w:eastAsia="Times New Roman" w:hAnsiTheme="majorBidi" w:cstheme="majorBidi"/>
        </w:rPr>
        <w:t>Akhalgori</w:t>
      </w:r>
      <w:proofErr w:type="spellEnd"/>
      <w:r w:rsidRPr="008A2273">
        <w:rPr>
          <w:rFonts w:asciiTheme="majorBidi" w:eastAsia="Times New Roman" w:hAnsiTheme="majorBidi" w:cstheme="majorBidi"/>
        </w:rPr>
        <w:t>, there are 6 schools 5 of which teach in Georgian only from 9</w:t>
      </w:r>
      <w:r w:rsidRPr="008A2273">
        <w:rPr>
          <w:rFonts w:asciiTheme="majorBidi" w:eastAsia="Times New Roman" w:hAnsiTheme="majorBidi" w:cstheme="majorBidi"/>
          <w:vertAlign w:val="superscript"/>
        </w:rPr>
        <w:t>th</w:t>
      </w:r>
      <w:r w:rsidRPr="008A2273">
        <w:rPr>
          <w:rFonts w:asciiTheme="majorBidi" w:eastAsia="Times New Roman" w:hAnsiTheme="majorBidi" w:cstheme="majorBidi"/>
        </w:rPr>
        <w:t xml:space="preserve"> to 11</w:t>
      </w:r>
      <w:r w:rsidRPr="008A2273">
        <w:rPr>
          <w:rFonts w:asciiTheme="majorBidi" w:eastAsia="Times New Roman" w:hAnsiTheme="majorBidi" w:cstheme="majorBidi"/>
          <w:vertAlign w:val="superscript"/>
        </w:rPr>
        <w:t>th</w:t>
      </w:r>
      <w:r w:rsidRPr="008A2273">
        <w:rPr>
          <w:rFonts w:asciiTheme="majorBidi" w:eastAsia="Times New Roman" w:hAnsiTheme="majorBidi" w:cstheme="majorBidi"/>
        </w:rPr>
        <w:t xml:space="preserve"> grade whereas teaching in Georgian was allowed from 7</w:t>
      </w:r>
      <w:r w:rsidRPr="008A2273">
        <w:rPr>
          <w:rFonts w:asciiTheme="majorBidi" w:eastAsia="Times New Roman" w:hAnsiTheme="majorBidi" w:cstheme="majorBidi"/>
          <w:vertAlign w:val="superscript"/>
        </w:rPr>
        <w:t>th</w:t>
      </w:r>
      <w:r w:rsidRPr="008A2273">
        <w:rPr>
          <w:rFonts w:asciiTheme="majorBidi" w:eastAsia="Times New Roman" w:hAnsiTheme="majorBidi" w:cstheme="majorBidi"/>
        </w:rPr>
        <w:t xml:space="preserve"> grade in 2020.</w:t>
      </w:r>
      <w:r w:rsidRPr="008A2273">
        <w:rPr>
          <w:rFonts w:asciiTheme="majorBidi" w:eastAsia="Times New Roman" w:hAnsiTheme="majorBidi" w:cstheme="majorBidi"/>
          <w:vertAlign w:val="superscript"/>
        </w:rPr>
        <w:footnoteReference w:id="51"/>
      </w:r>
      <w:r w:rsidRPr="008A2273">
        <w:rPr>
          <w:rFonts w:asciiTheme="majorBidi" w:eastAsia="Times New Roman" w:hAnsiTheme="majorBidi" w:cstheme="majorBidi"/>
        </w:rPr>
        <w:t>The de facto authorities of Tskhinvali have continued the practice of intimidation of teachers and pupils in order to hinder teaching in Georgian.</w:t>
      </w:r>
      <w:r w:rsidRPr="008A2273">
        <w:rPr>
          <w:rFonts w:asciiTheme="majorBidi" w:eastAsia="Times New Roman" w:hAnsiTheme="majorBidi" w:cstheme="majorBidi"/>
          <w:vertAlign w:val="superscript"/>
        </w:rPr>
        <w:footnoteReference w:id="52"/>
      </w:r>
      <w:r w:rsidRPr="008A2273">
        <w:rPr>
          <w:rFonts w:asciiTheme="majorBidi" w:eastAsia="Times New Roman" w:hAnsiTheme="majorBidi" w:cstheme="majorBidi"/>
        </w:rPr>
        <w:t xml:space="preserve">  Thus, such arbitrary restrictions on access to education in Georgian language equals ethnic cleansing of ethnic Georgians in the occupied territories as the parents have to leave these regions and move to the Georgian controlled territories to enable their children to learn in Georgian</w:t>
      </w:r>
      <w:r>
        <w:rPr>
          <w:rFonts w:asciiTheme="majorBidi" w:eastAsia="Times New Roman" w:hAnsiTheme="majorBidi" w:cstheme="majorBidi"/>
        </w:rPr>
        <w:t>.</w:t>
      </w:r>
      <w:r w:rsidRPr="008A2273">
        <w:rPr>
          <w:rFonts w:asciiTheme="majorBidi" w:eastAsia="Times New Roman" w:hAnsiTheme="majorBidi" w:cstheme="majorBidi"/>
          <w:vertAlign w:val="superscript"/>
        </w:rPr>
        <w:footnoteReference w:id="53"/>
      </w:r>
      <w:r w:rsidRPr="008A2273">
        <w:rPr>
          <w:rFonts w:asciiTheme="majorBidi" w:eastAsia="Times New Roman" w:hAnsiTheme="majorBidi" w:cstheme="majorBidi"/>
        </w:rPr>
        <w:t xml:space="preserve"> Indeed, the number of pupils in </w:t>
      </w:r>
      <w:proofErr w:type="spellStart"/>
      <w:r w:rsidRPr="008A2273">
        <w:rPr>
          <w:rFonts w:asciiTheme="majorBidi" w:eastAsia="Times New Roman" w:hAnsiTheme="majorBidi" w:cstheme="majorBidi"/>
        </w:rPr>
        <w:t>Gali</w:t>
      </w:r>
      <w:proofErr w:type="spellEnd"/>
      <w:r w:rsidRPr="008A2273">
        <w:rPr>
          <w:rFonts w:asciiTheme="majorBidi" w:eastAsia="Times New Roman" w:hAnsiTheme="majorBidi" w:cstheme="majorBidi"/>
        </w:rPr>
        <w:t xml:space="preserve"> and (Georgian schools of) </w:t>
      </w:r>
      <w:proofErr w:type="spellStart"/>
      <w:r w:rsidRPr="008A2273">
        <w:rPr>
          <w:rFonts w:asciiTheme="majorBidi" w:eastAsia="Times New Roman" w:hAnsiTheme="majorBidi" w:cstheme="majorBidi"/>
        </w:rPr>
        <w:t>Akhalgori</w:t>
      </w:r>
      <w:proofErr w:type="spellEnd"/>
      <w:r w:rsidRPr="008A2273">
        <w:rPr>
          <w:rFonts w:asciiTheme="majorBidi" w:eastAsia="Times New Roman" w:hAnsiTheme="majorBidi" w:cstheme="majorBidi"/>
        </w:rPr>
        <w:t xml:space="preserve"> has been decreasing yearly.</w:t>
      </w:r>
      <w:r w:rsidRPr="008A2273">
        <w:rPr>
          <w:rFonts w:asciiTheme="majorBidi" w:eastAsia="Times New Roman" w:hAnsiTheme="majorBidi" w:cstheme="majorBidi"/>
          <w:vertAlign w:val="superscript"/>
        </w:rPr>
        <w:footnoteReference w:id="54"/>
      </w:r>
      <w:r w:rsidRPr="008A2273">
        <w:rPr>
          <w:rFonts w:asciiTheme="majorBidi" w:eastAsia="Times New Roman" w:hAnsiTheme="majorBidi" w:cstheme="majorBidi"/>
        </w:rPr>
        <w:t xml:space="preserve">  </w:t>
      </w:r>
    </w:p>
    <w:p w14:paraId="6AD04DC2" w14:textId="4E4E7574" w:rsidR="008A2273" w:rsidRPr="00D020BE" w:rsidRDefault="00D020BE" w:rsidP="00B44BE2">
      <w:pPr>
        <w:pStyle w:val="ListParagraph"/>
        <w:numPr>
          <w:ilvl w:val="0"/>
          <w:numId w:val="12"/>
        </w:numPr>
        <w:suppressAutoHyphens w:val="0"/>
        <w:kinsoku/>
        <w:overflowPunct/>
        <w:autoSpaceDE/>
        <w:autoSpaceDN/>
        <w:adjustRightInd/>
        <w:snapToGrid/>
        <w:spacing w:after="120"/>
        <w:ind w:left="1134" w:right="1134" w:firstLine="567"/>
        <w:jc w:val="both"/>
        <w:rPr>
          <w:rFonts w:asciiTheme="majorBidi" w:eastAsia="Times New Roman" w:hAnsiTheme="majorBidi" w:cstheme="majorBidi"/>
          <w:b/>
          <w:bCs/>
        </w:rPr>
      </w:pPr>
      <w:r w:rsidRPr="00D020BE">
        <w:rPr>
          <w:rFonts w:asciiTheme="majorBidi" w:eastAsia="Times New Roman" w:hAnsiTheme="majorBidi" w:cstheme="majorBidi"/>
          <w:b/>
          <w:bCs/>
        </w:rPr>
        <w:t>Right to health</w:t>
      </w:r>
    </w:p>
    <w:p w14:paraId="0FDCA42F" w14:textId="77777777" w:rsidR="000820F3" w:rsidRDefault="00D020BE" w:rsidP="00B44BE2">
      <w:pPr>
        <w:suppressAutoHyphens w:val="0"/>
        <w:kinsoku/>
        <w:overflowPunct/>
        <w:autoSpaceDE/>
        <w:autoSpaceDN/>
        <w:adjustRightInd/>
        <w:snapToGrid/>
        <w:spacing w:after="120"/>
        <w:ind w:left="1134" w:right="1134"/>
        <w:jc w:val="both"/>
        <w:rPr>
          <w:rFonts w:asciiTheme="majorBidi" w:eastAsia="Times New Roman" w:hAnsiTheme="majorBidi" w:cstheme="majorBidi"/>
        </w:rPr>
      </w:pPr>
      <w:r w:rsidRPr="00D020BE">
        <w:rPr>
          <w:rFonts w:asciiTheme="majorBidi" w:eastAsia="Times New Roman" w:hAnsiTheme="majorBidi" w:cstheme="majorBidi"/>
        </w:rPr>
        <w:t xml:space="preserve">Patients from </w:t>
      </w:r>
      <w:proofErr w:type="spellStart"/>
      <w:r w:rsidRPr="00D020BE">
        <w:rPr>
          <w:rFonts w:asciiTheme="majorBidi" w:eastAsia="Times New Roman" w:hAnsiTheme="majorBidi" w:cstheme="majorBidi"/>
        </w:rPr>
        <w:t>Akhalgori</w:t>
      </w:r>
      <w:proofErr w:type="spellEnd"/>
      <w:r w:rsidRPr="00D020BE">
        <w:rPr>
          <w:rFonts w:asciiTheme="majorBidi" w:eastAsia="Times New Roman" w:hAnsiTheme="majorBidi" w:cstheme="majorBidi"/>
        </w:rPr>
        <w:t xml:space="preserve"> have continued to face obstacles in accessing health care, caused by arbitrary restrictions imposed by the de facto authorities on movement across the so-called boundary line</w:t>
      </w:r>
      <w:r w:rsidR="008A2273" w:rsidRPr="008A2273">
        <w:rPr>
          <w:rFonts w:asciiTheme="majorBidi" w:eastAsia="Times New Roman" w:hAnsiTheme="majorBidi" w:cstheme="majorBidi"/>
        </w:rPr>
        <w:t>.</w:t>
      </w:r>
      <w:r w:rsidR="008A2273" w:rsidRPr="008A2273">
        <w:rPr>
          <w:rFonts w:asciiTheme="majorBidi" w:eastAsia="Times New Roman" w:hAnsiTheme="majorBidi" w:cstheme="majorBidi"/>
          <w:vertAlign w:val="superscript"/>
        </w:rPr>
        <w:footnoteReference w:id="55"/>
      </w:r>
      <w:r w:rsidR="008A2273" w:rsidRPr="008A2273">
        <w:rPr>
          <w:rFonts w:asciiTheme="majorBidi" w:eastAsia="Times New Roman" w:hAnsiTheme="majorBidi" w:cstheme="majorBidi"/>
        </w:rPr>
        <w:t xml:space="preserve"> </w:t>
      </w:r>
      <w:r w:rsidRPr="00D020BE">
        <w:rPr>
          <w:rFonts w:asciiTheme="majorBidi" w:eastAsia="Times New Roman" w:hAnsiTheme="majorBidi" w:cstheme="majorBidi"/>
        </w:rPr>
        <w:t xml:space="preserve">Such restrictions on freedom of movement negatively affect the right of health of the locals. Unfortunately, 1,5-year-old girl from </w:t>
      </w:r>
      <w:proofErr w:type="spellStart"/>
      <w:r w:rsidRPr="00D020BE">
        <w:rPr>
          <w:rFonts w:asciiTheme="majorBidi" w:eastAsia="Times New Roman" w:hAnsiTheme="majorBidi" w:cstheme="majorBidi"/>
        </w:rPr>
        <w:t>Akhalgori</w:t>
      </w:r>
      <w:proofErr w:type="spellEnd"/>
      <w:r w:rsidRPr="00D020BE">
        <w:rPr>
          <w:rFonts w:asciiTheme="majorBidi" w:eastAsia="Times New Roman" w:hAnsiTheme="majorBidi" w:cstheme="majorBidi"/>
        </w:rPr>
        <w:t xml:space="preserve"> passed away in 2023 due to absence of timely medical help</w:t>
      </w:r>
      <w:r w:rsidRPr="00D020BE">
        <w:rPr>
          <w:rFonts w:ascii="Sylfaen" w:eastAsia="Times New Roman" w:hAnsi="Sylfaen" w:cstheme="minorBidi"/>
          <w:sz w:val="22"/>
          <w:szCs w:val="22"/>
        </w:rPr>
        <w:t xml:space="preserve"> </w:t>
      </w:r>
      <w:r w:rsidRPr="00D020BE">
        <w:rPr>
          <w:rFonts w:asciiTheme="majorBidi" w:eastAsia="Times New Roman" w:hAnsiTheme="majorBidi" w:cstheme="majorBidi"/>
        </w:rPr>
        <w:t>Sadly, several individuals died between 2019 and 2021 due to lack of access to medical services</w:t>
      </w:r>
      <w:r w:rsidR="008A2273" w:rsidRPr="008A2273">
        <w:rPr>
          <w:rFonts w:asciiTheme="majorBidi" w:eastAsia="Times New Roman" w:hAnsiTheme="majorBidi" w:cstheme="majorBidi"/>
        </w:rPr>
        <w:t>.</w:t>
      </w:r>
      <w:r w:rsidR="008A2273" w:rsidRPr="008A2273">
        <w:rPr>
          <w:rFonts w:asciiTheme="majorBidi" w:eastAsia="Times New Roman" w:hAnsiTheme="majorBidi" w:cstheme="majorBidi"/>
          <w:vertAlign w:val="superscript"/>
        </w:rPr>
        <w:footnoteReference w:id="56"/>
      </w:r>
      <w:r>
        <w:rPr>
          <w:rFonts w:asciiTheme="majorBidi" w:eastAsia="Times New Roman" w:hAnsiTheme="majorBidi" w:cstheme="majorBidi"/>
        </w:rPr>
        <w:t xml:space="preserve"> </w:t>
      </w:r>
      <w:r w:rsidRPr="00D020BE">
        <w:rPr>
          <w:rFonts w:asciiTheme="majorBidi" w:eastAsia="Times New Roman" w:hAnsiTheme="majorBidi" w:cstheme="majorBidi"/>
        </w:rPr>
        <w:t>Sadly, several individuals died between 2019 and 2021 due to lack of access to medical services.</w:t>
      </w:r>
      <w:r w:rsidRPr="00D020BE">
        <w:rPr>
          <w:rFonts w:asciiTheme="majorBidi" w:eastAsia="Times New Roman" w:hAnsiTheme="majorBidi" w:cstheme="majorBidi"/>
          <w:vertAlign w:val="superscript"/>
        </w:rPr>
        <w:footnoteReference w:id="57"/>
      </w:r>
      <w:r w:rsidRPr="00D020BE">
        <w:rPr>
          <w:rFonts w:asciiTheme="majorBidi" w:eastAsia="Times New Roman" w:hAnsiTheme="majorBidi" w:cstheme="majorBidi"/>
        </w:rPr>
        <w:t xml:space="preserve">  </w:t>
      </w:r>
    </w:p>
    <w:p w14:paraId="6E78D497" w14:textId="52339116" w:rsidR="000820F3" w:rsidRPr="000820F3" w:rsidRDefault="000820F3" w:rsidP="00B44BE2">
      <w:pPr>
        <w:pStyle w:val="ListParagraph"/>
        <w:numPr>
          <w:ilvl w:val="0"/>
          <w:numId w:val="12"/>
        </w:numPr>
        <w:suppressAutoHyphens w:val="0"/>
        <w:kinsoku/>
        <w:overflowPunct/>
        <w:autoSpaceDE/>
        <w:autoSpaceDN/>
        <w:adjustRightInd/>
        <w:snapToGrid/>
        <w:spacing w:after="120"/>
        <w:ind w:left="1134" w:right="1134" w:firstLine="567"/>
        <w:jc w:val="both"/>
        <w:rPr>
          <w:rFonts w:asciiTheme="majorBidi" w:eastAsia="Times New Roman" w:hAnsiTheme="majorBidi" w:cstheme="majorBidi"/>
          <w:b/>
          <w:bCs/>
        </w:rPr>
      </w:pPr>
      <w:r w:rsidRPr="000820F3">
        <w:rPr>
          <w:rFonts w:asciiTheme="majorBidi" w:eastAsia="Times New Roman" w:hAnsiTheme="majorBidi" w:cstheme="majorBidi"/>
          <w:b/>
          <w:bCs/>
        </w:rPr>
        <w:t>Civil society</w:t>
      </w:r>
    </w:p>
    <w:p w14:paraId="2D92E4D4" w14:textId="281B61BA" w:rsidR="00692C70" w:rsidRPr="002848CC" w:rsidRDefault="000820F3" w:rsidP="00B44BE2">
      <w:pPr>
        <w:suppressAutoHyphens w:val="0"/>
        <w:kinsoku/>
        <w:overflowPunct/>
        <w:autoSpaceDE/>
        <w:autoSpaceDN/>
        <w:adjustRightInd/>
        <w:snapToGrid/>
        <w:spacing w:after="120"/>
        <w:ind w:left="1134" w:right="1134"/>
        <w:jc w:val="both"/>
        <w:rPr>
          <w:rFonts w:asciiTheme="majorBidi" w:eastAsia="Times New Roman" w:hAnsiTheme="majorBidi" w:cstheme="majorBidi"/>
        </w:rPr>
      </w:pPr>
      <w:r w:rsidRPr="000820F3">
        <w:rPr>
          <w:rFonts w:asciiTheme="majorBidi" w:eastAsia="Times New Roman" w:hAnsiTheme="majorBidi" w:cstheme="majorBidi"/>
        </w:rPr>
        <w:t xml:space="preserve">Since 2021, the legislative proposal on “Foreign Agents” has presented a threat to limit the activities of international and local organizations in Abkhazia, especially activities in trust building, </w:t>
      </w:r>
      <w:proofErr w:type="gramStart"/>
      <w:r w:rsidRPr="000820F3">
        <w:rPr>
          <w:rFonts w:asciiTheme="majorBidi" w:eastAsia="Times New Roman" w:hAnsiTheme="majorBidi" w:cstheme="majorBidi"/>
        </w:rPr>
        <w:t>education</w:t>
      </w:r>
      <w:proofErr w:type="gramEnd"/>
      <w:r w:rsidRPr="000820F3">
        <w:rPr>
          <w:rFonts w:asciiTheme="majorBidi" w:eastAsia="Times New Roman" w:hAnsiTheme="majorBidi" w:cstheme="majorBidi"/>
        </w:rPr>
        <w:t xml:space="preserve"> and conflict transformation</w:t>
      </w:r>
      <w:r w:rsidR="00D020BE" w:rsidRPr="00D020BE">
        <w:rPr>
          <w:rFonts w:asciiTheme="majorBidi" w:eastAsia="Times New Roman" w:hAnsiTheme="majorBidi" w:cstheme="majorBidi"/>
        </w:rPr>
        <w:t>.</w:t>
      </w:r>
      <w:r w:rsidR="00D020BE" w:rsidRPr="00D020BE">
        <w:rPr>
          <w:rFonts w:asciiTheme="majorBidi" w:eastAsia="Times New Roman" w:hAnsiTheme="majorBidi" w:cstheme="majorBidi"/>
          <w:vertAlign w:val="superscript"/>
        </w:rPr>
        <w:footnoteReference w:id="58"/>
      </w:r>
      <w:r w:rsidRPr="000820F3">
        <w:rPr>
          <w:rFonts w:asciiTheme="majorBidi" w:eastAsia="Times New Roman" w:hAnsiTheme="majorBidi" w:cstheme="majorBidi"/>
        </w:rPr>
        <w:t>Empowerment of local CSOs is also hindered by scarcity of international donor or non-governmental organizations as the latter face obstacles in accessing the region</w:t>
      </w:r>
      <w:r w:rsidR="00B44BE2">
        <w:rPr>
          <w:rFonts w:asciiTheme="majorBidi" w:eastAsia="Times New Roman" w:hAnsiTheme="majorBidi" w:cstheme="majorBidi"/>
        </w:rPr>
        <w:t>.</w:t>
      </w:r>
    </w:p>
    <w:p w14:paraId="59267D84" w14:textId="4466E95D" w:rsidR="00150C8B" w:rsidRPr="00106A43" w:rsidRDefault="00316281" w:rsidP="00B44BE2">
      <w:pPr>
        <w:kinsoku/>
        <w:overflowPunct/>
        <w:autoSpaceDE/>
        <w:autoSpaceDN/>
        <w:adjustRightInd/>
        <w:snapToGrid/>
        <w:spacing w:before="240"/>
        <w:ind w:left="1134" w:right="1134"/>
        <w:jc w:val="center"/>
        <w:rPr>
          <w:u w:val="single"/>
        </w:rPr>
      </w:pPr>
      <w:r w:rsidRPr="00316281">
        <w:rPr>
          <w:rFonts w:eastAsia="Times New Roman"/>
          <w:u w:val="single"/>
        </w:rPr>
        <w:tab/>
      </w:r>
      <w:r w:rsidRPr="00316281">
        <w:rPr>
          <w:rFonts w:eastAsia="Times New Roman"/>
          <w:u w:val="single"/>
        </w:rPr>
        <w:tab/>
      </w:r>
      <w:r w:rsidRPr="00316281">
        <w:rPr>
          <w:rFonts w:eastAsia="Times New Roman"/>
          <w:u w:val="single"/>
        </w:rPr>
        <w:tab/>
      </w:r>
      <w:r w:rsidRPr="00316281">
        <w:rPr>
          <w:rFonts w:eastAsia="Times New Roman"/>
          <w:u w:val="single"/>
        </w:rPr>
        <w:tab/>
      </w:r>
    </w:p>
    <w:sectPr w:rsidR="00150C8B" w:rsidRPr="00106A43"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ECD1" w14:textId="77777777" w:rsidR="00316281" w:rsidRPr="00C47B2E" w:rsidRDefault="00316281" w:rsidP="00C47B2E">
      <w:pPr>
        <w:pStyle w:val="Footer"/>
      </w:pPr>
    </w:p>
  </w:endnote>
  <w:endnote w:type="continuationSeparator" w:id="0">
    <w:p w14:paraId="5A6B0C2F" w14:textId="77777777" w:rsidR="00316281" w:rsidRPr="00C47B2E" w:rsidRDefault="00316281" w:rsidP="00C47B2E">
      <w:pPr>
        <w:pStyle w:val="Footer"/>
      </w:pPr>
    </w:p>
  </w:endnote>
  <w:endnote w:type="continuationNotice" w:id="1">
    <w:p w14:paraId="632C5482" w14:textId="77777777" w:rsidR="00316281" w:rsidRPr="00C47B2E" w:rsidRDefault="003162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C05" w14:textId="5FA487A0" w:rsidR="00316281" w:rsidRDefault="00316281"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9653B">
      <w:rPr>
        <w:b/>
        <w:bCs/>
        <w:noProof/>
        <w:sz w:val="18"/>
      </w:rPr>
      <w:t>4</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C9A" w14:textId="3B91AF4E" w:rsidR="00316281" w:rsidRDefault="00316281"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9653B">
      <w:rPr>
        <w:b/>
        <w:bCs/>
        <w:noProof/>
        <w:sz w:val="18"/>
      </w:rPr>
      <w:t>5</w:t>
    </w:r>
    <w:r w:rsidRPr="00150C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1115" w14:textId="77777777" w:rsidR="00A63CD1" w:rsidRDefault="00A6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70D3" w14:textId="77777777" w:rsidR="00316281" w:rsidRPr="00C47B2E" w:rsidRDefault="00316281" w:rsidP="00C47B2E">
      <w:pPr>
        <w:tabs>
          <w:tab w:val="right" w:pos="2155"/>
        </w:tabs>
        <w:spacing w:after="80" w:line="240" w:lineRule="auto"/>
        <w:ind w:left="680"/>
      </w:pPr>
      <w:r>
        <w:rPr>
          <w:u w:val="single"/>
        </w:rPr>
        <w:tab/>
      </w:r>
    </w:p>
  </w:footnote>
  <w:footnote w:type="continuationSeparator" w:id="0">
    <w:p w14:paraId="2EFDEE9A" w14:textId="77777777" w:rsidR="00316281" w:rsidRPr="00C47B2E" w:rsidRDefault="00316281" w:rsidP="005E716E">
      <w:pPr>
        <w:tabs>
          <w:tab w:val="right" w:pos="2155"/>
        </w:tabs>
        <w:spacing w:after="80" w:line="240" w:lineRule="auto"/>
        <w:ind w:left="680"/>
      </w:pPr>
      <w:r>
        <w:rPr>
          <w:u w:val="single"/>
        </w:rPr>
        <w:tab/>
      </w:r>
    </w:p>
  </w:footnote>
  <w:footnote w:type="continuationNotice" w:id="1">
    <w:p w14:paraId="3CD503AF" w14:textId="77777777" w:rsidR="00316281" w:rsidRPr="00C47B2E" w:rsidRDefault="00316281" w:rsidP="00C47B2E">
      <w:pPr>
        <w:pStyle w:val="Footer"/>
      </w:pPr>
    </w:p>
  </w:footnote>
  <w:footnote w:id="2">
    <w:p w14:paraId="4347E02D" w14:textId="56DACFB2" w:rsidR="00316281" w:rsidRPr="00135C8A" w:rsidRDefault="00316281" w:rsidP="00316281">
      <w:pPr>
        <w:pStyle w:val="FootnoteText"/>
        <w:tabs>
          <w:tab w:val="clear" w:pos="1021"/>
          <w:tab w:val="right" w:pos="993"/>
        </w:tabs>
        <w:rPr>
          <w:szCs w:val="18"/>
        </w:rPr>
      </w:pPr>
      <w:r w:rsidRPr="00135C8A">
        <w:rPr>
          <w:szCs w:val="18"/>
        </w:rPr>
        <w:tab/>
      </w:r>
      <w:r w:rsidRPr="00DC5C26">
        <w:rPr>
          <w:rStyle w:val="FootnoteReference"/>
          <w:sz w:val="20"/>
          <w:vertAlign w:val="baseline"/>
        </w:rPr>
        <w:sym w:font="Symbol" w:char="F02A"/>
      </w:r>
      <w:r w:rsidRPr="00135C8A">
        <w:rPr>
          <w:szCs w:val="18"/>
        </w:rPr>
        <w:tab/>
        <w:t>National human rights institution with A status accreditation from the Global Alliance of National Institutions for the Promotion and Protection of Human Rights.</w:t>
      </w:r>
    </w:p>
  </w:footnote>
  <w:footnote w:id="3">
    <w:p w14:paraId="62B1F9F0" w14:textId="54BBF453" w:rsidR="00316281" w:rsidRPr="00726529" w:rsidRDefault="00316281">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 w:id="4">
    <w:p w14:paraId="7F8A3992" w14:textId="24BF9462" w:rsidR="00AF7B1A" w:rsidRDefault="00DC5C26" w:rsidP="00AF7B1A">
      <w:pPr>
        <w:pStyle w:val="FootnoteText"/>
      </w:pPr>
      <w:r>
        <w:tab/>
      </w:r>
      <w:r w:rsidR="00AF7B1A">
        <w:rPr>
          <w:rStyle w:val="FootnoteReference"/>
        </w:rPr>
        <w:footnoteRef/>
      </w:r>
      <w:r>
        <w:tab/>
      </w:r>
      <w:r w:rsidR="00180B2E" w:rsidRPr="00180B2E">
        <w:t xml:space="preserve">Public Defender Calls on Parliament to Consider Recommendations relating to Judicial Reform, available at: </w:t>
      </w:r>
      <w:hyperlink r:id="rId1" w:history="1">
        <w:r w:rsidR="00180B2E" w:rsidRPr="00180B2E">
          <w:rPr>
            <w:rStyle w:val="Hyperlink"/>
          </w:rPr>
          <w:t>https://bit.ly/3NIXUEe</w:t>
        </w:r>
      </w:hyperlink>
      <w:r w:rsidR="00180B2E" w:rsidRPr="00180B2E">
        <w:t xml:space="preserve"> [last accessed 05.05.2023]</w:t>
      </w:r>
      <w:r w:rsidR="00AF7B1A" w:rsidRPr="00111C7C">
        <w:t>.</w:t>
      </w:r>
    </w:p>
  </w:footnote>
  <w:footnote w:id="5">
    <w:p w14:paraId="33372FB6" w14:textId="40349CC4" w:rsidR="00AF7B1A" w:rsidRPr="006501F7" w:rsidRDefault="00B738B1" w:rsidP="00AF7B1A">
      <w:pPr>
        <w:pStyle w:val="FootnoteText"/>
        <w:rPr>
          <w:lang w:val="fr-FR"/>
        </w:rPr>
      </w:pPr>
      <w:r>
        <w:tab/>
      </w:r>
      <w:r w:rsidR="00AF7B1A">
        <w:rPr>
          <w:rStyle w:val="FootnoteReference"/>
        </w:rPr>
        <w:footnoteRef/>
      </w:r>
      <w:r w:rsidR="00DC5C26" w:rsidRPr="006501F7">
        <w:rPr>
          <w:lang w:val="fr-FR"/>
        </w:rPr>
        <w:tab/>
      </w:r>
      <w:proofErr w:type="spellStart"/>
      <w:r w:rsidR="00180B2E" w:rsidRPr="00180B2E">
        <w:rPr>
          <w:lang w:val="fr-FR"/>
        </w:rPr>
        <w:t>Ibid</w:t>
      </w:r>
      <w:proofErr w:type="spellEnd"/>
      <w:r w:rsidR="00180B2E" w:rsidRPr="00180B2E">
        <w:rPr>
          <w:lang w:val="fr-FR"/>
        </w:rPr>
        <w:t>, pages 113-114.</w:t>
      </w:r>
    </w:p>
  </w:footnote>
  <w:footnote w:id="6">
    <w:p w14:paraId="5470256F" w14:textId="4E85CA43" w:rsidR="00AF7B1A" w:rsidRPr="006501F7" w:rsidRDefault="00DC5C26" w:rsidP="00AF7B1A">
      <w:pPr>
        <w:pStyle w:val="FootnoteText"/>
        <w:rPr>
          <w:lang w:val="fr-FR"/>
        </w:rPr>
      </w:pPr>
      <w:r w:rsidRPr="006501F7">
        <w:rPr>
          <w:lang w:val="fr-FR"/>
        </w:rPr>
        <w:tab/>
      </w:r>
      <w:r w:rsidR="00AF7B1A">
        <w:rPr>
          <w:rStyle w:val="FootnoteReference"/>
        </w:rPr>
        <w:footnoteRef/>
      </w:r>
      <w:r w:rsidRPr="006501F7">
        <w:rPr>
          <w:lang w:val="fr-FR"/>
        </w:rPr>
        <w:tab/>
      </w:r>
      <w:proofErr w:type="spellStart"/>
      <w:r w:rsidR="00180B2E" w:rsidRPr="006501F7">
        <w:rPr>
          <w:lang w:val="fr-FR"/>
        </w:rPr>
        <w:t>Ibid</w:t>
      </w:r>
      <w:proofErr w:type="spellEnd"/>
      <w:r w:rsidR="00180B2E" w:rsidRPr="006501F7">
        <w:rPr>
          <w:lang w:val="fr-FR"/>
        </w:rPr>
        <w:t>, page 192</w:t>
      </w:r>
      <w:r w:rsidRPr="006501F7">
        <w:rPr>
          <w:rStyle w:val="Hyperlink"/>
          <w:lang w:val="fr-FR"/>
        </w:rPr>
        <w:t>.</w:t>
      </w:r>
      <w:r w:rsidR="00AF7B1A" w:rsidRPr="006501F7">
        <w:rPr>
          <w:lang w:val="fr-FR"/>
        </w:rPr>
        <w:t xml:space="preserve"> </w:t>
      </w:r>
    </w:p>
  </w:footnote>
  <w:footnote w:id="7">
    <w:p w14:paraId="34D830B1" w14:textId="1F8446D3" w:rsidR="00AF7B1A" w:rsidRPr="006501F7" w:rsidRDefault="00DC5C26" w:rsidP="00AF7B1A">
      <w:pPr>
        <w:pStyle w:val="FootnoteText"/>
        <w:rPr>
          <w:lang w:val="fr-FR"/>
        </w:rPr>
      </w:pPr>
      <w:r w:rsidRPr="006501F7">
        <w:rPr>
          <w:lang w:val="fr-FR"/>
        </w:rPr>
        <w:tab/>
      </w:r>
      <w:r w:rsidR="00AF7B1A">
        <w:rPr>
          <w:rStyle w:val="FootnoteReference"/>
        </w:rPr>
        <w:footnoteRef/>
      </w:r>
      <w:r w:rsidRPr="006501F7">
        <w:rPr>
          <w:lang w:val="fr-FR"/>
        </w:rPr>
        <w:tab/>
      </w:r>
      <w:proofErr w:type="spellStart"/>
      <w:r w:rsidR="00180B2E" w:rsidRPr="006501F7">
        <w:rPr>
          <w:lang w:val="fr-FR"/>
        </w:rPr>
        <w:t>Ibid</w:t>
      </w:r>
      <w:proofErr w:type="spellEnd"/>
      <w:r w:rsidR="00180B2E" w:rsidRPr="006501F7">
        <w:rPr>
          <w:lang w:val="fr-FR"/>
        </w:rPr>
        <w:t>, pages 181-182,186.</w:t>
      </w:r>
      <w:r w:rsidR="00AF7B1A" w:rsidRPr="006501F7">
        <w:rPr>
          <w:lang w:val="fr-FR"/>
        </w:rPr>
        <w:t xml:space="preserve"> </w:t>
      </w:r>
    </w:p>
  </w:footnote>
  <w:footnote w:id="8">
    <w:p w14:paraId="5A955ADC" w14:textId="574A658E" w:rsidR="00AF7B1A" w:rsidRDefault="00B738B1" w:rsidP="00AF7B1A">
      <w:pPr>
        <w:pStyle w:val="FootnoteText"/>
      </w:pPr>
      <w:r w:rsidRPr="006501F7">
        <w:rPr>
          <w:lang w:val="fr-FR"/>
        </w:rPr>
        <w:tab/>
      </w:r>
      <w:r w:rsidR="00AF7B1A">
        <w:rPr>
          <w:rStyle w:val="FootnoteReference"/>
        </w:rPr>
        <w:footnoteRef/>
      </w:r>
      <w:r w:rsidR="00DC5C26">
        <w:tab/>
      </w:r>
      <w:r w:rsidR="00180B2E" w:rsidRPr="00180B2E">
        <w:t xml:space="preserve">The Public Defender of Georgia, 2022 Special Report on Combating and Preventing Discrimination and the Situation of Equality, page 15, available at: </w:t>
      </w:r>
      <w:hyperlink r:id="rId2" w:history="1">
        <w:r w:rsidR="00180B2E" w:rsidRPr="00180B2E">
          <w:rPr>
            <w:rStyle w:val="Hyperlink"/>
          </w:rPr>
          <w:t>https://bit.ly/3Lb0FLD</w:t>
        </w:r>
      </w:hyperlink>
      <w:r w:rsidR="00180B2E" w:rsidRPr="00180B2E">
        <w:t xml:space="preserve">  [last accessed 26.04.2023].</w:t>
      </w:r>
      <w:r w:rsidR="00AF7B1A">
        <w:t xml:space="preserve"> </w:t>
      </w:r>
    </w:p>
  </w:footnote>
  <w:footnote w:id="9">
    <w:p w14:paraId="2ECB94B2" w14:textId="5D003316" w:rsidR="00AF7B1A" w:rsidRDefault="00DC5C26" w:rsidP="003C2A81">
      <w:pPr>
        <w:pStyle w:val="FootnoteText"/>
      </w:pPr>
      <w:r>
        <w:tab/>
      </w:r>
      <w:r w:rsidR="00AF7B1A">
        <w:rPr>
          <w:rStyle w:val="FootnoteReference"/>
        </w:rPr>
        <w:footnoteRef/>
      </w:r>
      <w:r>
        <w:tab/>
      </w:r>
      <w:r w:rsidR="00180B2E" w:rsidRPr="00180B2E">
        <w:t xml:space="preserve">Supra note </w:t>
      </w:r>
      <w:r w:rsidR="00180B2E" w:rsidRPr="00180B2E">
        <w:rPr>
          <w:lang w:val="ka-GE"/>
        </w:rPr>
        <w:t>2</w:t>
      </w:r>
      <w:r w:rsidR="00180B2E" w:rsidRPr="00180B2E">
        <w:t>, page 203.</w:t>
      </w:r>
      <w:r w:rsidR="00AF7B1A">
        <w:t xml:space="preserve"> </w:t>
      </w:r>
    </w:p>
  </w:footnote>
  <w:footnote w:id="10">
    <w:p w14:paraId="53144448" w14:textId="2D00121A" w:rsidR="00AF7B1A" w:rsidRDefault="00DC5C26" w:rsidP="003C2A81">
      <w:pPr>
        <w:pStyle w:val="FootnoteText"/>
      </w:pPr>
      <w:r>
        <w:tab/>
      </w:r>
      <w:r w:rsidR="00AF7B1A">
        <w:rPr>
          <w:rStyle w:val="FootnoteReference"/>
        </w:rPr>
        <w:footnoteRef/>
      </w:r>
      <w:r>
        <w:tab/>
      </w:r>
      <w:r w:rsidR="00180B2E" w:rsidRPr="00180B2E">
        <w:t>Ibid, page 20.</w:t>
      </w:r>
      <w:r w:rsidR="00AF7B1A">
        <w:t xml:space="preserve"> </w:t>
      </w:r>
    </w:p>
  </w:footnote>
  <w:footnote w:id="11">
    <w:p w14:paraId="662EF43B" w14:textId="74C44F15" w:rsidR="00AF7B1A" w:rsidRPr="003C3EC2" w:rsidRDefault="00DC5C26" w:rsidP="003C2A81">
      <w:pPr>
        <w:pStyle w:val="FootnoteText"/>
        <w:rPr>
          <w:color w:val="0000FF"/>
        </w:rPr>
      </w:pPr>
      <w:r>
        <w:tab/>
      </w:r>
      <w:r w:rsidR="00AF7B1A">
        <w:rPr>
          <w:rStyle w:val="FootnoteReference"/>
        </w:rPr>
        <w:footnoteRef/>
      </w:r>
      <w:r>
        <w:tab/>
      </w:r>
      <w:r w:rsidR="003C3EC2" w:rsidRPr="003C3EC2">
        <w:t>Ibid, page 203.</w:t>
      </w:r>
    </w:p>
  </w:footnote>
  <w:footnote w:id="12">
    <w:p w14:paraId="325C774B" w14:textId="1F6E6602" w:rsidR="00AF7B1A" w:rsidRDefault="00DC5C26" w:rsidP="003C2A81">
      <w:pPr>
        <w:pStyle w:val="FootnoteText"/>
      </w:pPr>
      <w:r>
        <w:tab/>
      </w:r>
      <w:r w:rsidR="00AF7B1A">
        <w:rPr>
          <w:rStyle w:val="FootnoteReference"/>
        </w:rPr>
        <w:footnoteRef/>
      </w:r>
      <w:r>
        <w:tab/>
      </w:r>
      <w:r w:rsidR="003C3EC2" w:rsidRPr="003C3EC2">
        <w:t>Ibid, page 205.</w:t>
      </w:r>
      <w:r w:rsidR="00AF7B1A">
        <w:t xml:space="preserve"> </w:t>
      </w:r>
    </w:p>
  </w:footnote>
  <w:footnote w:id="13">
    <w:p w14:paraId="12063AF7" w14:textId="68CC6DD7" w:rsidR="00DF6A46" w:rsidRDefault="00DA17FA" w:rsidP="00DA17FA">
      <w:pPr>
        <w:pStyle w:val="FootnoteText"/>
      </w:pPr>
      <w:r>
        <w:tab/>
      </w:r>
      <w:r w:rsidR="00DF6A46">
        <w:rPr>
          <w:rStyle w:val="FootnoteReference"/>
        </w:rPr>
        <w:footnoteRef/>
      </w:r>
      <w:r>
        <w:tab/>
      </w:r>
      <w:r w:rsidR="00DF6A46" w:rsidRPr="00DF6A46">
        <w:t xml:space="preserve">The 2022 Activity Report of the Department of Criminal Justice of the Public Defender’s </w:t>
      </w:r>
      <w:proofErr w:type="gramStart"/>
      <w:r w:rsidR="003C2A81" w:rsidRPr="00DF6A46">
        <w:t xml:space="preserve">Office, </w:t>
      </w:r>
      <w:r w:rsidR="003C2A81">
        <w:t xml:space="preserve"> </w:t>
      </w:r>
      <w:r w:rsidR="00192997">
        <w:t xml:space="preserve"> </w:t>
      </w:r>
      <w:proofErr w:type="gramEnd"/>
      <w:r w:rsidR="00192997">
        <w:t xml:space="preserve"> </w:t>
      </w:r>
      <w:r w:rsidR="00DF6A46" w:rsidRPr="00DF6A46">
        <w:t xml:space="preserve">page 43, available at: </w:t>
      </w:r>
      <w:hyperlink r:id="rId3" w:history="1">
        <w:r w:rsidR="00DF6A46" w:rsidRPr="00DF6A46">
          <w:rPr>
            <w:rStyle w:val="Hyperlink"/>
          </w:rPr>
          <w:t>https://bit.ly/41HSA8d</w:t>
        </w:r>
      </w:hyperlink>
      <w:r w:rsidR="00DF6A46" w:rsidRPr="00DF6A46">
        <w:t xml:space="preserve"> [last accessed 26.04.2023].</w:t>
      </w:r>
      <w:r w:rsidR="00DF6A46">
        <w:t xml:space="preserve"> </w:t>
      </w:r>
    </w:p>
  </w:footnote>
  <w:footnote w:id="14">
    <w:p w14:paraId="2B39988C" w14:textId="69958D59" w:rsidR="00DF6A46" w:rsidRDefault="00DA17FA" w:rsidP="00DA17FA">
      <w:pPr>
        <w:pStyle w:val="FootnoteText"/>
      </w:pPr>
      <w:r>
        <w:tab/>
      </w:r>
      <w:r w:rsidR="00DF6A46">
        <w:rPr>
          <w:rStyle w:val="FootnoteReference"/>
        </w:rPr>
        <w:footnoteRef/>
      </w:r>
      <w:r>
        <w:tab/>
      </w:r>
      <w:r w:rsidR="00192997" w:rsidRPr="00192997">
        <w:t>Ibid.</w:t>
      </w:r>
    </w:p>
  </w:footnote>
  <w:footnote w:id="15">
    <w:p w14:paraId="174A55F4" w14:textId="7E5CCECD" w:rsidR="00192997" w:rsidRDefault="00DA17FA" w:rsidP="00DA17FA">
      <w:pPr>
        <w:pStyle w:val="FootnoteText"/>
      </w:pPr>
      <w:r>
        <w:tab/>
      </w:r>
      <w:r w:rsidR="00192997">
        <w:rPr>
          <w:rStyle w:val="FootnoteReference"/>
        </w:rPr>
        <w:footnoteRef/>
      </w:r>
      <w:r>
        <w:tab/>
      </w:r>
      <w:r w:rsidR="00192997" w:rsidRPr="00192997">
        <w:t>Ibid, page 44.</w:t>
      </w:r>
    </w:p>
  </w:footnote>
  <w:footnote w:id="16">
    <w:p w14:paraId="13FF4786" w14:textId="1A30CF9C" w:rsidR="00192997" w:rsidRDefault="00DA17FA" w:rsidP="00DA17FA">
      <w:pPr>
        <w:pStyle w:val="FootnoteText"/>
      </w:pPr>
      <w:r>
        <w:tab/>
      </w:r>
      <w:r w:rsidR="00192997">
        <w:rPr>
          <w:rStyle w:val="FootnoteReference"/>
        </w:rPr>
        <w:footnoteRef/>
      </w:r>
      <w:r>
        <w:tab/>
      </w:r>
      <w:r w:rsidR="00192997" w:rsidRPr="00192997">
        <w:t>Ibid, pages 44-45.</w:t>
      </w:r>
    </w:p>
  </w:footnote>
  <w:footnote w:id="17">
    <w:p w14:paraId="31D4D9FA" w14:textId="460ABD93" w:rsidR="00192997" w:rsidRPr="00192997" w:rsidRDefault="00DA17FA" w:rsidP="00DA17FA">
      <w:pPr>
        <w:pStyle w:val="FootnoteText"/>
        <w:rPr>
          <w:lang w:val="fr-FR"/>
        </w:rPr>
      </w:pPr>
      <w:r w:rsidRPr="006501F7">
        <w:rPr>
          <w:rFonts w:ascii="Sylfaen" w:hAnsi="Sylfaen"/>
        </w:rPr>
        <w:tab/>
      </w:r>
      <w:r w:rsidR="00192997">
        <w:rPr>
          <w:rStyle w:val="FootnoteReference"/>
          <w:rFonts w:ascii="Sylfaen" w:hAnsi="Sylfaen"/>
        </w:rPr>
        <w:footnoteRef/>
      </w:r>
      <w:r>
        <w:rPr>
          <w:rFonts w:ascii="Sylfaen" w:hAnsi="Sylfaen"/>
          <w:lang w:val="fr-FR"/>
        </w:rPr>
        <w:tab/>
      </w:r>
      <w:r w:rsidR="00192997" w:rsidRPr="00192997">
        <w:rPr>
          <w:lang w:val="fr-FR"/>
        </w:rPr>
        <w:t xml:space="preserve">Supra note </w:t>
      </w:r>
      <w:r w:rsidR="00192997" w:rsidRPr="00192997">
        <w:rPr>
          <w:lang w:val="ka-GE"/>
        </w:rPr>
        <w:t>2</w:t>
      </w:r>
      <w:r w:rsidR="00192997" w:rsidRPr="00192997">
        <w:rPr>
          <w:lang w:val="fr-FR"/>
        </w:rPr>
        <w:t>, pages 162-164.</w:t>
      </w:r>
    </w:p>
  </w:footnote>
  <w:footnote w:id="18">
    <w:p w14:paraId="4DBB28E1" w14:textId="576DBFFD" w:rsidR="00192997" w:rsidRPr="00192997" w:rsidRDefault="00DA17FA" w:rsidP="00DA17FA">
      <w:pPr>
        <w:pStyle w:val="FootnoteText"/>
        <w:rPr>
          <w:lang w:val="fr-FR"/>
        </w:rPr>
      </w:pPr>
      <w:r>
        <w:rPr>
          <w:lang w:val="fr-FR"/>
        </w:rPr>
        <w:tab/>
      </w:r>
      <w:r w:rsidR="00192997" w:rsidRPr="00192997">
        <w:rPr>
          <w:rStyle w:val="FootnoteReference"/>
        </w:rPr>
        <w:footnoteRef/>
      </w:r>
      <w:r>
        <w:rPr>
          <w:lang w:val="fr-FR"/>
        </w:rPr>
        <w:tab/>
      </w:r>
      <w:proofErr w:type="spellStart"/>
      <w:r w:rsidR="00192997" w:rsidRPr="00192997">
        <w:rPr>
          <w:lang w:val="fr-FR"/>
        </w:rPr>
        <w:t>Ibid</w:t>
      </w:r>
      <w:proofErr w:type="spellEnd"/>
      <w:r w:rsidR="00192997" w:rsidRPr="00192997">
        <w:rPr>
          <w:lang w:val="fr-FR"/>
        </w:rPr>
        <w:t>, page 162</w:t>
      </w:r>
    </w:p>
  </w:footnote>
  <w:footnote w:id="19">
    <w:p w14:paraId="201C3082" w14:textId="2438FA2F" w:rsidR="00192997" w:rsidRPr="00192997" w:rsidRDefault="00DA17FA" w:rsidP="00DA17FA">
      <w:pPr>
        <w:pStyle w:val="FootnoteText"/>
      </w:pPr>
      <w:r w:rsidRPr="006501F7">
        <w:rPr>
          <w:lang w:val="fr-FR"/>
        </w:rPr>
        <w:tab/>
      </w:r>
      <w:r w:rsidR="00192997" w:rsidRPr="00192997">
        <w:rPr>
          <w:rStyle w:val="FootnoteReference"/>
        </w:rPr>
        <w:footnoteRef/>
      </w:r>
      <w:r>
        <w:tab/>
      </w:r>
      <w:r w:rsidR="00192997" w:rsidRPr="00192997">
        <w:t>Ibid.</w:t>
      </w:r>
    </w:p>
  </w:footnote>
  <w:footnote w:id="20">
    <w:p w14:paraId="747DACDC" w14:textId="520E4016" w:rsidR="00192997" w:rsidRPr="00192997" w:rsidRDefault="00DA17FA" w:rsidP="00DA17FA">
      <w:pPr>
        <w:pStyle w:val="FootnoteText"/>
      </w:pPr>
      <w:r>
        <w:tab/>
      </w:r>
      <w:r w:rsidR="00192997" w:rsidRPr="00192997">
        <w:rPr>
          <w:rStyle w:val="FootnoteReference"/>
        </w:rPr>
        <w:footnoteRef/>
      </w:r>
      <w:r>
        <w:tab/>
      </w:r>
      <w:r w:rsidR="00192997" w:rsidRPr="00192997">
        <w:t>Ibid, page 149.</w:t>
      </w:r>
    </w:p>
  </w:footnote>
  <w:footnote w:id="21">
    <w:p w14:paraId="145D789F" w14:textId="5D91F848" w:rsidR="00192997" w:rsidRPr="006501F7" w:rsidRDefault="00DA17FA" w:rsidP="00DA17FA">
      <w:pPr>
        <w:pStyle w:val="FootnoteText"/>
      </w:pPr>
      <w:r w:rsidRPr="006501F7">
        <w:tab/>
      </w:r>
      <w:r w:rsidR="00192997" w:rsidRPr="00192997">
        <w:rPr>
          <w:rStyle w:val="FootnoteReference"/>
        </w:rPr>
        <w:footnoteRef/>
      </w:r>
      <w:r w:rsidRPr="006501F7">
        <w:tab/>
      </w:r>
      <w:r w:rsidR="00192997" w:rsidRPr="006501F7">
        <w:t>Ibid, pages 151-152.</w:t>
      </w:r>
    </w:p>
  </w:footnote>
  <w:footnote w:id="22">
    <w:p w14:paraId="60E9399C" w14:textId="79809DF5" w:rsidR="00192997" w:rsidRPr="00192997" w:rsidRDefault="00DA17FA" w:rsidP="00DA17FA">
      <w:pPr>
        <w:pStyle w:val="FootnoteText"/>
        <w:rPr>
          <w:lang w:val="fr-FR"/>
        </w:rPr>
      </w:pPr>
      <w:r w:rsidRPr="006501F7">
        <w:tab/>
      </w:r>
      <w:r w:rsidR="00192997" w:rsidRPr="00192997">
        <w:rPr>
          <w:rStyle w:val="FootnoteReference"/>
        </w:rPr>
        <w:footnoteRef/>
      </w:r>
      <w:r>
        <w:rPr>
          <w:lang w:val="fr-FR"/>
        </w:rPr>
        <w:tab/>
      </w:r>
      <w:proofErr w:type="spellStart"/>
      <w:r w:rsidR="00192997" w:rsidRPr="00192997">
        <w:rPr>
          <w:lang w:val="fr-FR"/>
        </w:rPr>
        <w:t>Ibid</w:t>
      </w:r>
      <w:proofErr w:type="spellEnd"/>
      <w:r w:rsidR="00192997" w:rsidRPr="00192997">
        <w:rPr>
          <w:lang w:val="fr-FR"/>
        </w:rPr>
        <w:t>, pages 150-154.</w:t>
      </w:r>
    </w:p>
  </w:footnote>
  <w:footnote w:id="23">
    <w:p w14:paraId="6E540B4F" w14:textId="04D24CD5" w:rsidR="00192997" w:rsidRPr="00192997" w:rsidRDefault="00DA17FA" w:rsidP="00DA17FA">
      <w:pPr>
        <w:pStyle w:val="FootnoteText"/>
        <w:rPr>
          <w:rFonts w:ascii="Sylfaen" w:hAnsi="Sylfaen"/>
          <w:lang w:val="fr-FR"/>
        </w:rPr>
      </w:pPr>
      <w:r>
        <w:rPr>
          <w:lang w:val="fr-FR"/>
        </w:rPr>
        <w:tab/>
      </w:r>
      <w:r w:rsidR="00192997" w:rsidRPr="00192997">
        <w:rPr>
          <w:rStyle w:val="FootnoteReference"/>
        </w:rPr>
        <w:footnoteRef/>
      </w:r>
      <w:r>
        <w:rPr>
          <w:lang w:val="fr-FR"/>
        </w:rPr>
        <w:tab/>
      </w:r>
      <w:proofErr w:type="spellStart"/>
      <w:r w:rsidR="00192997" w:rsidRPr="00192997">
        <w:rPr>
          <w:lang w:val="fr-FR"/>
        </w:rPr>
        <w:t>Ibid</w:t>
      </w:r>
      <w:proofErr w:type="spellEnd"/>
      <w:r w:rsidR="00192997" w:rsidRPr="00192997">
        <w:rPr>
          <w:lang w:val="fr-FR"/>
        </w:rPr>
        <w:t>, pages 154-155.</w:t>
      </w:r>
    </w:p>
  </w:footnote>
  <w:footnote w:id="24">
    <w:p w14:paraId="1E7DA0C8" w14:textId="2F6F7122" w:rsidR="003F2B08" w:rsidRDefault="003F2B08" w:rsidP="003F2B08">
      <w:pPr>
        <w:pStyle w:val="FootnoteText"/>
      </w:pPr>
      <w:r>
        <w:tab/>
      </w:r>
      <w:r>
        <w:rPr>
          <w:rStyle w:val="FootnoteReference"/>
        </w:rPr>
        <w:footnoteRef/>
      </w:r>
      <w:r>
        <w:tab/>
      </w:r>
      <w:r w:rsidRPr="003F2B08">
        <w:t xml:space="preserve">February 17, </w:t>
      </w:r>
      <w:proofErr w:type="gramStart"/>
      <w:r w:rsidRPr="003F2B08">
        <w:t>2023</w:t>
      </w:r>
      <w:proofErr w:type="gramEnd"/>
      <w:r w:rsidRPr="003F2B08">
        <w:t xml:space="preserve"> Statement of the Public Defender’s Office on Draft law of Georgia on Transparency of Foreign Influence is available at: </w:t>
      </w:r>
      <w:hyperlink r:id="rId4" w:history="1">
        <w:r w:rsidRPr="003F2B08">
          <w:rPr>
            <w:rStyle w:val="Hyperlink"/>
          </w:rPr>
          <w:t>www.bit.ly/3FtNiUE</w:t>
        </w:r>
      </w:hyperlink>
      <w:r w:rsidRPr="003F2B08">
        <w:t xml:space="preserve">  [last accessed 24.03.2023].</w:t>
      </w:r>
      <w:r>
        <w:t xml:space="preserve"> </w:t>
      </w:r>
    </w:p>
  </w:footnote>
  <w:footnote w:id="25">
    <w:p w14:paraId="548DCDEE" w14:textId="29E677FB" w:rsidR="003F2B08" w:rsidRDefault="003F2B08" w:rsidP="003F2B08">
      <w:pPr>
        <w:pStyle w:val="FootnoteText"/>
      </w:pPr>
      <w:r>
        <w:tab/>
      </w:r>
      <w:r>
        <w:rPr>
          <w:rStyle w:val="FootnoteReference"/>
        </w:rPr>
        <w:footnoteRef/>
      </w:r>
      <w:r>
        <w:tab/>
      </w:r>
      <w:r w:rsidRPr="003F2B08">
        <w:t xml:space="preserve">March 13, </w:t>
      </w:r>
      <w:proofErr w:type="gramStart"/>
      <w:r w:rsidRPr="003F2B08">
        <w:t>2023</w:t>
      </w:r>
      <w:proofErr w:type="gramEnd"/>
      <w:r w:rsidRPr="003F2B08">
        <w:t xml:space="preserve"> statement of the Public Defender of Georgia is available at: </w:t>
      </w:r>
      <w:hyperlink r:id="rId5" w:history="1">
        <w:r w:rsidRPr="003F2B08">
          <w:rPr>
            <w:rStyle w:val="Hyperlink"/>
          </w:rPr>
          <w:t>www.bit.ly/3FuG4zQ</w:t>
        </w:r>
      </w:hyperlink>
      <w:r w:rsidRPr="003F2B08">
        <w:t xml:space="preserve">  [last accessed 24.03.2023].</w:t>
      </w:r>
      <w:r>
        <w:t xml:space="preserve"> </w:t>
      </w:r>
    </w:p>
  </w:footnote>
  <w:footnote w:id="26">
    <w:p w14:paraId="5F2202EB" w14:textId="12AFF56F" w:rsidR="003F2B08" w:rsidRDefault="003F2B08" w:rsidP="003F2B08">
      <w:pPr>
        <w:pStyle w:val="FootnoteText"/>
      </w:pPr>
      <w:r>
        <w:tab/>
      </w:r>
      <w:r>
        <w:rPr>
          <w:rStyle w:val="FootnoteReference"/>
        </w:rPr>
        <w:footnoteRef/>
      </w:r>
      <w:r>
        <w:tab/>
      </w:r>
      <w:r w:rsidR="003C2A81" w:rsidRPr="003C2A81">
        <w:t xml:space="preserve">According to the Ministry of Internal Affairs of Georgia, 133 individuals were detained </w:t>
      </w:r>
      <w:proofErr w:type="gramStart"/>
      <w:r w:rsidR="003C2A81" w:rsidRPr="003C2A81">
        <w:t>as a result of</w:t>
      </w:r>
      <w:proofErr w:type="gramEnd"/>
      <w:r w:rsidR="003C2A81" w:rsidRPr="003C2A81">
        <w:t xml:space="preserve"> operational measures and investigative activities carried out on March 7-8, information is available at:  </w:t>
      </w:r>
      <w:hyperlink r:id="rId6" w:history="1">
        <w:r w:rsidR="003C2A81" w:rsidRPr="003C2A81">
          <w:rPr>
            <w:rStyle w:val="Hyperlink"/>
          </w:rPr>
          <w:t>www.bit.ly/3Tpv8t9</w:t>
        </w:r>
      </w:hyperlink>
      <w:r w:rsidR="003C2A81" w:rsidRPr="003C2A81">
        <w:t xml:space="preserve"> [last accessed 24.03.2023]</w:t>
      </w:r>
      <w:r w:rsidR="003C2A81">
        <w:t>.</w:t>
      </w:r>
      <w:r>
        <w:t xml:space="preserve"> </w:t>
      </w:r>
    </w:p>
  </w:footnote>
  <w:footnote w:id="27">
    <w:p w14:paraId="6B9A4D21" w14:textId="51FB768F" w:rsidR="003F2B08" w:rsidRPr="006501F7" w:rsidRDefault="003F2B08" w:rsidP="003C2A81">
      <w:pPr>
        <w:pStyle w:val="FootnoteText"/>
        <w:rPr>
          <w:lang w:val="es-ES"/>
        </w:rPr>
      </w:pPr>
      <w:r>
        <w:tab/>
      </w:r>
      <w:r>
        <w:rPr>
          <w:rStyle w:val="FootnoteReference"/>
        </w:rPr>
        <w:footnoteRef/>
      </w:r>
      <w:r w:rsidRPr="006501F7">
        <w:rPr>
          <w:lang w:val="es-ES"/>
        </w:rPr>
        <w:tab/>
      </w:r>
      <w:r w:rsidR="003C2A81" w:rsidRPr="006501F7">
        <w:rPr>
          <w:lang w:val="es-ES"/>
        </w:rPr>
        <w:t>Supra note 2, page 248.</w:t>
      </w:r>
      <w:r w:rsidRPr="006501F7">
        <w:rPr>
          <w:lang w:val="es-ES"/>
        </w:rPr>
        <w:t xml:space="preserve"> </w:t>
      </w:r>
    </w:p>
  </w:footnote>
  <w:footnote w:id="28">
    <w:p w14:paraId="38BDBF0F" w14:textId="010D966B" w:rsidR="003C2A81" w:rsidRPr="003C2A81" w:rsidRDefault="003C2A81" w:rsidP="003C2A81">
      <w:pPr>
        <w:pStyle w:val="FootnoteText"/>
        <w:rPr>
          <w:lang w:val="es-ES"/>
        </w:rPr>
      </w:pPr>
      <w:r w:rsidRPr="006501F7">
        <w:rPr>
          <w:lang w:val="es-ES"/>
        </w:rPr>
        <w:tab/>
      </w:r>
      <w:r>
        <w:rPr>
          <w:rStyle w:val="FootnoteReference"/>
        </w:rPr>
        <w:footnoteRef/>
      </w:r>
      <w:r w:rsidRPr="003C2A81">
        <w:rPr>
          <w:lang w:val="es-ES"/>
        </w:rPr>
        <w:tab/>
        <w:t xml:space="preserve">Ibid. </w:t>
      </w:r>
    </w:p>
  </w:footnote>
  <w:footnote w:id="29">
    <w:p w14:paraId="625765E2" w14:textId="328A8625" w:rsidR="003C2A81" w:rsidRPr="003C2A81" w:rsidRDefault="003C2A81" w:rsidP="003C2A81">
      <w:pPr>
        <w:pStyle w:val="FootnoteText"/>
        <w:rPr>
          <w:lang w:val="es-ES"/>
        </w:rPr>
      </w:pPr>
      <w:r w:rsidRPr="003C2A81">
        <w:rPr>
          <w:lang w:val="es-ES"/>
        </w:rPr>
        <w:tab/>
      </w:r>
      <w:r>
        <w:rPr>
          <w:rStyle w:val="FootnoteReference"/>
        </w:rPr>
        <w:footnoteRef/>
      </w:r>
      <w:r w:rsidRPr="003C2A81">
        <w:rPr>
          <w:lang w:val="es-ES"/>
        </w:rPr>
        <w:tab/>
        <w:t xml:space="preserve">Ibid. </w:t>
      </w:r>
    </w:p>
  </w:footnote>
  <w:footnote w:id="30">
    <w:p w14:paraId="60A91AF0" w14:textId="2BBEFBC9" w:rsidR="003C2A81" w:rsidRDefault="003C2A81" w:rsidP="003C2A81">
      <w:pPr>
        <w:pStyle w:val="FootnoteText"/>
      </w:pPr>
      <w:r w:rsidRPr="006501F7">
        <w:rPr>
          <w:lang w:val="es-ES"/>
        </w:rPr>
        <w:tab/>
      </w:r>
      <w:r>
        <w:rPr>
          <w:rStyle w:val="FootnoteReference"/>
        </w:rPr>
        <w:footnoteRef/>
      </w:r>
      <w:r>
        <w:tab/>
      </w:r>
      <w:r w:rsidRPr="003C2A81">
        <w:t>Ibid.</w:t>
      </w:r>
    </w:p>
  </w:footnote>
  <w:footnote w:id="31">
    <w:p w14:paraId="527B4C51" w14:textId="2D4D582B" w:rsidR="003C2A81" w:rsidRDefault="003C2A81" w:rsidP="003C2A81">
      <w:pPr>
        <w:pStyle w:val="FootnoteText"/>
      </w:pPr>
      <w:r>
        <w:tab/>
      </w:r>
      <w:r>
        <w:rPr>
          <w:rStyle w:val="FootnoteReference"/>
        </w:rPr>
        <w:footnoteRef/>
      </w:r>
      <w:r>
        <w:tab/>
      </w:r>
      <w:r w:rsidRPr="003C2A81">
        <w:t>Ibid, page 238.</w:t>
      </w:r>
      <w:r>
        <w:t xml:space="preserve"> </w:t>
      </w:r>
    </w:p>
  </w:footnote>
  <w:footnote w:id="32">
    <w:p w14:paraId="5F2BA52D" w14:textId="1056A722" w:rsidR="003C2A81" w:rsidRDefault="003C2A81" w:rsidP="003C2A81">
      <w:pPr>
        <w:pStyle w:val="FootnoteText"/>
      </w:pPr>
      <w:r>
        <w:tab/>
      </w:r>
      <w:r>
        <w:rPr>
          <w:rStyle w:val="FootnoteReference"/>
        </w:rPr>
        <w:footnoteRef/>
      </w:r>
      <w:r>
        <w:tab/>
      </w:r>
      <w:r w:rsidR="002848CC" w:rsidRPr="002848CC">
        <w:t>Ibid.</w:t>
      </w:r>
      <w:r>
        <w:t xml:space="preserve"> </w:t>
      </w:r>
    </w:p>
  </w:footnote>
  <w:footnote w:id="33">
    <w:p w14:paraId="6AAEDBE1" w14:textId="12DA499E" w:rsidR="003C2A81" w:rsidRDefault="003C2A81" w:rsidP="003C2A81">
      <w:pPr>
        <w:pStyle w:val="FootnoteText"/>
      </w:pPr>
      <w:r>
        <w:tab/>
      </w:r>
      <w:r>
        <w:rPr>
          <w:rStyle w:val="FootnoteReference"/>
        </w:rPr>
        <w:footnoteRef/>
      </w:r>
      <w:r>
        <w:tab/>
      </w:r>
      <w:r w:rsidR="002848CC" w:rsidRPr="002848CC">
        <w:t>Ibid, page 241.</w:t>
      </w:r>
      <w:r>
        <w:t xml:space="preserve"> </w:t>
      </w:r>
    </w:p>
  </w:footnote>
  <w:footnote w:id="34">
    <w:p w14:paraId="5F588C44" w14:textId="19A1EB64" w:rsidR="002848CC" w:rsidRPr="006501F7" w:rsidRDefault="002848CC" w:rsidP="002848CC">
      <w:pPr>
        <w:pStyle w:val="FootnoteText"/>
        <w:rPr>
          <w:lang w:val="fr-FR"/>
        </w:rPr>
      </w:pPr>
      <w:r>
        <w:tab/>
      </w:r>
      <w:r>
        <w:rPr>
          <w:rStyle w:val="FootnoteReference"/>
        </w:rPr>
        <w:footnoteRef/>
      </w:r>
      <w:r w:rsidRPr="006501F7">
        <w:rPr>
          <w:lang w:val="fr-FR"/>
        </w:rPr>
        <w:tab/>
      </w:r>
      <w:proofErr w:type="spellStart"/>
      <w:r w:rsidRPr="006501F7">
        <w:rPr>
          <w:lang w:val="fr-FR"/>
        </w:rPr>
        <w:t>Ibid</w:t>
      </w:r>
      <w:proofErr w:type="spellEnd"/>
      <w:r w:rsidRPr="006501F7">
        <w:rPr>
          <w:lang w:val="fr-FR"/>
        </w:rPr>
        <w:t xml:space="preserve">, pages 262-276. </w:t>
      </w:r>
    </w:p>
  </w:footnote>
  <w:footnote w:id="35">
    <w:p w14:paraId="6309EE68" w14:textId="1F484F14" w:rsidR="002848CC" w:rsidRPr="006501F7" w:rsidRDefault="002848CC" w:rsidP="002848CC">
      <w:pPr>
        <w:pStyle w:val="FootnoteText"/>
        <w:rPr>
          <w:lang w:val="fr-FR"/>
        </w:rPr>
      </w:pPr>
      <w:r w:rsidRPr="006501F7">
        <w:rPr>
          <w:lang w:val="fr-FR"/>
        </w:rPr>
        <w:tab/>
      </w:r>
      <w:r>
        <w:rPr>
          <w:rStyle w:val="FootnoteReference"/>
        </w:rPr>
        <w:footnoteRef/>
      </w:r>
      <w:r w:rsidRPr="006501F7">
        <w:rPr>
          <w:lang w:val="fr-FR"/>
        </w:rPr>
        <w:tab/>
      </w:r>
      <w:proofErr w:type="spellStart"/>
      <w:r w:rsidRPr="006501F7">
        <w:rPr>
          <w:lang w:val="fr-FR"/>
        </w:rPr>
        <w:t>Ibid</w:t>
      </w:r>
      <w:proofErr w:type="spellEnd"/>
      <w:r w:rsidRPr="006501F7">
        <w:rPr>
          <w:lang w:val="fr-FR"/>
        </w:rPr>
        <w:t xml:space="preserve">, pages 279-282. </w:t>
      </w:r>
    </w:p>
  </w:footnote>
  <w:footnote w:id="36">
    <w:p w14:paraId="2C93BF9D" w14:textId="5C621D24" w:rsidR="00110E7E" w:rsidRPr="006501F7" w:rsidRDefault="00110E7E" w:rsidP="00110E7E">
      <w:pPr>
        <w:pStyle w:val="FootnoteText"/>
        <w:rPr>
          <w:lang w:val="fr-FR"/>
        </w:rPr>
      </w:pPr>
      <w:r w:rsidRPr="006501F7">
        <w:rPr>
          <w:lang w:val="fr-FR"/>
        </w:rPr>
        <w:tab/>
      </w:r>
      <w:r>
        <w:rPr>
          <w:rStyle w:val="FootnoteReference"/>
        </w:rPr>
        <w:footnoteRef/>
      </w:r>
      <w:r w:rsidRPr="006501F7">
        <w:rPr>
          <w:lang w:val="fr-FR"/>
        </w:rPr>
        <w:tab/>
      </w:r>
      <w:proofErr w:type="spellStart"/>
      <w:r w:rsidRPr="006501F7">
        <w:rPr>
          <w:lang w:val="fr-FR"/>
        </w:rPr>
        <w:t>Ibid</w:t>
      </w:r>
      <w:proofErr w:type="spellEnd"/>
      <w:r w:rsidRPr="006501F7">
        <w:rPr>
          <w:lang w:val="fr-FR"/>
        </w:rPr>
        <w:t xml:space="preserve">, page 325. </w:t>
      </w:r>
    </w:p>
  </w:footnote>
  <w:footnote w:id="37">
    <w:p w14:paraId="6DA733B9" w14:textId="4FDF18C6" w:rsidR="00110E7E" w:rsidRPr="00692C70" w:rsidRDefault="00110E7E" w:rsidP="00692C70">
      <w:pPr>
        <w:pStyle w:val="FootnoteText"/>
        <w:rPr>
          <w:color w:val="0000FF"/>
        </w:rPr>
      </w:pPr>
      <w:r w:rsidRPr="006501F7">
        <w:rPr>
          <w:lang w:val="fr-FR"/>
        </w:rPr>
        <w:tab/>
      </w:r>
      <w:r>
        <w:rPr>
          <w:rStyle w:val="FootnoteReference"/>
        </w:rPr>
        <w:footnoteRef/>
      </w:r>
      <w:r>
        <w:tab/>
      </w:r>
      <w:r w:rsidR="00692C70" w:rsidRPr="00692C70">
        <w:t>Ibid.</w:t>
      </w:r>
    </w:p>
  </w:footnote>
  <w:footnote w:id="38">
    <w:p w14:paraId="1DE41C0F" w14:textId="64D79A87" w:rsidR="00110E7E" w:rsidRDefault="00110E7E" w:rsidP="00110E7E">
      <w:pPr>
        <w:pStyle w:val="FootnoteText"/>
      </w:pPr>
      <w:r>
        <w:tab/>
      </w:r>
      <w:r>
        <w:rPr>
          <w:rStyle w:val="FootnoteReference"/>
        </w:rPr>
        <w:footnoteRef/>
      </w:r>
      <w:r>
        <w:tab/>
      </w:r>
      <w:r w:rsidR="00692C70" w:rsidRPr="00692C70">
        <w:t xml:space="preserve">Case of </w:t>
      </w:r>
      <w:proofErr w:type="spellStart"/>
      <w:r w:rsidR="00692C70" w:rsidRPr="00692C70">
        <w:t>Mamasakhlisi</w:t>
      </w:r>
      <w:proofErr w:type="spellEnd"/>
      <w:r w:rsidR="00692C70" w:rsidRPr="00692C70">
        <w:t xml:space="preserve"> and others v. Georgia and Russia, available at: </w:t>
      </w:r>
      <w:hyperlink r:id="rId7" w:history="1">
        <w:r w:rsidR="00692C70" w:rsidRPr="00692C70">
          <w:rPr>
            <w:rStyle w:val="Hyperlink"/>
          </w:rPr>
          <w:t>https://bit.ly/42ttLNr</w:t>
        </w:r>
      </w:hyperlink>
      <w:r w:rsidR="00692C70" w:rsidRPr="00692C70">
        <w:t xml:space="preserve"> [last accessed 04.05.2023].</w:t>
      </w:r>
      <w:r>
        <w:t xml:space="preserve"> </w:t>
      </w:r>
    </w:p>
  </w:footnote>
  <w:footnote w:id="39">
    <w:p w14:paraId="53152FA2" w14:textId="2D0740B8" w:rsidR="00110E7E" w:rsidRPr="006501F7" w:rsidRDefault="00110E7E" w:rsidP="00110E7E">
      <w:pPr>
        <w:pStyle w:val="FootnoteText"/>
        <w:rPr>
          <w:lang w:val="es-ES"/>
        </w:rPr>
      </w:pPr>
      <w:r>
        <w:tab/>
      </w:r>
      <w:r>
        <w:rPr>
          <w:rStyle w:val="FootnoteReference"/>
        </w:rPr>
        <w:footnoteRef/>
      </w:r>
      <w:r w:rsidRPr="006501F7">
        <w:rPr>
          <w:lang w:val="es-ES"/>
        </w:rPr>
        <w:tab/>
      </w:r>
      <w:r w:rsidR="00692C70" w:rsidRPr="006501F7">
        <w:rPr>
          <w:lang w:val="es-ES"/>
        </w:rPr>
        <w:t>Ibid.</w:t>
      </w:r>
      <w:r w:rsidRPr="006501F7">
        <w:rPr>
          <w:lang w:val="es-ES"/>
        </w:rPr>
        <w:t xml:space="preserve"> </w:t>
      </w:r>
    </w:p>
  </w:footnote>
  <w:footnote w:id="40">
    <w:p w14:paraId="6ED13EED" w14:textId="31ECE47A" w:rsidR="00110E7E" w:rsidRPr="006501F7" w:rsidRDefault="00110E7E" w:rsidP="00110E7E">
      <w:pPr>
        <w:pStyle w:val="FootnoteText"/>
        <w:rPr>
          <w:lang w:val="es-ES"/>
        </w:rPr>
      </w:pPr>
      <w:r w:rsidRPr="006501F7">
        <w:rPr>
          <w:lang w:val="es-ES"/>
        </w:rPr>
        <w:tab/>
      </w:r>
      <w:r>
        <w:rPr>
          <w:rStyle w:val="FootnoteReference"/>
        </w:rPr>
        <w:footnoteRef/>
      </w:r>
      <w:r w:rsidRPr="006501F7">
        <w:rPr>
          <w:lang w:val="es-ES"/>
        </w:rPr>
        <w:tab/>
      </w:r>
      <w:r w:rsidR="00692C70" w:rsidRPr="006501F7">
        <w:rPr>
          <w:lang w:val="es-ES"/>
        </w:rPr>
        <w:t>Supra note 2, page 326.</w:t>
      </w:r>
      <w:r w:rsidRPr="006501F7">
        <w:rPr>
          <w:lang w:val="es-ES"/>
        </w:rPr>
        <w:t xml:space="preserve"> </w:t>
      </w:r>
    </w:p>
  </w:footnote>
  <w:footnote w:id="41">
    <w:p w14:paraId="6E90DB72" w14:textId="670E20D8" w:rsidR="00110E7E" w:rsidRPr="006501F7" w:rsidRDefault="00110E7E" w:rsidP="00692C70">
      <w:pPr>
        <w:pStyle w:val="FootnoteText"/>
        <w:rPr>
          <w:color w:val="0000FF"/>
          <w:lang w:val="es-ES"/>
        </w:rPr>
      </w:pPr>
      <w:r w:rsidRPr="006501F7">
        <w:rPr>
          <w:lang w:val="es-ES"/>
        </w:rPr>
        <w:tab/>
      </w:r>
      <w:r>
        <w:rPr>
          <w:rStyle w:val="FootnoteReference"/>
        </w:rPr>
        <w:footnoteRef/>
      </w:r>
      <w:r w:rsidRPr="006501F7">
        <w:rPr>
          <w:lang w:val="es-ES"/>
        </w:rPr>
        <w:tab/>
      </w:r>
      <w:r w:rsidR="00692C70" w:rsidRPr="006501F7">
        <w:rPr>
          <w:lang w:val="es-ES"/>
        </w:rPr>
        <w:t xml:space="preserve">Ibid. </w:t>
      </w:r>
    </w:p>
  </w:footnote>
  <w:footnote w:id="42">
    <w:p w14:paraId="12E5F86D" w14:textId="57006ED4" w:rsidR="00110E7E" w:rsidRDefault="00110E7E" w:rsidP="00110E7E">
      <w:pPr>
        <w:pStyle w:val="FootnoteText"/>
      </w:pPr>
      <w:r w:rsidRPr="006501F7">
        <w:rPr>
          <w:lang w:val="es-ES"/>
        </w:rPr>
        <w:tab/>
      </w:r>
      <w:r>
        <w:rPr>
          <w:rStyle w:val="FootnoteReference"/>
        </w:rPr>
        <w:footnoteRef/>
      </w:r>
      <w:r>
        <w:tab/>
      </w:r>
      <w:r w:rsidR="00692C70" w:rsidRPr="00692C70">
        <w:t>Ibid, pages 326-327</w:t>
      </w:r>
      <w:r w:rsidR="00692C70">
        <w:t xml:space="preserve">. </w:t>
      </w:r>
    </w:p>
  </w:footnote>
  <w:footnote w:id="43">
    <w:p w14:paraId="69DBF01C" w14:textId="3C2C4522" w:rsidR="00110E7E" w:rsidRPr="008A2273" w:rsidRDefault="00110E7E" w:rsidP="008A2273">
      <w:pPr>
        <w:pStyle w:val="FootnoteText"/>
        <w:rPr>
          <w:color w:val="0000FF"/>
        </w:rPr>
      </w:pPr>
      <w:r>
        <w:tab/>
      </w:r>
      <w:r>
        <w:rPr>
          <w:rStyle w:val="FootnoteReference"/>
        </w:rPr>
        <w:footnoteRef/>
      </w:r>
      <w:r>
        <w:tab/>
      </w:r>
      <w:r w:rsidR="008A2273" w:rsidRPr="008A2273">
        <w:t>Ibid, page 327.</w:t>
      </w:r>
    </w:p>
  </w:footnote>
  <w:footnote w:id="44">
    <w:p w14:paraId="503B7349" w14:textId="69DA6CED" w:rsidR="00692C70" w:rsidRDefault="00692C70" w:rsidP="008A2273">
      <w:pPr>
        <w:pStyle w:val="FootnoteText"/>
      </w:pPr>
      <w:r>
        <w:tab/>
      </w:r>
      <w:r>
        <w:rPr>
          <w:rStyle w:val="FootnoteReference"/>
        </w:rPr>
        <w:footnoteRef/>
      </w:r>
      <w:r>
        <w:tab/>
      </w:r>
      <w:r w:rsidR="008A2273" w:rsidRPr="008A2273">
        <w:t>Ibid.</w:t>
      </w:r>
    </w:p>
  </w:footnote>
  <w:footnote w:id="45">
    <w:p w14:paraId="13C28F43" w14:textId="195F3954" w:rsidR="00692C70" w:rsidRDefault="00692C70" w:rsidP="008A2273">
      <w:pPr>
        <w:pStyle w:val="FootnoteText"/>
      </w:pPr>
      <w:r>
        <w:tab/>
      </w:r>
      <w:r>
        <w:rPr>
          <w:rStyle w:val="FootnoteReference"/>
        </w:rPr>
        <w:footnoteRef/>
      </w:r>
      <w:r>
        <w:tab/>
      </w:r>
      <w:r w:rsidR="008A2273" w:rsidRPr="008A2273">
        <w:t>Ibid.</w:t>
      </w:r>
    </w:p>
  </w:footnote>
  <w:footnote w:id="46">
    <w:p w14:paraId="29FECBB7" w14:textId="20A3F97E" w:rsidR="00692C70" w:rsidRDefault="00692C70" w:rsidP="00692C70">
      <w:pPr>
        <w:pStyle w:val="FootnoteText"/>
      </w:pPr>
      <w:r>
        <w:tab/>
      </w:r>
      <w:r>
        <w:rPr>
          <w:rStyle w:val="FootnoteReference"/>
        </w:rPr>
        <w:footnoteRef/>
      </w:r>
      <w:r>
        <w:tab/>
      </w:r>
      <w:r w:rsidR="008A2273" w:rsidRPr="008A2273">
        <w:t>Ibid.</w:t>
      </w:r>
      <w:r>
        <w:t xml:space="preserve"> </w:t>
      </w:r>
    </w:p>
  </w:footnote>
  <w:footnote w:id="47">
    <w:p w14:paraId="78748A75" w14:textId="38295418" w:rsidR="00692C70" w:rsidRDefault="00692C70" w:rsidP="00692C70">
      <w:pPr>
        <w:pStyle w:val="FootnoteText"/>
      </w:pPr>
      <w:r>
        <w:tab/>
      </w:r>
      <w:r>
        <w:rPr>
          <w:rStyle w:val="FootnoteReference"/>
        </w:rPr>
        <w:footnoteRef/>
      </w:r>
      <w:r>
        <w:tab/>
      </w:r>
      <w:r w:rsidR="008A2273" w:rsidRPr="008A2273">
        <w:t>Ibid</w:t>
      </w:r>
      <w:r>
        <w:rPr>
          <w:rStyle w:val="Hyperlink"/>
        </w:rPr>
        <w:t>.</w:t>
      </w:r>
      <w:r>
        <w:t xml:space="preserve"> </w:t>
      </w:r>
    </w:p>
  </w:footnote>
  <w:footnote w:id="48">
    <w:p w14:paraId="29F09B33" w14:textId="2092D39C" w:rsidR="00692C70" w:rsidRDefault="00692C70" w:rsidP="00692C70">
      <w:pPr>
        <w:pStyle w:val="FootnoteText"/>
      </w:pPr>
      <w:r>
        <w:tab/>
      </w:r>
      <w:r>
        <w:rPr>
          <w:rStyle w:val="FootnoteReference"/>
        </w:rPr>
        <w:footnoteRef/>
      </w:r>
      <w:r>
        <w:tab/>
      </w:r>
      <w:r w:rsidR="008A2273" w:rsidRPr="008A2273">
        <w:t>Ibid.</w:t>
      </w:r>
      <w:r>
        <w:t xml:space="preserve"> </w:t>
      </w:r>
    </w:p>
  </w:footnote>
  <w:footnote w:id="49">
    <w:p w14:paraId="0E7EAE33" w14:textId="44183F24" w:rsidR="00692C70" w:rsidRDefault="00692C70" w:rsidP="00692C70">
      <w:pPr>
        <w:pStyle w:val="FootnoteText"/>
      </w:pPr>
      <w:r>
        <w:tab/>
      </w:r>
      <w:r>
        <w:rPr>
          <w:rStyle w:val="FootnoteReference"/>
        </w:rPr>
        <w:footnoteRef/>
      </w:r>
      <w:r>
        <w:tab/>
      </w:r>
      <w:r w:rsidR="008A2273" w:rsidRPr="008A2273">
        <w:t>Ibid, pages 330-331.</w:t>
      </w:r>
    </w:p>
  </w:footnote>
  <w:footnote w:id="50">
    <w:p w14:paraId="376A1F7A" w14:textId="273DBAD8" w:rsidR="008A2273" w:rsidRDefault="008A2273" w:rsidP="008A2273">
      <w:pPr>
        <w:pStyle w:val="FootnoteText"/>
      </w:pPr>
      <w:r>
        <w:tab/>
      </w:r>
      <w:r>
        <w:rPr>
          <w:rStyle w:val="FootnoteReference"/>
        </w:rPr>
        <w:footnoteRef/>
      </w:r>
      <w:r>
        <w:tab/>
      </w:r>
      <w:r w:rsidR="000820F3" w:rsidRPr="000820F3">
        <w:t>Ibid.</w:t>
      </w:r>
      <w:r>
        <w:t xml:space="preserve"> </w:t>
      </w:r>
    </w:p>
  </w:footnote>
  <w:footnote w:id="51">
    <w:p w14:paraId="7D465246" w14:textId="7BC8C427" w:rsidR="008A2273" w:rsidRDefault="008A2273" w:rsidP="008A2273">
      <w:pPr>
        <w:pStyle w:val="FootnoteText"/>
      </w:pPr>
      <w:r>
        <w:tab/>
      </w:r>
      <w:r>
        <w:rPr>
          <w:rStyle w:val="FootnoteReference"/>
        </w:rPr>
        <w:footnoteRef/>
      </w:r>
      <w:r>
        <w:tab/>
      </w:r>
      <w:r w:rsidR="000820F3" w:rsidRPr="000820F3">
        <w:t>Ibid, page 330.</w:t>
      </w:r>
      <w:r>
        <w:t xml:space="preserve"> </w:t>
      </w:r>
    </w:p>
  </w:footnote>
  <w:footnote w:id="52">
    <w:p w14:paraId="0DCF4829" w14:textId="77668DF9" w:rsidR="008A2273" w:rsidRDefault="008A2273" w:rsidP="008A2273">
      <w:pPr>
        <w:pStyle w:val="FootnoteText"/>
      </w:pPr>
      <w:r>
        <w:tab/>
      </w:r>
      <w:r>
        <w:rPr>
          <w:rStyle w:val="FootnoteReference"/>
        </w:rPr>
        <w:footnoteRef/>
      </w:r>
      <w:r>
        <w:tab/>
      </w:r>
      <w:r w:rsidR="000820F3" w:rsidRPr="000820F3">
        <w:t>Ibid, pages 330-331.</w:t>
      </w:r>
      <w:r>
        <w:t xml:space="preserve"> </w:t>
      </w:r>
    </w:p>
  </w:footnote>
  <w:footnote w:id="53">
    <w:p w14:paraId="55470A0B" w14:textId="62066160" w:rsidR="008A2273" w:rsidRDefault="008A2273" w:rsidP="000820F3">
      <w:pPr>
        <w:pStyle w:val="FootnoteText"/>
      </w:pPr>
      <w:r>
        <w:tab/>
      </w:r>
      <w:r>
        <w:rPr>
          <w:rStyle w:val="FootnoteReference"/>
        </w:rPr>
        <w:footnoteRef/>
      </w:r>
      <w:r>
        <w:tab/>
      </w:r>
      <w:r w:rsidR="000820F3" w:rsidRPr="000820F3">
        <w:t>Ibid, page 331.</w:t>
      </w:r>
    </w:p>
  </w:footnote>
  <w:footnote w:id="54">
    <w:p w14:paraId="62B6E33C" w14:textId="3B4817B4" w:rsidR="008A2273" w:rsidRDefault="008A2273" w:rsidP="008A2273">
      <w:pPr>
        <w:pStyle w:val="FootnoteText"/>
      </w:pPr>
      <w:r>
        <w:tab/>
      </w:r>
      <w:r>
        <w:rPr>
          <w:rStyle w:val="FootnoteReference"/>
        </w:rPr>
        <w:footnoteRef/>
      </w:r>
      <w:r>
        <w:tab/>
      </w:r>
      <w:r w:rsidR="000820F3" w:rsidRPr="000820F3">
        <w:t>Ibid, pages 329-330</w:t>
      </w:r>
      <w:r w:rsidR="000820F3">
        <w:t xml:space="preserve">. </w:t>
      </w:r>
    </w:p>
  </w:footnote>
  <w:footnote w:id="55">
    <w:p w14:paraId="1D386963" w14:textId="13166807" w:rsidR="008A2273" w:rsidRDefault="008A2273" w:rsidP="008A2273">
      <w:pPr>
        <w:pStyle w:val="FootnoteText"/>
      </w:pPr>
      <w:r>
        <w:tab/>
      </w:r>
      <w:r>
        <w:rPr>
          <w:rStyle w:val="FootnoteReference"/>
        </w:rPr>
        <w:footnoteRef/>
      </w:r>
      <w:r>
        <w:tab/>
      </w:r>
      <w:r w:rsidR="000820F3" w:rsidRPr="000820F3">
        <w:t>Ibid, page 332.</w:t>
      </w:r>
      <w:r>
        <w:t xml:space="preserve"> </w:t>
      </w:r>
    </w:p>
  </w:footnote>
  <w:footnote w:id="56">
    <w:p w14:paraId="737AF52B" w14:textId="75F4A2B1" w:rsidR="008A2273" w:rsidRDefault="008A2273" w:rsidP="000820F3">
      <w:pPr>
        <w:pStyle w:val="FootnoteText"/>
      </w:pPr>
      <w:r>
        <w:tab/>
      </w:r>
      <w:r>
        <w:rPr>
          <w:rStyle w:val="FootnoteReference"/>
        </w:rPr>
        <w:footnoteRef/>
      </w:r>
      <w:r>
        <w:tab/>
      </w:r>
      <w:r w:rsidR="000820F3" w:rsidRPr="000820F3">
        <w:t>Ibid.</w:t>
      </w:r>
      <w:r>
        <w:t xml:space="preserve"> </w:t>
      </w:r>
    </w:p>
  </w:footnote>
  <w:footnote w:id="57">
    <w:p w14:paraId="392DA31A" w14:textId="3916553A" w:rsidR="00D020BE" w:rsidRDefault="00D020BE" w:rsidP="00D020BE">
      <w:pPr>
        <w:pStyle w:val="FootnoteText"/>
      </w:pPr>
      <w:r>
        <w:tab/>
      </w:r>
      <w:r>
        <w:rPr>
          <w:rStyle w:val="FootnoteReference"/>
        </w:rPr>
        <w:footnoteRef/>
      </w:r>
      <w:r>
        <w:tab/>
      </w:r>
      <w:r w:rsidR="000820F3" w:rsidRPr="000820F3">
        <w:t>Ibid.</w:t>
      </w:r>
      <w:r>
        <w:t xml:space="preserve"> </w:t>
      </w:r>
    </w:p>
  </w:footnote>
  <w:footnote w:id="58">
    <w:p w14:paraId="26D6ED4B" w14:textId="4E38423B" w:rsidR="00D020BE" w:rsidRDefault="00D020BE" w:rsidP="00D020BE">
      <w:pPr>
        <w:pStyle w:val="FootnoteText"/>
      </w:pPr>
      <w:r>
        <w:tab/>
      </w:r>
      <w:r>
        <w:rPr>
          <w:rStyle w:val="FootnoteReference"/>
        </w:rPr>
        <w:footnoteRef/>
      </w:r>
      <w:r>
        <w:tab/>
      </w:r>
      <w:r w:rsidR="000820F3" w:rsidRPr="000820F3">
        <w:t>Ibid, page 333.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890" w14:textId="382116C0" w:rsidR="00316281" w:rsidRPr="00316281" w:rsidRDefault="006501F7" w:rsidP="00150C8B">
    <w:pPr>
      <w:pStyle w:val="Header"/>
    </w:pPr>
    <w:r>
      <w:rPr>
        <w:noProof/>
      </w:rPr>
      <w:pict w14:anchorId="4BAC9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4516" o:spid="_x0000_s20482" type="#_x0000_t136" style="position:absolute;margin-left:0;margin-top:0;width:599.5pt;height:79.9pt;rotation:315;z-index:-251655168;mso-position-horizontal:center;mso-position-horizontal-relative:margin;mso-position-vertical:center;mso-position-vertical-relative:margin" o:allowincell="f" fillcolor="silver" stroked="f">
          <v:fill opacity=".5"/>
          <v:textpath style="font-family:&quot;Times New Roman&quot;;font-size:1pt" string="Advance version"/>
          <w10:wrap anchorx="margin" anchory="margin"/>
        </v:shape>
      </w:pict>
    </w:r>
    <w:r w:rsidR="00316281" w:rsidRPr="00316281">
      <w:t>A/HRC/5</w:t>
    </w:r>
    <w:r w:rsidR="00B44BE2">
      <w:t>3</w:t>
    </w:r>
    <w:r w:rsidR="00316281" w:rsidRPr="00316281">
      <w:t>/NI/3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333E" w14:textId="2842216B" w:rsidR="00316281" w:rsidRDefault="006501F7" w:rsidP="00150C8B">
    <w:pPr>
      <w:pStyle w:val="Header"/>
      <w:jc w:val="right"/>
    </w:pPr>
    <w:r>
      <w:rPr>
        <w:noProof/>
      </w:rPr>
      <w:pict w14:anchorId="11CE0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4517" o:spid="_x0000_s20483" type="#_x0000_t136" style="position:absolute;left:0;text-align:left;margin-left:0;margin-top:0;width:599.5pt;height:79.9pt;rotation:315;z-index:-251653120;mso-position-horizontal:center;mso-position-horizontal-relative:margin;mso-position-vertical:center;mso-position-vertical-relative:margin" o:allowincell="f" fillcolor="silver" stroked="f">
          <v:fill opacity=".5"/>
          <v:textpath style="font-family:&quot;Times New Roman&quot;;font-size:1pt" string="Advance version"/>
          <w10:wrap anchorx="margin" anchory="margin"/>
        </v:shape>
      </w:pict>
    </w:r>
    <w:r w:rsidR="00B738B1">
      <w:t>A/HRC/5</w:t>
    </w:r>
    <w:r w:rsidR="00B44BE2">
      <w:t>3</w:t>
    </w:r>
    <w:r w:rsidR="00B738B1">
      <w:t>/NI/3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08D5" w14:textId="7CA71870" w:rsidR="00A63CD1" w:rsidRDefault="006501F7">
    <w:pPr>
      <w:pStyle w:val="Header"/>
    </w:pPr>
    <w:r>
      <w:rPr>
        <w:noProof/>
      </w:rPr>
      <w:pict w14:anchorId="4E7F1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4515" o:spid="_x0000_s20481" type="#_x0000_t136" style="position:absolute;margin-left:0;margin-top:0;width:599.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Advance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348"/>
        </w:tabs>
        <w:ind w:left="1482" w:firstLine="0"/>
      </w:pPr>
      <w:rPr>
        <w:rFonts w:ascii="Times New Roman" w:hAnsi="Times New Roman" w:hint="default"/>
        <w:b w:val="0"/>
        <w:i w:val="0"/>
        <w:sz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02D83E67"/>
    <w:multiLevelType w:val="hybridMultilevel"/>
    <w:tmpl w:val="D5D24F8E"/>
    <w:lvl w:ilvl="0" w:tplc="842C2C60">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C24411"/>
    <w:multiLevelType w:val="hybridMultilevel"/>
    <w:tmpl w:val="8D5698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C241C"/>
    <w:multiLevelType w:val="hybridMultilevel"/>
    <w:tmpl w:val="9964377C"/>
    <w:lvl w:ilvl="0" w:tplc="0456D790">
      <w:start w:val="1"/>
      <w:numFmt w:val="lowerLetter"/>
      <w:lvlText w:val="(%1)"/>
      <w:lvlJc w:val="left"/>
      <w:pPr>
        <w:ind w:left="1854" w:hanging="360"/>
      </w:pPr>
      <w:rPr>
        <w:rFonts w:asciiTheme="majorBidi" w:eastAsia="Times New Roman" w:hAnsiTheme="majorBidi" w:cstheme="majorBidi"/>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929E4"/>
    <w:multiLevelType w:val="hybridMultilevel"/>
    <w:tmpl w:val="C6DA21B2"/>
    <w:lvl w:ilvl="0" w:tplc="FFFFFFFF">
      <w:start w:val="1"/>
      <w:numFmt w:val="lowerLetter"/>
      <w:lvlText w:val="(%1)"/>
      <w:lvlJc w:val="left"/>
      <w:pPr>
        <w:ind w:left="1854" w:hanging="360"/>
      </w:pPr>
      <w:rPr>
        <w:rFonts w:asciiTheme="majorBidi" w:eastAsia="Times New Roman" w:hAnsiTheme="majorBidi" w:cstheme="majorBidi"/>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3198995">
    <w:abstractNumId w:val="7"/>
  </w:num>
  <w:num w:numId="2" w16cid:durableId="161627500">
    <w:abstractNumId w:val="5"/>
  </w:num>
  <w:num w:numId="3" w16cid:durableId="1552186634">
    <w:abstractNumId w:val="0"/>
  </w:num>
  <w:num w:numId="4" w16cid:durableId="82336244">
    <w:abstractNumId w:val="9"/>
  </w:num>
  <w:num w:numId="5" w16cid:durableId="2113435951">
    <w:abstractNumId w:val="10"/>
  </w:num>
  <w:num w:numId="6" w16cid:durableId="596909651">
    <w:abstractNumId w:val="12"/>
  </w:num>
  <w:num w:numId="7" w16cid:durableId="924413213">
    <w:abstractNumId w:val="3"/>
  </w:num>
  <w:num w:numId="8" w16cid:durableId="1486972373">
    <w:abstractNumId w:val="2"/>
  </w:num>
  <w:num w:numId="9" w16cid:durableId="1992176668">
    <w:abstractNumId w:val="11"/>
  </w:num>
  <w:num w:numId="10" w16cid:durableId="1219513335">
    <w:abstractNumId w:val="2"/>
  </w:num>
  <w:num w:numId="11" w16cid:durableId="1759054638">
    <w:abstractNumId w:val="11"/>
  </w:num>
  <w:num w:numId="12" w16cid:durableId="108672468">
    <w:abstractNumId w:val="6"/>
  </w:num>
  <w:num w:numId="13" w16cid:durableId="1842696414">
    <w:abstractNumId w:val="4"/>
  </w:num>
  <w:num w:numId="14" w16cid:durableId="768042322">
    <w:abstractNumId w:val="1"/>
  </w:num>
  <w:num w:numId="15" w16cid:durableId="1550338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84"/>
    <o:shapelayout v:ext="edit">
      <o:idmap v:ext="edit" data="20"/>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40AF"/>
    <w:rsid w:val="00046E92"/>
    <w:rsid w:val="00063C90"/>
    <w:rsid w:val="00072607"/>
    <w:rsid w:val="000820F3"/>
    <w:rsid w:val="00101B98"/>
    <w:rsid w:val="00110E7E"/>
    <w:rsid w:val="00150C8B"/>
    <w:rsid w:val="00180B2E"/>
    <w:rsid w:val="00184BA3"/>
    <w:rsid w:val="00192997"/>
    <w:rsid w:val="00227F79"/>
    <w:rsid w:val="00247E2C"/>
    <w:rsid w:val="002711C8"/>
    <w:rsid w:val="002848CC"/>
    <w:rsid w:val="00290262"/>
    <w:rsid w:val="002A32CB"/>
    <w:rsid w:val="002B319E"/>
    <w:rsid w:val="002D6C53"/>
    <w:rsid w:val="002F5595"/>
    <w:rsid w:val="0030300B"/>
    <w:rsid w:val="00316281"/>
    <w:rsid w:val="00334F6A"/>
    <w:rsid w:val="00342AC8"/>
    <w:rsid w:val="003B4550"/>
    <w:rsid w:val="003C2A81"/>
    <w:rsid w:val="003C3EC2"/>
    <w:rsid w:val="003F2B08"/>
    <w:rsid w:val="0040017C"/>
    <w:rsid w:val="00425EDF"/>
    <w:rsid w:val="00443264"/>
    <w:rsid w:val="0045649A"/>
    <w:rsid w:val="00461253"/>
    <w:rsid w:val="00486E21"/>
    <w:rsid w:val="004A20DB"/>
    <w:rsid w:val="004A20E9"/>
    <w:rsid w:val="004A2814"/>
    <w:rsid w:val="004C0622"/>
    <w:rsid w:val="004D10F9"/>
    <w:rsid w:val="005042C2"/>
    <w:rsid w:val="00522900"/>
    <w:rsid w:val="00543D53"/>
    <w:rsid w:val="00586B41"/>
    <w:rsid w:val="005A31B5"/>
    <w:rsid w:val="005C4F37"/>
    <w:rsid w:val="005C75D3"/>
    <w:rsid w:val="005E716E"/>
    <w:rsid w:val="006501F7"/>
    <w:rsid w:val="00671529"/>
    <w:rsid w:val="00692C70"/>
    <w:rsid w:val="0070489D"/>
    <w:rsid w:val="0072285C"/>
    <w:rsid w:val="00726529"/>
    <w:rsid w:val="007268F9"/>
    <w:rsid w:val="0078617A"/>
    <w:rsid w:val="007C52B0"/>
    <w:rsid w:val="00861B4E"/>
    <w:rsid w:val="0089653B"/>
    <w:rsid w:val="008A2273"/>
    <w:rsid w:val="0091219D"/>
    <w:rsid w:val="009411B4"/>
    <w:rsid w:val="00962A56"/>
    <w:rsid w:val="009C520A"/>
    <w:rsid w:val="009D0139"/>
    <w:rsid w:val="009D717D"/>
    <w:rsid w:val="009F5CDC"/>
    <w:rsid w:val="00A63CD1"/>
    <w:rsid w:val="00A722A0"/>
    <w:rsid w:val="00A775CF"/>
    <w:rsid w:val="00AB20B6"/>
    <w:rsid w:val="00AF7B1A"/>
    <w:rsid w:val="00B06045"/>
    <w:rsid w:val="00B44BE2"/>
    <w:rsid w:val="00B52EF4"/>
    <w:rsid w:val="00B738B1"/>
    <w:rsid w:val="00BC45CC"/>
    <w:rsid w:val="00C03015"/>
    <w:rsid w:val="00C0358D"/>
    <w:rsid w:val="00C35A27"/>
    <w:rsid w:val="00C47B2E"/>
    <w:rsid w:val="00C6389F"/>
    <w:rsid w:val="00CA1B04"/>
    <w:rsid w:val="00D020BE"/>
    <w:rsid w:val="00DA17FA"/>
    <w:rsid w:val="00DC5C26"/>
    <w:rsid w:val="00DF6A46"/>
    <w:rsid w:val="00E02C2B"/>
    <w:rsid w:val="00E25060"/>
    <w:rsid w:val="00E427A5"/>
    <w:rsid w:val="00E52109"/>
    <w:rsid w:val="00E75317"/>
    <w:rsid w:val="00E75510"/>
    <w:rsid w:val="00EB106C"/>
    <w:rsid w:val="00ED6C48"/>
    <w:rsid w:val="00F15D3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316281"/>
    <w:rPr>
      <w:rFonts w:ascii="Times New Roman" w:eastAsiaTheme="minorHAnsi" w:hAnsi="Times New Roman" w:cs="Times New Roman"/>
      <w:b/>
      <w:sz w:val="28"/>
      <w:szCs w:val="20"/>
      <w:lang w:eastAsia="en-US"/>
    </w:rPr>
  </w:style>
  <w:style w:type="paragraph" w:styleId="ListParagraph">
    <w:name w:val="List Paragraph"/>
    <w:basedOn w:val="Normal"/>
    <w:uiPriority w:val="34"/>
    <w:rsid w:val="00AF7B1A"/>
    <w:pPr>
      <w:ind w:left="720"/>
      <w:contextualSpacing/>
    </w:pPr>
  </w:style>
  <w:style w:type="paragraph" w:styleId="Revision">
    <w:name w:val="Revision"/>
    <w:hidden/>
    <w:uiPriority w:val="99"/>
    <w:semiHidden/>
    <w:rsid w:val="005A31B5"/>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180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41HSA8d" TargetMode="External"/><Relationship Id="rId7" Type="http://schemas.openxmlformats.org/officeDocument/2006/relationships/hyperlink" Target="https://bit.ly/42ttLNr" TargetMode="External"/><Relationship Id="rId2" Type="http://schemas.openxmlformats.org/officeDocument/2006/relationships/hyperlink" Target="https://bit.ly/3Lb0FLD" TargetMode="External"/><Relationship Id="rId1" Type="http://schemas.openxmlformats.org/officeDocument/2006/relationships/hyperlink" Target="https://bit.ly/3NIXUEe" TargetMode="External"/><Relationship Id="rId6" Type="http://schemas.openxmlformats.org/officeDocument/2006/relationships/hyperlink" Target="http://www.bit.ly/3Tpv8t9" TargetMode="External"/><Relationship Id="rId5" Type="http://schemas.openxmlformats.org/officeDocument/2006/relationships/hyperlink" Target="http://www.bit.ly/3FuG4zQ" TargetMode="External"/><Relationship Id="rId4" Type="http://schemas.openxmlformats.org/officeDocument/2006/relationships/hyperlink" Target="http://www.bit.ly/3FtNi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719-A28B-43A1-BEC2-B0B0EFBF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6</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A/HRC/SS/NI/X</vt:lpstr>
    </vt:vector>
  </TitlesOfParts>
  <Company>DCM</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OHCHR</cp:lastModifiedBy>
  <cp:revision>3</cp:revision>
  <dcterms:created xsi:type="dcterms:W3CDTF">2023-06-19T10:48:00Z</dcterms:created>
  <dcterms:modified xsi:type="dcterms:W3CDTF">2023-06-19T10:50:00Z</dcterms:modified>
</cp:coreProperties>
</file>