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5B111380" w14:textId="77777777" w:rsidTr="00E6618E">
        <w:trPr>
          <w:trHeight w:hRule="exact" w:val="851"/>
        </w:trPr>
        <w:tc>
          <w:tcPr>
            <w:tcW w:w="1276" w:type="dxa"/>
            <w:tcBorders>
              <w:bottom w:val="single" w:sz="4" w:space="0" w:color="auto"/>
            </w:tcBorders>
          </w:tcPr>
          <w:p w14:paraId="244A3A3A" w14:textId="77777777" w:rsidR="00A12E20" w:rsidRPr="00DB58B5" w:rsidRDefault="00A12E20" w:rsidP="00FC0128"/>
        </w:tc>
        <w:tc>
          <w:tcPr>
            <w:tcW w:w="2268" w:type="dxa"/>
            <w:tcBorders>
              <w:bottom w:val="single" w:sz="4" w:space="0" w:color="auto"/>
            </w:tcBorders>
            <w:vAlign w:val="bottom"/>
          </w:tcPr>
          <w:p w14:paraId="4EA87DA0"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E84E50" w14:textId="77777777" w:rsidR="00A12E20" w:rsidRPr="00DB58B5" w:rsidRDefault="00FC0128" w:rsidP="00FC0128">
            <w:pPr>
              <w:jc w:val="right"/>
            </w:pPr>
            <w:r w:rsidRPr="00FC0128">
              <w:rPr>
                <w:sz w:val="40"/>
              </w:rPr>
              <w:t>A</w:t>
            </w:r>
            <w:r>
              <w:t>/HRC/43/L.50</w:t>
            </w:r>
          </w:p>
        </w:tc>
      </w:tr>
      <w:tr w:rsidR="00A12E20" w:rsidRPr="00DB58B5" w14:paraId="47B99E47" w14:textId="77777777" w:rsidTr="00E6618E">
        <w:trPr>
          <w:trHeight w:hRule="exact" w:val="2835"/>
        </w:trPr>
        <w:tc>
          <w:tcPr>
            <w:tcW w:w="1276" w:type="dxa"/>
            <w:tcBorders>
              <w:top w:val="single" w:sz="4" w:space="0" w:color="auto"/>
              <w:bottom w:val="single" w:sz="12" w:space="0" w:color="auto"/>
            </w:tcBorders>
          </w:tcPr>
          <w:p w14:paraId="3925F76F" w14:textId="77777777" w:rsidR="00A12E20" w:rsidRPr="00DB58B5" w:rsidRDefault="00A12E20" w:rsidP="00E6618E">
            <w:pPr>
              <w:spacing w:before="120"/>
              <w:jc w:val="center"/>
            </w:pPr>
            <w:r>
              <w:rPr>
                <w:noProof/>
                <w:lang w:eastAsia="fr-CH"/>
              </w:rPr>
              <w:drawing>
                <wp:inline distT="0" distB="0" distL="0" distR="0" wp14:anchorId="49AB5EA9" wp14:editId="4E5B543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922050"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00EE5F61" w14:textId="77777777" w:rsidR="00A12E20" w:rsidRDefault="00FC0128" w:rsidP="00E6618E">
            <w:pPr>
              <w:spacing w:before="240"/>
            </w:pPr>
            <w:r>
              <w:t>Distr. limitée</w:t>
            </w:r>
          </w:p>
          <w:p w14:paraId="53CDB633" w14:textId="77777777" w:rsidR="00FC0128" w:rsidRDefault="00FC0128" w:rsidP="00FC0128">
            <w:pPr>
              <w:spacing w:line="240" w:lineRule="exact"/>
            </w:pPr>
            <w:r>
              <w:t>17 juin 2020</w:t>
            </w:r>
          </w:p>
          <w:p w14:paraId="15D39D14" w14:textId="77777777" w:rsidR="00FC0128" w:rsidRDefault="00FC0128" w:rsidP="00FC0128">
            <w:pPr>
              <w:spacing w:line="240" w:lineRule="exact"/>
            </w:pPr>
            <w:r>
              <w:t>Français</w:t>
            </w:r>
          </w:p>
          <w:p w14:paraId="723DCBA0" w14:textId="77777777" w:rsidR="00FC0128" w:rsidRPr="00DB58B5" w:rsidRDefault="00FC0128" w:rsidP="00FC0128">
            <w:pPr>
              <w:spacing w:line="240" w:lineRule="exact"/>
            </w:pPr>
            <w:r>
              <w:t>Original : anglais</w:t>
            </w:r>
          </w:p>
        </w:tc>
      </w:tr>
    </w:tbl>
    <w:p w14:paraId="36F9EC06" w14:textId="77777777" w:rsidR="00D45432" w:rsidRDefault="00D45432" w:rsidP="00D45432">
      <w:pPr>
        <w:spacing w:before="120"/>
        <w:rPr>
          <w:b/>
          <w:sz w:val="24"/>
          <w:szCs w:val="24"/>
        </w:rPr>
      </w:pPr>
      <w:r w:rsidRPr="00BA184E">
        <w:rPr>
          <w:b/>
          <w:sz w:val="24"/>
          <w:szCs w:val="24"/>
        </w:rPr>
        <w:t>Conseil des droits de l</w:t>
      </w:r>
      <w:r w:rsidR="00061A89">
        <w:rPr>
          <w:b/>
          <w:sz w:val="24"/>
          <w:szCs w:val="24"/>
        </w:rPr>
        <w:t>’</w:t>
      </w:r>
      <w:r w:rsidRPr="00BA184E">
        <w:rPr>
          <w:b/>
          <w:sz w:val="24"/>
          <w:szCs w:val="24"/>
        </w:rPr>
        <w:t>homme</w:t>
      </w:r>
    </w:p>
    <w:p w14:paraId="2CE0810A" w14:textId="77777777" w:rsidR="00715741" w:rsidRPr="001A2827" w:rsidRDefault="00715741" w:rsidP="00715741">
      <w:pPr>
        <w:rPr>
          <w:b/>
          <w:lang w:val="fr-FR"/>
        </w:rPr>
      </w:pPr>
      <w:r>
        <w:rPr>
          <w:b/>
          <w:bCs/>
          <w:lang w:val="fr-FR"/>
        </w:rPr>
        <w:t>Quarante-troisième session</w:t>
      </w:r>
    </w:p>
    <w:p w14:paraId="3BC334D3" w14:textId="77777777" w:rsidR="00715741" w:rsidRPr="001A2827" w:rsidRDefault="00715741" w:rsidP="00715741">
      <w:pPr>
        <w:rPr>
          <w:lang w:val="fr-FR"/>
        </w:rPr>
      </w:pPr>
      <w:r>
        <w:rPr>
          <w:lang w:val="fr-FR"/>
        </w:rPr>
        <w:t>24 février-20 mars 2020</w:t>
      </w:r>
    </w:p>
    <w:p w14:paraId="4ACE5479" w14:textId="77777777" w:rsidR="00715741" w:rsidRPr="001A2827" w:rsidRDefault="00715741" w:rsidP="00715741">
      <w:pPr>
        <w:rPr>
          <w:lang w:val="fr-FR"/>
        </w:rPr>
      </w:pPr>
      <w:r>
        <w:rPr>
          <w:lang w:val="fr-FR"/>
        </w:rPr>
        <w:t>Point 1 de l</w:t>
      </w:r>
      <w:r w:rsidR="00061A89">
        <w:rPr>
          <w:lang w:val="fr-FR"/>
        </w:rPr>
        <w:t>’</w:t>
      </w:r>
      <w:r>
        <w:rPr>
          <w:lang w:val="fr-FR"/>
        </w:rPr>
        <w:t>ordre du jour</w:t>
      </w:r>
    </w:p>
    <w:p w14:paraId="688B8D48" w14:textId="77777777" w:rsidR="00715741" w:rsidRPr="001A2827" w:rsidRDefault="00715741" w:rsidP="00715741">
      <w:pPr>
        <w:rPr>
          <w:b/>
          <w:lang w:val="fr-FR"/>
        </w:rPr>
      </w:pPr>
      <w:r>
        <w:rPr>
          <w:b/>
          <w:bCs/>
          <w:lang w:val="fr-FR"/>
        </w:rPr>
        <w:t>Questions d</w:t>
      </w:r>
      <w:r w:rsidR="00061A89">
        <w:rPr>
          <w:b/>
          <w:bCs/>
          <w:lang w:val="fr-FR"/>
        </w:rPr>
        <w:t>’</w:t>
      </w:r>
      <w:r>
        <w:rPr>
          <w:b/>
          <w:bCs/>
          <w:lang w:val="fr-FR"/>
        </w:rPr>
        <w:t>organisation et de procédure</w:t>
      </w:r>
    </w:p>
    <w:p w14:paraId="4CB7EF81" w14:textId="77777777" w:rsidR="00715741" w:rsidRPr="001A2827" w:rsidRDefault="00715741" w:rsidP="00715741">
      <w:pPr>
        <w:pStyle w:val="H23G"/>
        <w:rPr>
          <w:lang w:val="fr-FR"/>
        </w:rPr>
      </w:pPr>
      <w:r>
        <w:rPr>
          <w:lang w:val="fr-FR"/>
        </w:rPr>
        <w:tab/>
      </w:r>
      <w:r>
        <w:rPr>
          <w:lang w:val="fr-FR"/>
        </w:rPr>
        <w:tab/>
        <w:t>Burkina Faso</w:t>
      </w:r>
      <w:r w:rsidR="00061A89" w:rsidRPr="00061A89">
        <w:rPr>
          <w:rStyle w:val="Appelnotedebasdep"/>
          <w:b w:val="0"/>
          <w:bCs/>
          <w:sz w:val="20"/>
          <w:vertAlign w:val="baseline"/>
        </w:rPr>
        <w:footnoteReference w:customMarkFollows="1" w:id="2"/>
        <w:t>*</w:t>
      </w:r>
      <w:r>
        <w:rPr>
          <w:lang w:val="fr-FR"/>
        </w:rPr>
        <w:t>, Iran (République islamique d</w:t>
      </w:r>
      <w:r w:rsidR="00061A89">
        <w:rPr>
          <w:lang w:val="fr-FR"/>
        </w:rPr>
        <w:t>’</w:t>
      </w:r>
      <w:r>
        <w:rPr>
          <w:lang w:val="fr-FR"/>
        </w:rPr>
        <w:t>)</w:t>
      </w:r>
      <w:r w:rsidRPr="00417529">
        <w:rPr>
          <w:b w:val="0"/>
          <w:bCs/>
          <w:lang w:val="fr-FR"/>
        </w:rPr>
        <w:t>**</w:t>
      </w:r>
      <w:r>
        <w:rPr>
          <w:lang w:val="fr-FR"/>
        </w:rPr>
        <w:t xml:space="preserve"> et État de Palestine</w:t>
      </w:r>
      <w:r w:rsidR="00061A89" w:rsidRPr="00061A89">
        <w:rPr>
          <w:rStyle w:val="Appelnotedebasdep"/>
          <w:b w:val="0"/>
          <w:bCs/>
          <w:sz w:val="20"/>
          <w:vertAlign w:val="baseline"/>
        </w:rPr>
        <w:footnoteReference w:customMarkFollows="1" w:id="3"/>
        <w:t>**</w:t>
      </w:r>
      <w:r w:rsidR="00061A89">
        <w:rPr>
          <w:lang w:val="fr-FR"/>
        </w:rPr>
        <w:t> </w:t>
      </w:r>
      <w:r>
        <w:rPr>
          <w:lang w:val="fr-FR"/>
        </w:rPr>
        <w:t xml:space="preserve">: </w:t>
      </w:r>
      <w:r w:rsidR="00061A89">
        <w:rPr>
          <w:lang w:val="fr-FR"/>
        </w:rPr>
        <w:br/>
      </w:r>
      <w:r>
        <w:rPr>
          <w:lang w:val="fr-FR"/>
        </w:rPr>
        <w:t>projet de résolution</w:t>
      </w:r>
    </w:p>
    <w:p w14:paraId="476BF45D" w14:textId="77777777" w:rsidR="00715741" w:rsidRPr="001A2827" w:rsidRDefault="00715741" w:rsidP="00715741">
      <w:pPr>
        <w:pStyle w:val="H1G"/>
        <w:ind w:left="1701" w:hanging="567"/>
        <w:rPr>
          <w:lang w:val="fr-FR"/>
        </w:rPr>
      </w:pPr>
      <w:r>
        <w:rPr>
          <w:lang w:val="fr-FR"/>
        </w:rPr>
        <w:t>43/…</w:t>
      </w:r>
      <w:r>
        <w:rPr>
          <w:lang w:val="fr-FR"/>
        </w:rPr>
        <w:tab/>
        <w:t>La promotion et la protection des droits de l</w:t>
      </w:r>
      <w:r w:rsidR="00061A89">
        <w:rPr>
          <w:lang w:val="fr-FR"/>
        </w:rPr>
        <w:t>’</w:t>
      </w:r>
      <w:r>
        <w:rPr>
          <w:lang w:val="fr-FR"/>
        </w:rPr>
        <w:t xml:space="preserve">homme </w:t>
      </w:r>
      <w:r w:rsidR="00417529">
        <w:rPr>
          <w:lang w:val="fr-FR"/>
        </w:rPr>
        <w:br/>
      </w:r>
      <w:r>
        <w:rPr>
          <w:lang w:val="fr-FR"/>
        </w:rPr>
        <w:t>et des libertés fondamentales des Africains et des personnes d</w:t>
      </w:r>
      <w:r w:rsidR="00061A89">
        <w:rPr>
          <w:lang w:val="fr-FR"/>
        </w:rPr>
        <w:t>’</w:t>
      </w:r>
      <w:r>
        <w:rPr>
          <w:lang w:val="fr-FR"/>
        </w:rPr>
        <w:t xml:space="preserve">ascendance africaine contre les brutalités policières </w:t>
      </w:r>
      <w:r w:rsidR="00417529">
        <w:rPr>
          <w:lang w:val="fr-FR"/>
        </w:rPr>
        <w:br/>
      </w:r>
      <w:r>
        <w:rPr>
          <w:lang w:val="fr-FR"/>
        </w:rPr>
        <w:t>et autres violations des</w:t>
      </w:r>
      <w:r>
        <w:rPr>
          <w:lang w:val="fr-FR"/>
        </w:rPr>
        <w:t> </w:t>
      </w:r>
      <w:r>
        <w:rPr>
          <w:lang w:val="fr-FR"/>
        </w:rPr>
        <w:t>droits de l</w:t>
      </w:r>
      <w:r w:rsidR="00061A89">
        <w:rPr>
          <w:lang w:val="fr-FR"/>
        </w:rPr>
        <w:t>’</w:t>
      </w:r>
      <w:r>
        <w:rPr>
          <w:lang w:val="fr-FR"/>
        </w:rPr>
        <w:t>homme</w:t>
      </w:r>
    </w:p>
    <w:p w14:paraId="138A7F16" w14:textId="77777777" w:rsidR="00715741" w:rsidRPr="001A2827" w:rsidRDefault="00715741" w:rsidP="00715741">
      <w:pPr>
        <w:pStyle w:val="SingleTxtG"/>
        <w:ind w:firstLine="567"/>
        <w:rPr>
          <w:lang w:val="fr-FR"/>
        </w:rPr>
      </w:pPr>
      <w:r w:rsidRPr="00715741">
        <w:rPr>
          <w:i/>
          <w:iCs/>
          <w:lang w:val="fr-FR"/>
        </w:rPr>
        <w:t>Le Conseil des droits de l</w:t>
      </w:r>
      <w:r w:rsidR="00061A89">
        <w:rPr>
          <w:i/>
          <w:iCs/>
          <w:lang w:val="fr-FR"/>
        </w:rPr>
        <w:t>’</w:t>
      </w:r>
      <w:r w:rsidRPr="00715741">
        <w:rPr>
          <w:i/>
          <w:iCs/>
          <w:lang w:val="fr-FR"/>
        </w:rPr>
        <w:t>homme</w:t>
      </w:r>
      <w:r>
        <w:rPr>
          <w:lang w:val="fr-FR"/>
        </w:rPr>
        <w:t>,</w:t>
      </w:r>
    </w:p>
    <w:p w14:paraId="433A26AA" w14:textId="77777777" w:rsidR="00715741" w:rsidRPr="001A2827" w:rsidRDefault="00715741" w:rsidP="00715741">
      <w:pPr>
        <w:pStyle w:val="SingleTxtG"/>
        <w:ind w:firstLine="567"/>
        <w:rPr>
          <w:lang w:val="fr-FR"/>
        </w:rPr>
      </w:pPr>
      <w:r w:rsidRPr="002001B0">
        <w:rPr>
          <w:i/>
          <w:iCs/>
          <w:lang w:val="fr-FR"/>
        </w:rPr>
        <w:t>Réaffirmant</w:t>
      </w:r>
      <w:r>
        <w:rPr>
          <w:lang w:val="fr-FR"/>
        </w:rPr>
        <w:t xml:space="preserve"> les buts et principes énoncés dans la Charte des Nations Unies et la Déclaration universelle des droits de l</w:t>
      </w:r>
      <w:r w:rsidR="00061A89">
        <w:rPr>
          <w:lang w:val="fr-FR"/>
        </w:rPr>
        <w:t>’</w:t>
      </w:r>
      <w:r>
        <w:rPr>
          <w:lang w:val="fr-FR"/>
        </w:rPr>
        <w:t>homme, qui consistent à promouvoir et à encourager le respect des droits de l</w:t>
      </w:r>
      <w:r w:rsidR="00061A89">
        <w:rPr>
          <w:lang w:val="fr-FR"/>
        </w:rPr>
        <w:t>’</w:t>
      </w:r>
      <w:r>
        <w:rPr>
          <w:lang w:val="fr-FR"/>
        </w:rPr>
        <w:t>homme et des libertés fondamentales,</w:t>
      </w:r>
    </w:p>
    <w:p w14:paraId="28EA2006" w14:textId="77777777" w:rsidR="00715741" w:rsidRPr="001A2827" w:rsidRDefault="00715741" w:rsidP="00715741">
      <w:pPr>
        <w:pStyle w:val="SingleTxtG"/>
        <w:ind w:firstLine="567"/>
        <w:rPr>
          <w:lang w:val="fr-FR"/>
        </w:rPr>
      </w:pPr>
      <w:r w:rsidRPr="00E635D6">
        <w:rPr>
          <w:i/>
          <w:iCs/>
          <w:lang w:val="fr-FR"/>
        </w:rPr>
        <w:t>Rappelant</w:t>
      </w:r>
      <w:r>
        <w:rPr>
          <w:lang w:val="fr-FR"/>
        </w:rPr>
        <w:t xml:space="preserve"> le Pacte international relatif aux droits civils et politiques, la Convention internationale sur l</w:t>
      </w:r>
      <w:r w:rsidR="00061A89">
        <w:rPr>
          <w:lang w:val="fr-FR"/>
        </w:rPr>
        <w:t>’</w:t>
      </w:r>
      <w:r>
        <w:rPr>
          <w:lang w:val="fr-FR"/>
        </w:rPr>
        <w:t>élimination de toutes les formes de discrimination raciale et la Convention contre la torture et autres peines ou traitements cruels, inhumains ou dégradants, et ayant à l</w:t>
      </w:r>
      <w:r w:rsidR="00061A89">
        <w:rPr>
          <w:lang w:val="fr-FR"/>
        </w:rPr>
        <w:t>’</w:t>
      </w:r>
      <w:r>
        <w:rPr>
          <w:lang w:val="fr-FR"/>
        </w:rPr>
        <w:t>esprit la Déclaration et le Programme d</w:t>
      </w:r>
      <w:r w:rsidR="00061A89">
        <w:rPr>
          <w:lang w:val="fr-FR"/>
        </w:rPr>
        <w:t>’</w:t>
      </w:r>
      <w:r>
        <w:rPr>
          <w:lang w:val="fr-FR"/>
        </w:rPr>
        <w:t>action de Vienne,</w:t>
      </w:r>
    </w:p>
    <w:p w14:paraId="38DB5EF8" w14:textId="77777777" w:rsidR="00715741" w:rsidRPr="001A2827" w:rsidRDefault="00715741" w:rsidP="00715741">
      <w:pPr>
        <w:pStyle w:val="SingleTxtG"/>
        <w:ind w:firstLine="567"/>
        <w:rPr>
          <w:lang w:val="fr-FR"/>
        </w:rPr>
      </w:pPr>
      <w:r w:rsidRPr="00E635D6">
        <w:rPr>
          <w:i/>
          <w:iCs/>
          <w:lang w:val="fr-FR"/>
        </w:rPr>
        <w:t>Rappelant également</w:t>
      </w:r>
      <w:r>
        <w:rPr>
          <w:lang w:val="fr-FR"/>
        </w:rPr>
        <w:t xml:space="preserve"> toutes ses résolutions antérieures sur le suivi systématique de la Conférence mondiale contre le racisme, la discrimination raciale, la xénophobie et l</w:t>
      </w:r>
      <w:r w:rsidR="00061A89">
        <w:rPr>
          <w:lang w:val="fr-FR"/>
        </w:rPr>
        <w:t>’</w:t>
      </w:r>
      <w:r>
        <w:rPr>
          <w:lang w:val="fr-FR"/>
        </w:rPr>
        <w:t>intolérance qui y est associée et sur l</w:t>
      </w:r>
      <w:r w:rsidR="00061A89">
        <w:rPr>
          <w:lang w:val="fr-FR"/>
        </w:rPr>
        <w:t>’</w:t>
      </w:r>
      <w:r>
        <w:rPr>
          <w:lang w:val="fr-FR"/>
        </w:rPr>
        <w:t>application effective de la Déclaration et du Programme d</w:t>
      </w:r>
      <w:r w:rsidR="00061A89">
        <w:rPr>
          <w:lang w:val="fr-FR"/>
        </w:rPr>
        <w:t>’</w:t>
      </w:r>
      <w:r>
        <w:rPr>
          <w:lang w:val="fr-FR"/>
        </w:rPr>
        <w:t>action de Durban, ainsi que la Décennie internationale des personnes d</w:t>
      </w:r>
      <w:r w:rsidR="00061A89">
        <w:rPr>
          <w:lang w:val="fr-FR"/>
        </w:rPr>
        <w:t>’</w:t>
      </w:r>
      <w:r>
        <w:rPr>
          <w:lang w:val="fr-FR"/>
        </w:rPr>
        <w:t>ascendance africaine, proclamée par l</w:t>
      </w:r>
      <w:r w:rsidR="00061A89">
        <w:rPr>
          <w:lang w:val="fr-FR"/>
        </w:rPr>
        <w:t>’</w:t>
      </w:r>
      <w:r>
        <w:rPr>
          <w:lang w:val="fr-FR"/>
        </w:rPr>
        <w:t>Assemblée générale dans sa résolution 68/237 du 23 décembre 2013,</w:t>
      </w:r>
    </w:p>
    <w:p w14:paraId="52D7334C" w14:textId="77777777" w:rsidR="00715741" w:rsidRPr="001A2827" w:rsidRDefault="00715741" w:rsidP="00715741">
      <w:pPr>
        <w:pStyle w:val="SingleTxtG"/>
        <w:ind w:firstLine="567"/>
        <w:rPr>
          <w:lang w:val="fr-FR"/>
        </w:rPr>
      </w:pPr>
      <w:r w:rsidRPr="00BA16C0">
        <w:rPr>
          <w:i/>
          <w:iCs/>
          <w:lang w:val="fr-FR"/>
        </w:rPr>
        <w:t>Rappelant en outre</w:t>
      </w:r>
      <w:r>
        <w:rPr>
          <w:lang w:val="fr-FR"/>
        </w:rPr>
        <w:t xml:space="preserve"> les résolutions pertinentes de l</w:t>
      </w:r>
      <w:r w:rsidR="00061A89">
        <w:rPr>
          <w:lang w:val="fr-FR"/>
        </w:rPr>
        <w:t>’</w:t>
      </w:r>
      <w:r>
        <w:rPr>
          <w:lang w:val="fr-FR"/>
        </w:rPr>
        <w:t>Assemblée générale, en particulier la résolution 73/262 du 22 décembre 2018, et la nécessité impérieuse de les appliquer pleinement et effectivement,</w:t>
      </w:r>
    </w:p>
    <w:p w14:paraId="24D7D755" w14:textId="77777777" w:rsidR="00715741" w:rsidRPr="001A2827" w:rsidRDefault="00715741" w:rsidP="00715741">
      <w:pPr>
        <w:pStyle w:val="SingleTxtG"/>
        <w:ind w:firstLine="567"/>
        <w:rPr>
          <w:lang w:val="fr-FR"/>
        </w:rPr>
      </w:pPr>
      <w:r w:rsidRPr="00BA16C0">
        <w:rPr>
          <w:i/>
          <w:iCs/>
          <w:lang w:val="fr-FR"/>
        </w:rPr>
        <w:t>Alarmé</w:t>
      </w:r>
      <w:r>
        <w:rPr>
          <w:lang w:val="fr-FR"/>
        </w:rPr>
        <w:t xml:space="preserve"> par la résurgence de la violence, de la haine raciale, des discours de haine, des crimes de haine, du néonazisme, du néofascisme et des idéologies nationalistes violentes fondées sur des préjugés raciaux ou nationaux, y compris le retour en force des idéologies de supériorité raciale qui incitent à la haine et à la violence à l</w:t>
      </w:r>
      <w:r w:rsidR="00061A89">
        <w:rPr>
          <w:lang w:val="fr-FR"/>
        </w:rPr>
        <w:t>’</w:t>
      </w:r>
      <w:r>
        <w:rPr>
          <w:lang w:val="fr-FR"/>
        </w:rPr>
        <w:t>égard des Africains et des personnes d</w:t>
      </w:r>
      <w:r w:rsidR="00061A89">
        <w:rPr>
          <w:lang w:val="fr-FR"/>
        </w:rPr>
        <w:t>’</w:t>
      </w:r>
      <w:r>
        <w:rPr>
          <w:lang w:val="fr-FR"/>
        </w:rPr>
        <w:t>ascendance africaine,</w:t>
      </w:r>
    </w:p>
    <w:p w14:paraId="076CA0DD" w14:textId="77777777" w:rsidR="00715741" w:rsidRPr="001A2827" w:rsidRDefault="00715741" w:rsidP="00715741">
      <w:pPr>
        <w:pStyle w:val="SingleTxtG"/>
        <w:ind w:firstLine="567"/>
        <w:rPr>
          <w:lang w:val="fr-FR"/>
        </w:rPr>
      </w:pPr>
      <w:r w:rsidRPr="00BA16C0">
        <w:rPr>
          <w:i/>
          <w:iCs/>
          <w:lang w:val="fr-FR"/>
        </w:rPr>
        <w:t>Rappelant</w:t>
      </w:r>
      <w:r>
        <w:rPr>
          <w:lang w:val="fr-FR"/>
        </w:rPr>
        <w:t xml:space="preserve"> sa résolution 7/34 du 28 mars 2008 et toutes ses résolutions ultérieures concernant le mandat du Rapporteur spécial sur les formes contemporaines de racisme, de </w:t>
      </w:r>
      <w:r>
        <w:rPr>
          <w:lang w:val="fr-FR"/>
        </w:rPr>
        <w:lastRenderedPageBreak/>
        <w:t>discrimination raciale, de xénophobie et de l</w:t>
      </w:r>
      <w:r w:rsidR="00061A89">
        <w:rPr>
          <w:lang w:val="fr-FR"/>
        </w:rPr>
        <w:t>’</w:t>
      </w:r>
      <w:r>
        <w:rPr>
          <w:lang w:val="fr-FR"/>
        </w:rPr>
        <w:t>intolérance qui y est associée, y compris les résolutions de la Commission des droits de l</w:t>
      </w:r>
      <w:r w:rsidR="00061A89">
        <w:rPr>
          <w:lang w:val="fr-FR"/>
        </w:rPr>
        <w:t>’</w:t>
      </w:r>
      <w:r>
        <w:rPr>
          <w:lang w:val="fr-FR"/>
        </w:rPr>
        <w:t>homme,</w:t>
      </w:r>
    </w:p>
    <w:p w14:paraId="6D63EE9D" w14:textId="77777777" w:rsidR="00715741" w:rsidRPr="001A2827" w:rsidRDefault="00715741" w:rsidP="00715741">
      <w:pPr>
        <w:pStyle w:val="SingleTxtG"/>
        <w:ind w:firstLine="567"/>
        <w:rPr>
          <w:lang w:val="fr-FR"/>
        </w:rPr>
      </w:pPr>
      <w:r w:rsidRPr="00BE74A5">
        <w:rPr>
          <w:i/>
          <w:iCs/>
          <w:lang w:val="fr-FR"/>
        </w:rPr>
        <w:t>Prenant note</w:t>
      </w:r>
      <w:r>
        <w:rPr>
          <w:lang w:val="fr-FR"/>
        </w:rPr>
        <w:t xml:space="preserve"> de la résolution d</w:t>
      </w:r>
      <w:r w:rsidR="00061A89">
        <w:rPr>
          <w:lang w:val="fr-FR"/>
        </w:rPr>
        <w:t>’</w:t>
      </w:r>
      <w:r>
        <w:rPr>
          <w:lang w:val="fr-FR"/>
        </w:rPr>
        <w:t>importance historique sur la discrimination raciale aux États-Unis d</w:t>
      </w:r>
      <w:r w:rsidR="00061A89">
        <w:rPr>
          <w:lang w:val="fr-FR"/>
        </w:rPr>
        <w:t>’</w:t>
      </w:r>
      <w:r>
        <w:rPr>
          <w:lang w:val="fr-FR"/>
        </w:rPr>
        <w:t>Amérique, adoptée à la première session ordinaire de la Conférence des chefs d</w:t>
      </w:r>
      <w:r w:rsidR="00061A89">
        <w:rPr>
          <w:lang w:val="fr-FR"/>
        </w:rPr>
        <w:t>’</w:t>
      </w:r>
      <w:r>
        <w:rPr>
          <w:lang w:val="fr-FR"/>
        </w:rPr>
        <w:t>État et de gouvernement de l</w:t>
      </w:r>
      <w:r w:rsidR="00061A89">
        <w:rPr>
          <w:lang w:val="fr-FR"/>
        </w:rPr>
        <w:t>’</w:t>
      </w:r>
      <w:r>
        <w:rPr>
          <w:lang w:val="fr-FR"/>
        </w:rPr>
        <w:t>Organisation de l</w:t>
      </w:r>
      <w:r w:rsidR="00061A89">
        <w:rPr>
          <w:lang w:val="fr-FR"/>
        </w:rPr>
        <w:t>’</w:t>
      </w:r>
      <w:r>
        <w:rPr>
          <w:lang w:val="fr-FR"/>
        </w:rPr>
        <w:t>unité africaine, tenue au Caire du 17 au 24 juillet 1964, et de la déclaration faite par le Président de la Commission de l</w:t>
      </w:r>
      <w:r w:rsidR="00061A89">
        <w:rPr>
          <w:lang w:val="fr-FR"/>
        </w:rPr>
        <w:t>’</w:t>
      </w:r>
      <w:r>
        <w:rPr>
          <w:lang w:val="fr-FR"/>
        </w:rPr>
        <w:t>Union africaine suite au meurtre de George Floyd aux États-Unis d</w:t>
      </w:r>
      <w:r w:rsidR="00061A89">
        <w:rPr>
          <w:lang w:val="fr-FR"/>
        </w:rPr>
        <w:t>’</w:t>
      </w:r>
      <w:r>
        <w:rPr>
          <w:lang w:val="fr-FR"/>
        </w:rPr>
        <w:t>Amérique le 29 mai 2020,</w:t>
      </w:r>
    </w:p>
    <w:p w14:paraId="2DC5DCF2" w14:textId="77777777" w:rsidR="00715741" w:rsidRPr="001A2827" w:rsidRDefault="00715741" w:rsidP="00715741">
      <w:pPr>
        <w:pStyle w:val="SingleTxtG"/>
        <w:ind w:firstLine="567"/>
        <w:rPr>
          <w:lang w:val="fr-FR"/>
        </w:rPr>
      </w:pPr>
      <w:r w:rsidRPr="005E7731">
        <w:rPr>
          <w:i/>
          <w:iCs/>
          <w:lang w:val="fr-FR"/>
        </w:rPr>
        <w:t>Rappelant</w:t>
      </w:r>
      <w:r>
        <w:rPr>
          <w:lang w:val="fr-FR"/>
        </w:rPr>
        <w:t xml:space="preserve"> la déclaration faite par la Commission interaméricaine des droits de l</w:t>
      </w:r>
      <w:r w:rsidR="00061A89">
        <w:rPr>
          <w:lang w:val="fr-FR"/>
        </w:rPr>
        <w:t>’</w:t>
      </w:r>
      <w:r>
        <w:rPr>
          <w:lang w:val="fr-FR"/>
        </w:rPr>
        <w:t>homme le 8 juin 2020, dans laquelle elle condamne fermement le meurtre de George Floyd et rejette le racisme structurel, la violence systémique contre les Afro-Américains, l</w:t>
      </w:r>
      <w:r w:rsidR="00061A89">
        <w:rPr>
          <w:lang w:val="fr-FR"/>
        </w:rPr>
        <w:t>’</w:t>
      </w:r>
      <w:r>
        <w:rPr>
          <w:lang w:val="fr-FR"/>
        </w:rPr>
        <w:t>impunité et l</w:t>
      </w:r>
      <w:r w:rsidR="00061A89">
        <w:rPr>
          <w:lang w:val="fr-FR"/>
        </w:rPr>
        <w:t>’</w:t>
      </w:r>
      <w:r>
        <w:rPr>
          <w:lang w:val="fr-FR"/>
        </w:rPr>
        <w:t>usage disproportionné de la force par la police,</w:t>
      </w:r>
    </w:p>
    <w:p w14:paraId="1AB9F693" w14:textId="77777777" w:rsidR="00715741" w:rsidRPr="001A2827" w:rsidRDefault="00715741" w:rsidP="00715741">
      <w:pPr>
        <w:pStyle w:val="SingleTxtG"/>
        <w:ind w:firstLine="567"/>
        <w:rPr>
          <w:lang w:val="fr-FR"/>
        </w:rPr>
      </w:pPr>
      <w:r w:rsidRPr="00092D7A">
        <w:rPr>
          <w:i/>
          <w:iCs/>
          <w:lang w:val="fr-FR"/>
        </w:rPr>
        <w:t>Rappelant également</w:t>
      </w:r>
      <w:r>
        <w:rPr>
          <w:lang w:val="fr-FR"/>
        </w:rPr>
        <w:t xml:space="preserve"> la Déclaration universelle des droits de l</w:t>
      </w:r>
      <w:r w:rsidR="00061A89">
        <w:rPr>
          <w:lang w:val="fr-FR"/>
        </w:rPr>
        <w:t>’</w:t>
      </w:r>
      <w:r>
        <w:rPr>
          <w:lang w:val="fr-FR"/>
        </w:rPr>
        <w:t>homme, qui dispose que tous les êtres humains naissent libres et égaux en dignité et en droits et que chacun peut se prévaloir de tous les droits et de toutes les libertés proclamés dans la Déclaration, sans distinction aucune, notamment de race, de couleur ou d</w:t>
      </w:r>
      <w:r w:rsidR="00061A89">
        <w:rPr>
          <w:lang w:val="fr-FR"/>
        </w:rPr>
        <w:t>’</w:t>
      </w:r>
      <w:r>
        <w:rPr>
          <w:lang w:val="fr-FR"/>
        </w:rPr>
        <w:t>origine nationale,</w:t>
      </w:r>
    </w:p>
    <w:p w14:paraId="6B3523E4" w14:textId="77777777" w:rsidR="00715741" w:rsidRPr="001A2827" w:rsidRDefault="00715741" w:rsidP="00715741">
      <w:pPr>
        <w:pStyle w:val="SingleTxtG"/>
        <w:ind w:firstLine="567"/>
        <w:rPr>
          <w:lang w:val="fr-FR"/>
        </w:rPr>
      </w:pPr>
      <w:r w:rsidRPr="00092D7A">
        <w:rPr>
          <w:i/>
          <w:iCs/>
          <w:lang w:val="fr-FR"/>
        </w:rPr>
        <w:t>Conscient</w:t>
      </w:r>
      <w:r>
        <w:rPr>
          <w:lang w:val="fr-FR"/>
        </w:rPr>
        <w:t xml:space="preserve"> que les forces de l</w:t>
      </w:r>
      <w:r w:rsidR="00061A89">
        <w:rPr>
          <w:lang w:val="fr-FR"/>
        </w:rPr>
        <w:t>’</w:t>
      </w:r>
      <w:r>
        <w:rPr>
          <w:lang w:val="fr-FR"/>
        </w:rPr>
        <w:t>ordre ont un rôle essentiel dans la réalisation d</w:t>
      </w:r>
      <w:r w:rsidR="00061A89">
        <w:rPr>
          <w:lang w:val="fr-FR"/>
        </w:rPr>
        <w:t>’</w:t>
      </w:r>
      <w:r>
        <w:rPr>
          <w:lang w:val="fr-FR"/>
        </w:rPr>
        <w:t>un monde plus sûr, et soulignant que celles-ci doivent créer un lien de confiance avec la population qu</w:t>
      </w:r>
      <w:r w:rsidR="00061A89">
        <w:rPr>
          <w:lang w:val="fr-FR"/>
        </w:rPr>
        <w:t>’</w:t>
      </w:r>
      <w:r>
        <w:rPr>
          <w:lang w:val="fr-FR"/>
        </w:rPr>
        <w:t>elles servent,</w:t>
      </w:r>
    </w:p>
    <w:p w14:paraId="70AECE66" w14:textId="77777777" w:rsidR="00715741" w:rsidRPr="001A2827" w:rsidRDefault="00715741" w:rsidP="00715741">
      <w:pPr>
        <w:pStyle w:val="SingleTxtG"/>
        <w:ind w:firstLine="567"/>
        <w:rPr>
          <w:lang w:val="fr-FR"/>
        </w:rPr>
      </w:pPr>
      <w:r w:rsidRPr="00F75BCD">
        <w:rPr>
          <w:i/>
          <w:iCs/>
          <w:lang w:val="fr-FR"/>
        </w:rPr>
        <w:t>Engageant</w:t>
      </w:r>
      <w:r>
        <w:rPr>
          <w:lang w:val="fr-FR"/>
        </w:rPr>
        <w:t xml:space="preserve"> les États à examiner les manuels et les lignes directrices utilisés pour la formation du personnel des forces de l</w:t>
      </w:r>
      <w:r w:rsidR="00061A89">
        <w:rPr>
          <w:lang w:val="fr-FR"/>
        </w:rPr>
        <w:t>’</w:t>
      </w:r>
      <w:r>
        <w:rPr>
          <w:lang w:val="fr-FR"/>
        </w:rPr>
        <w:t>ordre en vue de déterminer la proportionnalité des mesures dans le traitement des suspects et des autres personnes placées en garde à vue,</w:t>
      </w:r>
    </w:p>
    <w:p w14:paraId="7D310088" w14:textId="77777777" w:rsidR="00715741" w:rsidRPr="001A2827" w:rsidRDefault="00715741" w:rsidP="00715741">
      <w:pPr>
        <w:pStyle w:val="SingleTxtG"/>
        <w:ind w:firstLine="567"/>
        <w:rPr>
          <w:lang w:val="fr-FR"/>
        </w:rPr>
      </w:pPr>
      <w:r w:rsidRPr="00F75BCD">
        <w:rPr>
          <w:i/>
          <w:iCs/>
          <w:lang w:val="fr-FR"/>
        </w:rPr>
        <w:t>Réaffirmant</w:t>
      </w:r>
      <w:r>
        <w:rPr>
          <w:lang w:val="fr-FR"/>
        </w:rPr>
        <w:t xml:space="preserve"> l</w:t>
      </w:r>
      <w:r w:rsidR="00061A89">
        <w:rPr>
          <w:lang w:val="fr-FR"/>
        </w:rPr>
        <w:t>’</w:t>
      </w:r>
      <w:r>
        <w:rPr>
          <w:lang w:val="fr-FR"/>
        </w:rPr>
        <w:t>importance de la Déclaration et du Programme d</w:t>
      </w:r>
      <w:r w:rsidR="00061A89">
        <w:rPr>
          <w:lang w:val="fr-FR"/>
        </w:rPr>
        <w:t>’</w:t>
      </w:r>
      <w:r>
        <w:rPr>
          <w:lang w:val="fr-FR"/>
        </w:rPr>
        <w:t>action de Durban pour faire progresser l</w:t>
      </w:r>
      <w:r w:rsidR="00061A89">
        <w:rPr>
          <w:lang w:val="fr-FR"/>
        </w:rPr>
        <w:t>’</w:t>
      </w:r>
      <w:r>
        <w:rPr>
          <w:lang w:val="fr-FR"/>
        </w:rPr>
        <w:t>égalité raciale, assurer l</w:t>
      </w:r>
      <w:r w:rsidR="00061A89">
        <w:rPr>
          <w:lang w:val="fr-FR"/>
        </w:rPr>
        <w:t>’</w:t>
      </w:r>
      <w:r>
        <w:rPr>
          <w:lang w:val="fr-FR"/>
        </w:rPr>
        <w:t>égalité des chances pour tous, garantir l</w:t>
      </w:r>
      <w:r w:rsidR="00061A89">
        <w:rPr>
          <w:lang w:val="fr-FR"/>
        </w:rPr>
        <w:t>’</w:t>
      </w:r>
      <w:r>
        <w:rPr>
          <w:lang w:val="fr-FR"/>
        </w:rPr>
        <w:t>égalité devant la loi et promouvoir l</w:t>
      </w:r>
      <w:r w:rsidR="00061A89">
        <w:rPr>
          <w:lang w:val="fr-FR"/>
        </w:rPr>
        <w:t>’</w:t>
      </w:r>
      <w:r>
        <w:rPr>
          <w:lang w:val="fr-FR"/>
        </w:rPr>
        <w:t>inclusion sociale, économique et politique sans distinction de race, d</w:t>
      </w:r>
      <w:r w:rsidR="00061A89">
        <w:rPr>
          <w:lang w:val="fr-FR"/>
        </w:rPr>
        <w:t>’</w:t>
      </w:r>
      <w:r>
        <w:rPr>
          <w:lang w:val="fr-FR"/>
        </w:rPr>
        <w:t>âge, de sexe, de handicap, d</w:t>
      </w:r>
      <w:r w:rsidR="00061A89">
        <w:rPr>
          <w:lang w:val="fr-FR"/>
        </w:rPr>
        <w:t>’</w:t>
      </w:r>
      <w:r>
        <w:rPr>
          <w:lang w:val="fr-FR"/>
        </w:rPr>
        <w:t>ascendance, d</w:t>
      </w:r>
      <w:r w:rsidR="00061A89">
        <w:rPr>
          <w:lang w:val="fr-FR"/>
        </w:rPr>
        <w:t>’</w:t>
      </w:r>
      <w:r>
        <w:rPr>
          <w:lang w:val="fr-FR"/>
        </w:rPr>
        <w:t xml:space="preserve">origine nationale ou ethnique, de religion ou de situation économique ou autre, </w:t>
      </w:r>
    </w:p>
    <w:p w14:paraId="5BEE6DBF" w14:textId="77777777" w:rsidR="00715741" w:rsidRPr="001A2827" w:rsidRDefault="00715741" w:rsidP="00715741">
      <w:pPr>
        <w:pStyle w:val="SingleTxtG"/>
        <w:ind w:firstLine="567"/>
        <w:rPr>
          <w:lang w:val="fr-FR"/>
        </w:rPr>
      </w:pPr>
      <w:r w:rsidRPr="00F75BCD">
        <w:rPr>
          <w:i/>
          <w:iCs/>
          <w:lang w:val="fr-FR"/>
        </w:rPr>
        <w:t>Saluant</w:t>
      </w:r>
      <w:r>
        <w:rPr>
          <w:lang w:val="fr-FR"/>
        </w:rPr>
        <w:t xml:space="preserve"> toutes les déclarations faites par les titulaires de mandat au titre des procédures spéciales au sujet du meurtre de George Floyd, en particulier leur déclaration commune en date du 5 juin 2020 et la déclaration de la Haute-Commissaire des Nations</w:t>
      </w:r>
      <w:r w:rsidR="00417529">
        <w:rPr>
          <w:lang w:val="fr-FR"/>
        </w:rPr>
        <w:t> </w:t>
      </w:r>
      <w:r>
        <w:rPr>
          <w:lang w:val="fr-FR"/>
        </w:rPr>
        <w:t>Unies aux droits de l</w:t>
      </w:r>
      <w:r w:rsidR="00061A89">
        <w:rPr>
          <w:lang w:val="fr-FR"/>
        </w:rPr>
        <w:t>’</w:t>
      </w:r>
      <w:r>
        <w:rPr>
          <w:lang w:val="fr-FR"/>
        </w:rPr>
        <w:t>homme en date du 3 juin 2020,</w:t>
      </w:r>
    </w:p>
    <w:p w14:paraId="64F51A77" w14:textId="77777777" w:rsidR="00715741" w:rsidRPr="001A2827" w:rsidRDefault="00715741" w:rsidP="00715741">
      <w:pPr>
        <w:pStyle w:val="SingleTxtG"/>
        <w:ind w:firstLine="567"/>
        <w:rPr>
          <w:lang w:val="fr-FR"/>
        </w:rPr>
      </w:pPr>
      <w:r>
        <w:rPr>
          <w:lang w:val="fr-FR"/>
        </w:rPr>
        <w:t>1.</w:t>
      </w:r>
      <w:r>
        <w:rPr>
          <w:lang w:val="fr-FR"/>
        </w:rPr>
        <w:tab/>
      </w:r>
      <w:r w:rsidRPr="00F75BCD">
        <w:rPr>
          <w:i/>
          <w:iCs/>
          <w:lang w:val="fr-FR"/>
        </w:rPr>
        <w:t>Condamne fermement</w:t>
      </w:r>
      <w:r>
        <w:rPr>
          <w:lang w:val="fr-FR"/>
        </w:rPr>
        <w:t xml:space="preserve"> les pratiques raciales discriminatoires et violentes auxquelles les forces de l</w:t>
      </w:r>
      <w:r w:rsidR="00061A89">
        <w:rPr>
          <w:lang w:val="fr-FR"/>
        </w:rPr>
        <w:t>’</w:t>
      </w:r>
      <w:r>
        <w:rPr>
          <w:lang w:val="fr-FR"/>
        </w:rPr>
        <w:t>ordre continuent de recourir contre des Africains et des personnes d</w:t>
      </w:r>
      <w:r w:rsidR="00061A89">
        <w:rPr>
          <w:lang w:val="fr-FR"/>
        </w:rPr>
        <w:t>’</w:t>
      </w:r>
      <w:r>
        <w:rPr>
          <w:lang w:val="fr-FR"/>
        </w:rPr>
        <w:t>ascendance africaine, et le racisme structurel endémique dans le système de justice pénale aux États-Unis d</w:t>
      </w:r>
      <w:r w:rsidR="00061A89">
        <w:rPr>
          <w:lang w:val="fr-FR"/>
        </w:rPr>
        <w:t>’</w:t>
      </w:r>
      <w:r>
        <w:rPr>
          <w:lang w:val="fr-FR"/>
        </w:rPr>
        <w:t>Amérique et dans d</w:t>
      </w:r>
      <w:r w:rsidR="00061A89">
        <w:rPr>
          <w:lang w:val="fr-FR"/>
        </w:rPr>
        <w:t>’</w:t>
      </w:r>
      <w:r>
        <w:rPr>
          <w:lang w:val="fr-FR"/>
        </w:rPr>
        <w:t>autres parties du monde récemment touchées</w:t>
      </w:r>
      <w:r>
        <w:rPr>
          <w:lang w:val="fr-FR"/>
        </w:rPr>
        <w:t> </w:t>
      </w:r>
      <w:r>
        <w:rPr>
          <w:lang w:val="fr-FR"/>
        </w:rPr>
        <w:t>;</w:t>
      </w:r>
    </w:p>
    <w:p w14:paraId="2A053E85" w14:textId="77777777" w:rsidR="00715741" w:rsidRPr="001A2827" w:rsidRDefault="00715741" w:rsidP="00715741">
      <w:pPr>
        <w:pStyle w:val="SingleTxtG"/>
        <w:ind w:firstLine="567"/>
        <w:rPr>
          <w:lang w:val="fr-FR"/>
        </w:rPr>
      </w:pPr>
      <w:r>
        <w:rPr>
          <w:lang w:val="fr-FR"/>
        </w:rPr>
        <w:t>2.</w:t>
      </w:r>
      <w:r>
        <w:rPr>
          <w:lang w:val="fr-FR"/>
        </w:rPr>
        <w:tab/>
      </w:r>
      <w:r w:rsidRPr="00C40C1A">
        <w:rPr>
          <w:i/>
          <w:iCs/>
          <w:lang w:val="fr-FR"/>
        </w:rPr>
        <w:t>Est alarmé</w:t>
      </w:r>
      <w:r>
        <w:rPr>
          <w:lang w:val="fr-FR"/>
        </w:rPr>
        <w:t xml:space="preserve"> par les récents actes de brutalité policière contre des manifestants pacifiques qui défendaient les droits des Africains et des personnes d</w:t>
      </w:r>
      <w:r w:rsidR="00061A89">
        <w:rPr>
          <w:lang w:val="fr-FR"/>
        </w:rPr>
        <w:t>’</w:t>
      </w:r>
      <w:r>
        <w:rPr>
          <w:lang w:val="fr-FR"/>
        </w:rPr>
        <w:t>ascendance africaine</w:t>
      </w:r>
      <w:r>
        <w:rPr>
          <w:lang w:val="fr-FR"/>
        </w:rPr>
        <w:t> </w:t>
      </w:r>
      <w:r>
        <w:rPr>
          <w:lang w:val="fr-FR"/>
        </w:rPr>
        <w:t>;</w:t>
      </w:r>
    </w:p>
    <w:p w14:paraId="263C2E63" w14:textId="77777777" w:rsidR="00715741" w:rsidRPr="001A2827" w:rsidRDefault="00715741" w:rsidP="00715741">
      <w:pPr>
        <w:pStyle w:val="SingleTxtG"/>
        <w:ind w:firstLine="567"/>
        <w:rPr>
          <w:lang w:val="fr-FR"/>
        </w:rPr>
      </w:pPr>
      <w:r>
        <w:rPr>
          <w:lang w:val="fr-FR"/>
        </w:rPr>
        <w:t>3.</w:t>
      </w:r>
      <w:r>
        <w:rPr>
          <w:lang w:val="fr-FR"/>
        </w:rPr>
        <w:tab/>
      </w:r>
      <w:r w:rsidRPr="00041EF5">
        <w:rPr>
          <w:i/>
          <w:iCs/>
          <w:lang w:val="fr-FR"/>
        </w:rPr>
        <w:t>Décide</w:t>
      </w:r>
      <w:r>
        <w:rPr>
          <w:lang w:val="fr-FR"/>
        </w:rPr>
        <w:t xml:space="preserve"> de créer une commission d</w:t>
      </w:r>
      <w:r w:rsidR="00061A89">
        <w:rPr>
          <w:lang w:val="fr-FR"/>
        </w:rPr>
        <w:t>’</w:t>
      </w:r>
      <w:r>
        <w:rPr>
          <w:lang w:val="fr-FR"/>
        </w:rPr>
        <w:t>enquête internationale indépendante, qui sera nommée par la Présidente du Conseil des droits de l</w:t>
      </w:r>
      <w:r w:rsidR="00061A89">
        <w:rPr>
          <w:lang w:val="fr-FR"/>
        </w:rPr>
        <w:t>’</w:t>
      </w:r>
      <w:r>
        <w:rPr>
          <w:lang w:val="fr-FR"/>
        </w:rPr>
        <w:t>homme, afin d</w:t>
      </w:r>
      <w:r w:rsidR="00061A89">
        <w:rPr>
          <w:lang w:val="fr-FR"/>
        </w:rPr>
        <w:t>’</w:t>
      </w:r>
      <w:r>
        <w:rPr>
          <w:lang w:val="fr-FR"/>
        </w:rPr>
        <w:t>établir les faits et les circonstances relatifs au racisme systémique, aux violations présumées du droit international des droits de l</w:t>
      </w:r>
      <w:r w:rsidR="00061A89">
        <w:rPr>
          <w:lang w:val="fr-FR"/>
        </w:rPr>
        <w:t>’</w:t>
      </w:r>
      <w:r>
        <w:rPr>
          <w:lang w:val="fr-FR"/>
        </w:rPr>
        <w:t>homme et aux actes de violence commis par les forces de l</w:t>
      </w:r>
      <w:r w:rsidR="00061A89">
        <w:rPr>
          <w:lang w:val="fr-FR"/>
        </w:rPr>
        <w:t>’</w:t>
      </w:r>
      <w:r>
        <w:rPr>
          <w:lang w:val="fr-FR"/>
        </w:rPr>
        <w:t>ordre contre des Africains et des personnes d</w:t>
      </w:r>
      <w:r w:rsidR="00061A89">
        <w:rPr>
          <w:lang w:val="fr-FR"/>
        </w:rPr>
        <w:t>’</w:t>
      </w:r>
      <w:r>
        <w:rPr>
          <w:lang w:val="fr-FR"/>
        </w:rPr>
        <w:t>ascendance africaine aux États-Unis d</w:t>
      </w:r>
      <w:r w:rsidR="00061A89">
        <w:rPr>
          <w:lang w:val="fr-FR"/>
        </w:rPr>
        <w:t>’</w:t>
      </w:r>
      <w:r>
        <w:rPr>
          <w:lang w:val="fr-FR"/>
        </w:rPr>
        <w:t>Amérique et dans d</w:t>
      </w:r>
      <w:r w:rsidR="00061A89">
        <w:rPr>
          <w:lang w:val="fr-FR"/>
        </w:rPr>
        <w:t>’</w:t>
      </w:r>
      <w:r>
        <w:rPr>
          <w:lang w:val="fr-FR"/>
        </w:rPr>
        <w:t>autres parties du monde récemment touchées, en particulier les actes qui ont entraîné la mort d</w:t>
      </w:r>
      <w:r w:rsidR="00061A89">
        <w:rPr>
          <w:lang w:val="fr-FR"/>
        </w:rPr>
        <w:t>’</w:t>
      </w:r>
      <w:r>
        <w:rPr>
          <w:lang w:val="fr-FR"/>
        </w:rPr>
        <w:t>Africains et de personnes d</w:t>
      </w:r>
      <w:r w:rsidR="00061A89">
        <w:rPr>
          <w:lang w:val="fr-FR"/>
        </w:rPr>
        <w:t>’</w:t>
      </w:r>
      <w:r>
        <w:rPr>
          <w:lang w:val="fr-FR"/>
        </w:rPr>
        <w:t>ascendance africaine, en vue de traduire leurs auteurs en justice</w:t>
      </w:r>
      <w:r>
        <w:rPr>
          <w:lang w:val="fr-FR"/>
        </w:rPr>
        <w:t> </w:t>
      </w:r>
      <w:r>
        <w:rPr>
          <w:lang w:val="fr-FR"/>
        </w:rPr>
        <w:t>;</w:t>
      </w:r>
    </w:p>
    <w:p w14:paraId="6DCC5D09" w14:textId="77777777" w:rsidR="00715741" w:rsidRPr="001A2827" w:rsidRDefault="00715741" w:rsidP="00715741">
      <w:pPr>
        <w:pStyle w:val="SingleTxtG"/>
        <w:ind w:firstLine="567"/>
        <w:rPr>
          <w:lang w:val="fr-FR"/>
        </w:rPr>
      </w:pPr>
      <w:r>
        <w:rPr>
          <w:lang w:val="fr-FR"/>
        </w:rPr>
        <w:t>4.</w:t>
      </w:r>
      <w:r>
        <w:rPr>
          <w:lang w:val="fr-FR"/>
        </w:rPr>
        <w:tab/>
      </w:r>
      <w:r>
        <w:rPr>
          <w:i/>
          <w:iCs/>
          <w:lang w:val="fr-FR"/>
        </w:rPr>
        <w:t>Prie</w:t>
      </w:r>
      <w:r>
        <w:rPr>
          <w:lang w:val="fr-FR"/>
        </w:rPr>
        <w:t xml:space="preserve"> la commission d</w:t>
      </w:r>
      <w:r w:rsidR="00061A89">
        <w:rPr>
          <w:lang w:val="fr-FR"/>
        </w:rPr>
        <w:t>’</w:t>
      </w:r>
      <w:r>
        <w:rPr>
          <w:lang w:val="fr-FR"/>
        </w:rPr>
        <w:t>enquête d</w:t>
      </w:r>
      <w:r w:rsidR="00061A89">
        <w:rPr>
          <w:lang w:val="fr-FR"/>
        </w:rPr>
        <w:t>’</w:t>
      </w:r>
      <w:r>
        <w:rPr>
          <w:lang w:val="fr-FR"/>
        </w:rPr>
        <w:t>étudier comment les autorités fédérales, étatiques et locales ont réagi face aux manifestations pacifiques et de se pencher notamment sur les allégations de recours excessif à la force contre des manifestants, des passants et des journalistes</w:t>
      </w:r>
      <w:r>
        <w:rPr>
          <w:lang w:val="fr-FR"/>
        </w:rPr>
        <w:t> </w:t>
      </w:r>
      <w:r>
        <w:rPr>
          <w:lang w:val="fr-FR"/>
        </w:rPr>
        <w:t>;</w:t>
      </w:r>
    </w:p>
    <w:p w14:paraId="541A10A3" w14:textId="77777777" w:rsidR="00715741" w:rsidRPr="001A2827" w:rsidRDefault="00715741" w:rsidP="00715741">
      <w:pPr>
        <w:pStyle w:val="SingleTxtG"/>
        <w:ind w:firstLine="567"/>
        <w:rPr>
          <w:lang w:val="fr-FR"/>
        </w:rPr>
      </w:pPr>
      <w:r>
        <w:rPr>
          <w:lang w:val="fr-FR"/>
        </w:rPr>
        <w:t>5.</w:t>
      </w:r>
      <w:r>
        <w:rPr>
          <w:lang w:val="fr-FR"/>
        </w:rPr>
        <w:tab/>
      </w:r>
      <w:r w:rsidRPr="005E29A4">
        <w:rPr>
          <w:i/>
          <w:iCs/>
          <w:lang w:val="fr-FR"/>
        </w:rPr>
        <w:t>Demande</w:t>
      </w:r>
      <w:r>
        <w:rPr>
          <w:lang w:val="fr-FR"/>
        </w:rPr>
        <w:t xml:space="preserve"> au Gouvernement des États-Unis d</w:t>
      </w:r>
      <w:r w:rsidR="00061A89">
        <w:rPr>
          <w:lang w:val="fr-FR"/>
        </w:rPr>
        <w:t>’</w:t>
      </w:r>
      <w:r>
        <w:rPr>
          <w:lang w:val="fr-FR"/>
        </w:rPr>
        <w:t>Amérique et aux autres régions du monde récemment touchées, ainsi qu</w:t>
      </w:r>
      <w:r w:rsidR="00061A89">
        <w:rPr>
          <w:lang w:val="fr-FR"/>
        </w:rPr>
        <w:t>’</w:t>
      </w:r>
      <w:r>
        <w:rPr>
          <w:lang w:val="fr-FR"/>
        </w:rPr>
        <w:t>à toutes les parties concernées, de coopérer pleinement avec la commission d</w:t>
      </w:r>
      <w:r w:rsidR="00061A89">
        <w:rPr>
          <w:lang w:val="fr-FR"/>
        </w:rPr>
        <w:t>’</w:t>
      </w:r>
      <w:r>
        <w:rPr>
          <w:lang w:val="fr-FR"/>
        </w:rPr>
        <w:t>enquête et de faciliter son accès, sollicite, selon qu</w:t>
      </w:r>
      <w:r w:rsidR="00061A89">
        <w:rPr>
          <w:lang w:val="fr-FR"/>
        </w:rPr>
        <w:t>’</w:t>
      </w:r>
      <w:r>
        <w:rPr>
          <w:lang w:val="fr-FR"/>
        </w:rPr>
        <w:t>il conviendra, la coopération d</w:t>
      </w:r>
      <w:r w:rsidR="00061A89">
        <w:rPr>
          <w:lang w:val="fr-FR"/>
        </w:rPr>
        <w:t>’</w:t>
      </w:r>
      <w:r>
        <w:rPr>
          <w:lang w:val="fr-FR"/>
        </w:rPr>
        <w:t>autres organismes des Nations Unies avec la commission d</w:t>
      </w:r>
      <w:r w:rsidR="00061A89">
        <w:rPr>
          <w:lang w:val="fr-FR"/>
        </w:rPr>
        <w:t>’</w:t>
      </w:r>
      <w:r>
        <w:rPr>
          <w:lang w:val="fr-FR"/>
        </w:rPr>
        <w:t>enquête dans l</w:t>
      </w:r>
      <w:r w:rsidR="00061A89">
        <w:rPr>
          <w:lang w:val="fr-FR"/>
        </w:rPr>
        <w:t>’</w:t>
      </w:r>
      <w:r>
        <w:rPr>
          <w:lang w:val="fr-FR"/>
        </w:rPr>
        <w:t>accomplissement de sa mission, et demande l</w:t>
      </w:r>
      <w:r w:rsidR="00061A89">
        <w:rPr>
          <w:lang w:val="fr-FR"/>
        </w:rPr>
        <w:t>’</w:t>
      </w:r>
      <w:r>
        <w:rPr>
          <w:lang w:val="fr-FR"/>
        </w:rPr>
        <w:t xml:space="preserve">assistance de la </w:t>
      </w:r>
      <w:r>
        <w:rPr>
          <w:lang w:val="fr-FR"/>
        </w:rPr>
        <w:lastRenderedPageBreak/>
        <w:t>Haute</w:t>
      </w:r>
      <w:r w:rsidR="00CB23E9">
        <w:rPr>
          <w:lang w:val="fr-FR"/>
        </w:rPr>
        <w:noBreakHyphen/>
      </w:r>
      <w:r>
        <w:rPr>
          <w:lang w:val="fr-FR"/>
        </w:rPr>
        <w:t>Commissaire des Nations Unies aux droits de l</w:t>
      </w:r>
      <w:r w:rsidR="00061A89">
        <w:rPr>
          <w:lang w:val="fr-FR"/>
        </w:rPr>
        <w:t>’</w:t>
      </w:r>
      <w:r>
        <w:rPr>
          <w:lang w:val="fr-FR"/>
        </w:rPr>
        <w:t>homme à cet égard, y compris la fourniture de toute l</w:t>
      </w:r>
      <w:r w:rsidR="00061A89">
        <w:rPr>
          <w:lang w:val="fr-FR"/>
        </w:rPr>
        <w:t>’</w:t>
      </w:r>
      <w:r>
        <w:rPr>
          <w:lang w:val="fr-FR"/>
        </w:rPr>
        <w:t>assistance administrative, technique et logistique nécessaire pour permettre à la commission d</w:t>
      </w:r>
      <w:r w:rsidR="00061A89">
        <w:rPr>
          <w:lang w:val="fr-FR"/>
        </w:rPr>
        <w:t>’</w:t>
      </w:r>
      <w:r>
        <w:rPr>
          <w:lang w:val="fr-FR"/>
        </w:rPr>
        <w:t>enquête de s</w:t>
      </w:r>
      <w:r w:rsidR="00061A89">
        <w:rPr>
          <w:lang w:val="fr-FR"/>
        </w:rPr>
        <w:t>’</w:t>
      </w:r>
      <w:r>
        <w:rPr>
          <w:lang w:val="fr-FR"/>
        </w:rPr>
        <w:t>acquitter de son mandat rapidement et efficacement</w:t>
      </w:r>
      <w:r>
        <w:rPr>
          <w:lang w:val="fr-FR"/>
        </w:rPr>
        <w:t> </w:t>
      </w:r>
      <w:r>
        <w:rPr>
          <w:lang w:val="fr-FR"/>
        </w:rPr>
        <w:t>;</w:t>
      </w:r>
    </w:p>
    <w:p w14:paraId="06FD2C7D" w14:textId="77777777" w:rsidR="00715741" w:rsidRPr="001A2827" w:rsidRDefault="00715741" w:rsidP="00715741">
      <w:pPr>
        <w:pStyle w:val="SingleTxtG"/>
        <w:ind w:firstLine="567"/>
        <w:rPr>
          <w:lang w:val="fr-FR"/>
        </w:rPr>
      </w:pPr>
      <w:r>
        <w:rPr>
          <w:lang w:val="fr-FR"/>
        </w:rPr>
        <w:t>6.</w:t>
      </w:r>
      <w:r>
        <w:rPr>
          <w:lang w:val="fr-FR"/>
        </w:rPr>
        <w:tab/>
      </w:r>
      <w:r w:rsidRPr="00C53903">
        <w:rPr>
          <w:i/>
          <w:iCs/>
          <w:lang w:val="fr-FR"/>
        </w:rPr>
        <w:t>Demande</w:t>
      </w:r>
      <w:r>
        <w:rPr>
          <w:lang w:val="fr-FR"/>
        </w:rPr>
        <w:t xml:space="preserve"> à la commission d</w:t>
      </w:r>
      <w:r w:rsidR="00061A89">
        <w:rPr>
          <w:lang w:val="fr-FR"/>
        </w:rPr>
        <w:t>’</w:t>
      </w:r>
      <w:r>
        <w:rPr>
          <w:lang w:val="fr-FR"/>
        </w:rPr>
        <w:t>enquête de lui faire rapport oralement à ses quarante-cinquième et quarante-sixième sessions, et de lui présenter un rapport final à sa quarante-septième session</w:t>
      </w:r>
      <w:r>
        <w:rPr>
          <w:lang w:val="fr-FR"/>
        </w:rPr>
        <w:t> </w:t>
      </w:r>
      <w:r>
        <w:rPr>
          <w:lang w:val="fr-FR"/>
        </w:rPr>
        <w:t>;</w:t>
      </w:r>
    </w:p>
    <w:p w14:paraId="39A060C5" w14:textId="77777777" w:rsidR="00715741" w:rsidRPr="001A2827" w:rsidRDefault="00715741" w:rsidP="00715741">
      <w:pPr>
        <w:pStyle w:val="SingleTxtG"/>
        <w:ind w:firstLine="567"/>
        <w:rPr>
          <w:lang w:val="fr-FR"/>
        </w:rPr>
      </w:pPr>
      <w:r>
        <w:rPr>
          <w:lang w:val="fr-FR"/>
        </w:rPr>
        <w:t>7.</w:t>
      </w:r>
      <w:r>
        <w:rPr>
          <w:lang w:val="fr-FR"/>
        </w:rPr>
        <w:tab/>
      </w:r>
      <w:r w:rsidRPr="00C53903">
        <w:rPr>
          <w:i/>
          <w:iCs/>
          <w:lang w:val="fr-FR"/>
        </w:rPr>
        <w:t>Demande également</w:t>
      </w:r>
      <w:r>
        <w:rPr>
          <w:lang w:val="fr-FR"/>
        </w:rPr>
        <w:t xml:space="preserve"> à la commission d</w:t>
      </w:r>
      <w:r w:rsidR="00061A89">
        <w:rPr>
          <w:lang w:val="fr-FR"/>
        </w:rPr>
        <w:t>’</w:t>
      </w:r>
      <w:r>
        <w:rPr>
          <w:lang w:val="fr-FR"/>
        </w:rPr>
        <w:t>enquête de rester saisie de la situation des Africains et des personnes d</w:t>
      </w:r>
      <w:r w:rsidR="00061A89">
        <w:rPr>
          <w:lang w:val="fr-FR"/>
        </w:rPr>
        <w:t>’</w:t>
      </w:r>
      <w:r>
        <w:rPr>
          <w:lang w:val="fr-FR"/>
        </w:rPr>
        <w:t>ascendance africaine, et de porter à son attention les cas de discrimination raciale et de violence à leur encontre</w:t>
      </w:r>
      <w:r>
        <w:rPr>
          <w:lang w:val="fr-FR"/>
        </w:rPr>
        <w:t> </w:t>
      </w:r>
      <w:r>
        <w:rPr>
          <w:lang w:val="fr-FR"/>
        </w:rPr>
        <w:t>;</w:t>
      </w:r>
    </w:p>
    <w:p w14:paraId="58AD4998" w14:textId="77777777" w:rsidR="00552797" w:rsidRDefault="00715741" w:rsidP="00715741">
      <w:pPr>
        <w:pStyle w:val="SingleTxtG"/>
        <w:ind w:firstLine="567"/>
        <w:rPr>
          <w:lang w:val="fr-FR"/>
        </w:rPr>
      </w:pPr>
      <w:r>
        <w:rPr>
          <w:lang w:val="fr-FR"/>
        </w:rPr>
        <w:t>8.</w:t>
      </w:r>
      <w:r>
        <w:rPr>
          <w:lang w:val="fr-FR"/>
        </w:rPr>
        <w:tab/>
      </w:r>
      <w:r w:rsidRPr="00C53903">
        <w:rPr>
          <w:i/>
          <w:iCs/>
          <w:lang w:val="fr-FR"/>
        </w:rPr>
        <w:t>Prie</w:t>
      </w:r>
      <w:r>
        <w:rPr>
          <w:lang w:val="fr-FR"/>
        </w:rPr>
        <w:t xml:space="preserve"> la Haute-Commissaire de faire le point sur les brutalités policières commises contre des Africains et des personnes d</w:t>
      </w:r>
      <w:r w:rsidR="00061A89">
        <w:rPr>
          <w:lang w:val="fr-FR"/>
        </w:rPr>
        <w:t>’</w:t>
      </w:r>
      <w:r>
        <w:rPr>
          <w:lang w:val="fr-FR"/>
        </w:rPr>
        <w:t>ascendance africaine aux États-Unis d</w:t>
      </w:r>
      <w:r w:rsidR="00061A89">
        <w:rPr>
          <w:lang w:val="fr-FR"/>
        </w:rPr>
        <w:t>’</w:t>
      </w:r>
      <w:r>
        <w:rPr>
          <w:lang w:val="fr-FR"/>
        </w:rPr>
        <w:t>Amérique et dans d</w:t>
      </w:r>
      <w:r w:rsidR="00061A89">
        <w:rPr>
          <w:lang w:val="fr-FR"/>
        </w:rPr>
        <w:t>’</w:t>
      </w:r>
      <w:r>
        <w:rPr>
          <w:lang w:val="fr-FR"/>
        </w:rPr>
        <w:t>a</w:t>
      </w:r>
      <w:bookmarkStart w:id="0" w:name="_GoBack"/>
      <w:bookmarkEnd w:id="0"/>
      <w:r>
        <w:rPr>
          <w:lang w:val="fr-FR"/>
        </w:rPr>
        <w:t>utres parties du monde récemment touchées durant les comptes rendus oraux qu</w:t>
      </w:r>
      <w:r w:rsidR="00061A89">
        <w:rPr>
          <w:lang w:val="fr-FR"/>
        </w:rPr>
        <w:t>’</w:t>
      </w:r>
      <w:r>
        <w:rPr>
          <w:lang w:val="fr-FR"/>
        </w:rPr>
        <w:t>elle lui présentera.</w:t>
      </w:r>
    </w:p>
    <w:p w14:paraId="0AED38DE" w14:textId="77777777" w:rsidR="00061A89" w:rsidRPr="00061A89" w:rsidRDefault="00061A89" w:rsidP="00061A89">
      <w:pPr>
        <w:pStyle w:val="SingleTxtG"/>
        <w:spacing w:before="240" w:after="0"/>
        <w:jc w:val="center"/>
        <w:rPr>
          <w:u w:val="single"/>
        </w:rPr>
      </w:pPr>
      <w:r>
        <w:rPr>
          <w:u w:val="single"/>
        </w:rPr>
        <w:tab/>
      </w:r>
      <w:r>
        <w:rPr>
          <w:u w:val="single"/>
        </w:rPr>
        <w:tab/>
      </w:r>
      <w:r>
        <w:rPr>
          <w:u w:val="single"/>
        </w:rPr>
        <w:tab/>
      </w:r>
    </w:p>
    <w:sectPr w:rsidR="00061A89" w:rsidRPr="00061A89" w:rsidSect="00FC012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4157" w14:textId="77777777" w:rsidR="00E572E5" w:rsidRPr="00EF7F30" w:rsidRDefault="00E572E5" w:rsidP="00EF7F30">
      <w:pPr>
        <w:pStyle w:val="Pieddepage"/>
      </w:pPr>
    </w:p>
  </w:endnote>
  <w:endnote w:type="continuationSeparator" w:id="0">
    <w:p w14:paraId="1E611206" w14:textId="77777777" w:rsidR="00E572E5" w:rsidRPr="00EF7F30" w:rsidRDefault="00E572E5" w:rsidP="00EF7F30">
      <w:pPr>
        <w:pStyle w:val="Pieddepage"/>
      </w:pPr>
    </w:p>
  </w:endnote>
  <w:endnote w:type="continuationNotice" w:id="1">
    <w:p w14:paraId="6A0DCA82" w14:textId="77777777" w:rsidR="00E572E5" w:rsidRDefault="00E572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F865" w14:textId="77777777" w:rsidR="00FC0128" w:rsidRPr="00FC0128" w:rsidRDefault="00FC0128" w:rsidP="00FC0128">
    <w:pPr>
      <w:pStyle w:val="Pieddepage"/>
      <w:tabs>
        <w:tab w:val="right" w:pos="9638"/>
      </w:tabs>
    </w:pPr>
    <w:r w:rsidRPr="00FC0128">
      <w:rPr>
        <w:b/>
        <w:sz w:val="18"/>
      </w:rPr>
      <w:fldChar w:fldCharType="begin"/>
    </w:r>
    <w:r w:rsidRPr="00FC0128">
      <w:rPr>
        <w:b/>
        <w:sz w:val="18"/>
      </w:rPr>
      <w:instrText xml:space="preserve"> PAGE  \* MERGEFORMAT </w:instrText>
    </w:r>
    <w:r w:rsidRPr="00FC0128">
      <w:rPr>
        <w:b/>
        <w:sz w:val="18"/>
      </w:rPr>
      <w:fldChar w:fldCharType="separate"/>
    </w:r>
    <w:r w:rsidRPr="00FC0128">
      <w:rPr>
        <w:b/>
        <w:noProof/>
        <w:sz w:val="18"/>
      </w:rPr>
      <w:t>2</w:t>
    </w:r>
    <w:r w:rsidRPr="00FC0128">
      <w:rPr>
        <w:b/>
        <w:sz w:val="18"/>
      </w:rPr>
      <w:fldChar w:fldCharType="end"/>
    </w:r>
    <w:r>
      <w:rPr>
        <w:b/>
        <w:sz w:val="18"/>
      </w:rPr>
      <w:tab/>
    </w:r>
    <w:r>
      <w:t>GE.20-07989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1BDD" w14:textId="77777777" w:rsidR="00FC0128" w:rsidRPr="00FC0128" w:rsidRDefault="00FC0128" w:rsidP="00FC0128">
    <w:pPr>
      <w:pStyle w:val="Pieddepage"/>
      <w:tabs>
        <w:tab w:val="right" w:pos="9638"/>
      </w:tabs>
      <w:rPr>
        <w:b/>
        <w:sz w:val="18"/>
      </w:rPr>
    </w:pPr>
    <w:r>
      <w:t>GE.20-07989</w:t>
    </w:r>
    <w:r>
      <w:tab/>
    </w:r>
    <w:r w:rsidRPr="00FC0128">
      <w:rPr>
        <w:b/>
        <w:sz w:val="18"/>
      </w:rPr>
      <w:fldChar w:fldCharType="begin"/>
    </w:r>
    <w:r w:rsidRPr="00FC0128">
      <w:rPr>
        <w:b/>
        <w:sz w:val="18"/>
      </w:rPr>
      <w:instrText xml:space="preserve"> PAGE  \* MERGEFORMAT </w:instrText>
    </w:r>
    <w:r w:rsidRPr="00FC0128">
      <w:rPr>
        <w:b/>
        <w:sz w:val="18"/>
      </w:rPr>
      <w:fldChar w:fldCharType="separate"/>
    </w:r>
    <w:r w:rsidRPr="00FC0128">
      <w:rPr>
        <w:b/>
        <w:noProof/>
        <w:sz w:val="18"/>
      </w:rPr>
      <w:t>3</w:t>
    </w:r>
    <w:r w:rsidRPr="00FC01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4AC1" w14:textId="77777777" w:rsidR="0094352E" w:rsidRPr="00FC0128" w:rsidRDefault="00FC0128" w:rsidP="00FC0128">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5F8BEA79" wp14:editId="15AEFCA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20-07989  (F)</w:t>
    </w:r>
    <w:r w:rsidR="00061A89">
      <w:rPr>
        <w:sz w:val="20"/>
      </w:rPr>
      <w:t xml:space="preserve">    170620    170620</w:t>
    </w:r>
    <w:r>
      <w:rPr>
        <w:sz w:val="20"/>
      </w:rPr>
      <w:br/>
    </w:r>
    <w:r w:rsidRPr="00FC0128">
      <w:rPr>
        <w:rFonts w:ascii="C39T30Lfz" w:hAnsi="C39T30Lfz"/>
        <w:sz w:val="56"/>
      </w:rPr>
      <w:t></w:t>
    </w:r>
    <w:r w:rsidRPr="00FC0128">
      <w:rPr>
        <w:rFonts w:ascii="C39T30Lfz" w:hAnsi="C39T30Lfz"/>
        <w:sz w:val="56"/>
      </w:rPr>
      <w:t></w:t>
    </w:r>
    <w:r w:rsidRPr="00FC0128">
      <w:rPr>
        <w:rFonts w:ascii="C39T30Lfz" w:hAnsi="C39T30Lfz"/>
        <w:sz w:val="56"/>
      </w:rPr>
      <w:t></w:t>
    </w:r>
    <w:r w:rsidRPr="00FC0128">
      <w:rPr>
        <w:rFonts w:ascii="C39T30Lfz" w:hAnsi="C39T30Lfz"/>
        <w:sz w:val="56"/>
      </w:rPr>
      <w:t></w:t>
    </w:r>
    <w:r w:rsidRPr="00FC0128">
      <w:rPr>
        <w:rFonts w:ascii="C39T30Lfz" w:hAnsi="C39T30Lfz"/>
        <w:sz w:val="56"/>
      </w:rPr>
      <w:t></w:t>
    </w:r>
    <w:r w:rsidRPr="00FC0128">
      <w:rPr>
        <w:rFonts w:ascii="C39T30Lfz" w:hAnsi="C39T30Lfz"/>
        <w:sz w:val="56"/>
      </w:rPr>
      <w:t></w:t>
    </w:r>
    <w:r w:rsidRPr="00FC0128">
      <w:rPr>
        <w:rFonts w:ascii="C39T30Lfz" w:hAnsi="C39T30Lfz"/>
        <w:sz w:val="56"/>
      </w:rPr>
      <w:t></w:t>
    </w:r>
    <w:r w:rsidRPr="00FC0128">
      <w:rPr>
        <w:rFonts w:ascii="C39T30Lfz" w:hAnsi="C39T30Lfz"/>
        <w:sz w:val="56"/>
      </w:rPr>
      <w:t></w:t>
    </w:r>
    <w:r w:rsidRPr="00FC0128">
      <w:rPr>
        <w:rFonts w:ascii="C39T30Lfz" w:hAnsi="C39T30Lfz"/>
        <w:sz w:val="56"/>
      </w:rPr>
      <w:t></w:t>
    </w:r>
    <w:r>
      <w:rPr>
        <w:noProof/>
        <w:sz w:val="20"/>
      </w:rPr>
      <w:drawing>
        <wp:anchor distT="0" distB="0" distL="114300" distR="114300" simplePos="0" relativeHeight="251658240" behindDoc="0" locked="0" layoutInCell="1" allowOverlap="1" wp14:anchorId="34013770" wp14:editId="2DB88D7E">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01BB" w14:textId="77777777" w:rsidR="00E572E5" w:rsidRPr="00EF7F30" w:rsidRDefault="00E572E5"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1941541F" w14:textId="77777777" w:rsidR="00E572E5" w:rsidRPr="00EF7F30" w:rsidRDefault="00E572E5" w:rsidP="000E5ADA">
      <w:pPr>
        <w:pStyle w:val="Pieddepage"/>
        <w:tabs>
          <w:tab w:val="right" w:pos="2155"/>
        </w:tabs>
        <w:spacing w:after="80" w:line="240" w:lineRule="atLeast"/>
        <w:ind w:left="680"/>
      </w:pPr>
      <w:r w:rsidRPr="00EF7F30">
        <w:rPr>
          <w:u w:val="single"/>
        </w:rPr>
        <w:tab/>
      </w:r>
    </w:p>
  </w:footnote>
  <w:footnote w:type="continuationNotice" w:id="1">
    <w:p w14:paraId="3EBB317F" w14:textId="77777777" w:rsidR="00E572E5" w:rsidRPr="000F2457" w:rsidRDefault="00E572E5">
      <w:pPr>
        <w:spacing w:line="240" w:lineRule="auto"/>
        <w:rPr>
          <w:sz w:val="2"/>
          <w:szCs w:val="2"/>
        </w:rPr>
      </w:pPr>
    </w:p>
  </w:footnote>
  <w:footnote w:id="2">
    <w:p w14:paraId="1C18F165" w14:textId="77777777" w:rsidR="00061A89" w:rsidRPr="00061A89" w:rsidRDefault="00061A89">
      <w:pPr>
        <w:pStyle w:val="Notedebasdepage"/>
      </w:pPr>
      <w:r>
        <w:rPr>
          <w:rStyle w:val="Appelnotedebasdep"/>
        </w:rPr>
        <w:tab/>
      </w:r>
      <w:r w:rsidRPr="00061A89">
        <w:rPr>
          <w:rStyle w:val="Appelnotedebasdep"/>
          <w:sz w:val="20"/>
          <w:vertAlign w:val="baseline"/>
        </w:rPr>
        <w:t>*</w:t>
      </w:r>
      <w:r>
        <w:rPr>
          <w:rStyle w:val="Appelnotedebasdep"/>
          <w:sz w:val="20"/>
          <w:vertAlign w:val="baseline"/>
        </w:rPr>
        <w:tab/>
      </w:r>
      <w:r>
        <w:rPr>
          <w:lang w:val="fr-FR"/>
        </w:rPr>
        <w:t>Au nom des États Membres de l’Organisation des Nations Unies qui sont membres du Groupe des États d’Afrique.</w:t>
      </w:r>
    </w:p>
  </w:footnote>
  <w:footnote w:id="3">
    <w:p w14:paraId="03F16246" w14:textId="77777777" w:rsidR="00061A89" w:rsidRPr="00061A89" w:rsidRDefault="00061A89">
      <w:pPr>
        <w:pStyle w:val="Notedebasdepage"/>
      </w:pPr>
      <w:r>
        <w:rPr>
          <w:rStyle w:val="Appelnotedebasdep"/>
        </w:rPr>
        <w:tab/>
      </w:r>
      <w:r w:rsidRPr="00061A89">
        <w:rPr>
          <w:rStyle w:val="Appelnotedebasdep"/>
          <w:sz w:val="20"/>
          <w:vertAlign w:val="baseline"/>
        </w:rPr>
        <w:t>**</w:t>
      </w:r>
      <w:r>
        <w:rPr>
          <w:rStyle w:val="Appelnotedebasdep"/>
          <w:sz w:val="20"/>
          <w:vertAlign w:val="baseline"/>
        </w:rPr>
        <w:tab/>
      </w:r>
      <w:r>
        <w:rPr>
          <w:lang w:val="fr-FR"/>
        </w:rPr>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D19A" w14:textId="7978C993" w:rsidR="00FC0128" w:rsidRPr="00FC0128" w:rsidRDefault="00FC0128">
    <w:pPr>
      <w:pStyle w:val="En-tte"/>
    </w:pPr>
    <w:fldSimple w:instr=" TITLE  \* MERGEFORMAT ">
      <w:r w:rsidR="00312896">
        <w:t>A/HRC/43/L.50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A25D" w14:textId="2EE893A0" w:rsidR="00FC0128" w:rsidRPr="00FC0128" w:rsidRDefault="00FC0128" w:rsidP="00FC0128">
    <w:pPr>
      <w:pStyle w:val="En-tte"/>
      <w:jc w:val="right"/>
    </w:pPr>
    <w:fldSimple w:instr=" TITLE  \* MERGEFORMAT ">
      <w:r w:rsidR="00312896">
        <w:t>A/HRC/43/L.50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72E5"/>
    <w:rsid w:val="00023842"/>
    <w:rsid w:val="00061A89"/>
    <w:rsid w:val="0006543A"/>
    <w:rsid w:val="0007796D"/>
    <w:rsid w:val="000E5ADA"/>
    <w:rsid w:val="000F2457"/>
    <w:rsid w:val="00111F2F"/>
    <w:rsid w:val="00131E73"/>
    <w:rsid w:val="0014365E"/>
    <w:rsid w:val="00176178"/>
    <w:rsid w:val="001F525A"/>
    <w:rsid w:val="00212168"/>
    <w:rsid w:val="002165E2"/>
    <w:rsid w:val="00260711"/>
    <w:rsid w:val="002E0D9C"/>
    <w:rsid w:val="00312896"/>
    <w:rsid w:val="003547BE"/>
    <w:rsid w:val="00417529"/>
    <w:rsid w:val="00446FE5"/>
    <w:rsid w:val="005338C3"/>
    <w:rsid w:val="00552797"/>
    <w:rsid w:val="00573BE5"/>
    <w:rsid w:val="00586ED3"/>
    <w:rsid w:val="00587A52"/>
    <w:rsid w:val="005B4E23"/>
    <w:rsid w:val="00617B29"/>
    <w:rsid w:val="0068446C"/>
    <w:rsid w:val="00695AED"/>
    <w:rsid w:val="00710BD6"/>
    <w:rsid w:val="00715741"/>
    <w:rsid w:val="0071601D"/>
    <w:rsid w:val="00721020"/>
    <w:rsid w:val="007255AE"/>
    <w:rsid w:val="0073158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CB23E9"/>
    <w:rsid w:val="00D45432"/>
    <w:rsid w:val="00DB1831"/>
    <w:rsid w:val="00DD3BFD"/>
    <w:rsid w:val="00E228A8"/>
    <w:rsid w:val="00E572E5"/>
    <w:rsid w:val="00E6618E"/>
    <w:rsid w:val="00EF7F30"/>
    <w:rsid w:val="00F660DF"/>
    <w:rsid w:val="00F95C08"/>
    <w:rsid w:val="00FC012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E65409"/>
  <w15:docId w15:val="{2848FAC6-B717-49F4-8F7E-5128F0C4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1E19-62EB-4B1A-B152-275BA5EB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3</Pages>
  <Words>1092</Words>
  <Characters>6552</Characters>
  <Application>Microsoft Office Word</Application>
  <DocSecurity>0</DocSecurity>
  <Lines>936</Lines>
  <Paragraphs>402</Paragraphs>
  <ScaleCrop>false</ScaleCrop>
  <HeadingPairs>
    <vt:vector size="2" baseType="variant">
      <vt:variant>
        <vt:lpstr>Titre</vt:lpstr>
      </vt:variant>
      <vt:variant>
        <vt:i4>1</vt:i4>
      </vt:variant>
    </vt:vector>
  </HeadingPairs>
  <TitlesOfParts>
    <vt:vector size="1" baseType="lpstr">
      <vt:lpstr>A/HRC/43/L.50</vt:lpstr>
    </vt:vector>
  </TitlesOfParts>
  <Company>DCM</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A/HRC/43/L.50</dc:title>
  <dc:subject/>
  <dc:creator>Julien OKRZESIK</dc:creator>
  <cp:keywords/>
  <cp:lastModifiedBy>Julien Okrzesik</cp:lastModifiedBy>
  <cp:revision>3</cp:revision>
  <cp:lastPrinted>2020-06-17T13:18:00Z</cp:lastPrinted>
  <dcterms:created xsi:type="dcterms:W3CDTF">2020-06-17T13:18:00Z</dcterms:created>
  <dcterms:modified xsi:type="dcterms:W3CDTF">2020-06-17T13:18:00Z</dcterms:modified>
</cp:coreProperties>
</file>