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2B5F3C" w14:paraId="74EDABE1" w14:textId="77777777" w:rsidTr="00BA184E">
        <w:trPr>
          <w:trHeight w:hRule="exact" w:val="851"/>
        </w:trPr>
        <w:tc>
          <w:tcPr>
            <w:tcW w:w="1276" w:type="dxa"/>
            <w:tcBorders>
              <w:bottom w:val="single" w:sz="4" w:space="0" w:color="auto"/>
            </w:tcBorders>
          </w:tcPr>
          <w:p w14:paraId="1276B0D2" w14:textId="77777777" w:rsidR="00971FF4" w:rsidRPr="00971FF4" w:rsidRDefault="00971FF4" w:rsidP="00971FF4">
            <w:pPr>
              <w:spacing w:line="20" w:lineRule="exact"/>
              <w:rPr>
                <w:rStyle w:val="Emphasis"/>
                <w:sz w:val="2"/>
              </w:rPr>
            </w:pPr>
            <w:r>
              <w:rPr>
                <w:rStyle w:val="CommentReference"/>
              </w:rPr>
              <w:commentReference w:id="0"/>
            </w:r>
            <w:bookmarkStart w:id="1" w:name="_GoBack"/>
            <w:bookmarkEnd w:id="1"/>
          </w:p>
          <w:p w14:paraId="33A17F58" w14:textId="7B088F84" w:rsidR="005E1E86" w:rsidRPr="00971FF4" w:rsidRDefault="00971FF4" w:rsidP="00971FF4">
            <w:pPr>
              <w:spacing w:line="240" w:lineRule="auto"/>
              <w:rPr>
                <w:rStyle w:val="Emphasis"/>
                <w:sz w:val="6"/>
              </w:rPr>
            </w:pPr>
            <w:r>
              <w:rPr>
                <w:rStyle w:val="Emphasis"/>
                <w:sz w:val="6"/>
              </w:rPr>
              <w:t xml:space="preserve">  </w:t>
            </w:r>
          </w:p>
          <w:p w14:paraId="559F1834" w14:textId="77777777" w:rsidR="00057BC0" w:rsidRPr="005E1E86" w:rsidRDefault="005E1E86" w:rsidP="005E1E86">
            <w:pPr>
              <w:spacing w:line="240" w:lineRule="auto"/>
              <w:rPr>
                <w:rStyle w:val="Emphasis"/>
                <w:sz w:val="6"/>
              </w:rPr>
            </w:pPr>
            <w:r>
              <w:rPr>
                <w:rStyle w:val="Emphasis"/>
                <w:sz w:val="6"/>
              </w:rPr>
              <w:t xml:space="preserve">  </w:t>
            </w:r>
          </w:p>
        </w:tc>
        <w:tc>
          <w:tcPr>
            <w:tcW w:w="2268" w:type="dxa"/>
            <w:tcBorders>
              <w:bottom w:val="single" w:sz="4" w:space="0" w:color="auto"/>
            </w:tcBorders>
            <w:vAlign w:val="bottom"/>
          </w:tcPr>
          <w:p w14:paraId="5370566F" w14:textId="77777777" w:rsidR="00057BC0" w:rsidRPr="002B5F3C" w:rsidRDefault="00057BC0" w:rsidP="00C717E0">
            <w:pPr>
              <w:spacing w:after="80" w:line="300" w:lineRule="exact"/>
              <w:rPr>
                <w:sz w:val="28"/>
              </w:rPr>
            </w:pPr>
            <w:r w:rsidRPr="002B5F3C">
              <w:rPr>
                <w:sz w:val="28"/>
              </w:rPr>
              <w:t>Nations Unies</w:t>
            </w:r>
          </w:p>
        </w:tc>
        <w:tc>
          <w:tcPr>
            <w:tcW w:w="6095" w:type="dxa"/>
            <w:gridSpan w:val="2"/>
            <w:tcBorders>
              <w:bottom w:val="single" w:sz="4" w:space="0" w:color="auto"/>
            </w:tcBorders>
            <w:vAlign w:val="bottom"/>
          </w:tcPr>
          <w:p w14:paraId="17B0CE79" w14:textId="398C1E28" w:rsidR="00057BC0" w:rsidRPr="002B5F3C" w:rsidRDefault="00A36CE0" w:rsidP="00DB6F26">
            <w:pPr>
              <w:jc w:val="right"/>
            </w:pPr>
            <w:r w:rsidRPr="002B5F3C">
              <w:rPr>
                <w:sz w:val="40"/>
              </w:rPr>
              <w:t>A</w:t>
            </w:r>
            <w:r w:rsidRPr="002B5F3C">
              <w:t>/HRC/2</w:t>
            </w:r>
            <w:r w:rsidR="00C30B96" w:rsidRPr="002B5F3C">
              <w:t>9</w:t>
            </w:r>
            <w:r w:rsidRPr="002B5F3C">
              <w:t>/L.</w:t>
            </w:r>
            <w:r w:rsidR="00DB6F26" w:rsidRPr="002B5F3C">
              <w:t>13</w:t>
            </w:r>
            <w:r w:rsidR="00085A1D">
              <w:t>/Rev.1</w:t>
            </w:r>
          </w:p>
        </w:tc>
      </w:tr>
      <w:tr w:rsidR="00057BC0" w:rsidRPr="002B5F3C" w14:paraId="0A348C0E" w14:textId="77777777" w:rsidTr="00C717E0">
        <w:trPr>
          <w:trHeight w:hRule="exact" w:val="2835"/>
        </w:trPr>
        <w:tc>
          <w:tcPr>
            <w:tcW w:w="1276" w:type="dxa"/>
            <w:tcBorders>
              <w:top w:val="single" w:sz="4" w:space="0" w:color="auto"/>
              <w:bottom w:val="single" w:sz="12" w:space="0" w:color="auto"/>
            </w:tcBorders>
          </w:tcPr>
          <w:p w14:paraId="5CE7D238" w14:textId="77777777" w:rsidR="00057BC0" w:rsidRPr="002B5F3C" w:rsidRDefault="003A1902" w:rsidP="00C717E0">
            <w:pPr>
              <w:spacing w:before="120"/>
              <w:jc w:val="center"/>
            </w:pPr>
            <w:r w:rsidRPr="002B5F3C">
              <w:rPr>
                <w:noProof/>
                <w:lang w:val="en-US"/>
              </w:rPr>
              <w:drawing>
                <wp:inline distT="0" distB="0" distL="0" distR="0" wp14:anchorId="4548B58C" wp14:editId="116984C5">
                  <wp:extent cx="713105" cy="59436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105"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78955F" w14:textId="77777777" w:rsidR="00057BC0" w:rsidRPr="002B5F3C" w:rsidRDefault="00057BC0" w:rsidP="00C717E0">
            <w:pPr>
              <w:spacing w:before="120" w:line="420" w:lineRule="exact"/>
              <w:rPr>
                <w:b/>
                <w:sz w:val="40"/>
                <w:szCs w:val="40"/>
              </w:rPr>
            </w:pPr>
            <w:r w:rsidRPr="002B5F3C">
              <w:rPr>
                <w:b/>
                <w:sz w:val="40"/>
                <w:szCs w:val="40"/>
              </w:rPr>
              <w:t>Assemblée générale</w:t>
            </w:r>
          </w:p>
        </w:tc>
        <w:tc>
          <w:tcPr>
            <w:tcW w:w="2835" w:type="dxa"/>
            <w:tcBorders>
              <w:top w:val="single" w:sz="4" w:space="0" w:color="auto"/>
              <w:bottom w:val="single" w:sz="12" w:space="0" w:color="auto"/>
            </w:tcBorders>
          </w:tcPr>
          <w:p w14:paraId="61072DFC" w14:textId="77777777" w:rsidR="00A36CE0" w:rsidRPr="002B5F3C" w:rsidRDefault="00A36CE0" w:rsidP="00C717E0">
            <w:pPr>
              <w:spacing w:before="240"/>
            </w:pPr>
            <w:r w:rsidRPr="002B5F3C">
              <w:t>Distr. limitée</w:t>
            </w:r>
          </w:p>
          <w:p w14:paraId="6B7BF988" w14:textId="17B98737" w:rsidR="00A36CE0" w:rsidRPr="002B5F3C" w:rsidRDefault="00C5373A" w:rsidP="00775710">
            <w:pPr>
              <w:spacing w:line="240" w:lineRule="exact"/>
            </w:pPr>
            <w:r>
              <w:t>1</w:t>
            </w:r>
            <w:r w:rsidR="00775710" w:rsidRPr="005641A9">
              <w:rPr>
                <w:vertAlign w:val="superscript"/>
              </w:rPr>
              <w:t>er</w:t>
            </w:r>
            <w:r w:rsidR="00085A1D" w:rsidRPr="002B5F3C">
              <w:t xml:space="preserve"> </w:t>
            </w:r>
            <w:r w:rsidR="00C30B96" w:rsidRPr="002B5F3C">
              <w:t>jui</w:t>
            </w:r>
            <w:r w:rsidR="00775710">
              <w:t>llet</w:t>
            </w:r>
            <w:r w:rsidR="00375C5B" w:rsidRPr="002B5F3C">
              <w:t xml:space="preserve"> 2015</w:t>
            </w:r>
          </w:p>
          <w:p w14:paraId="0E20C035" w14:textId="77777777" w:rsidR="00A36CE0" w:rsidRPr="002B5F3C" w:rsidRDefault="00A36CE0" w:rsidP="00A36CE0">
            <w:pPr>
              <w:spacing w:line="240" w:lineRule="exact"/>
            </w:pPr>
          </w:p>
          <w:p w14:paraId="197A7704" w14:textId="77777777" w:rsidR="00057BC0" w:rsidRPr="002B5F3C" w:rsidRDefault="00FF1B1D" w:rsidP="00A36CE0">
            <w:pPr>
              <w:spacing w:line="240" w:lineRule="exact"/>
            </w:pPr>
            <w:r w:rsidRPr="002B5F3C">
              <w:t>Original: français</w:t>
            </w:r>
          </w:p>
        </w:tc>
      </w:tr>
    </w:tbl>
    <w:p w14:paraId="1CEDA006" w14:textId="77777777" w:rsidR="00BA184E" w:rsidRPr="002B5F3C" w:rsidRDefault="00BA184E" w:rsidP="001B6907">
      <w:pPr>
        <w:spacing w:before="120"/>
        <w:rPr>
          <w:b/>
          <w:sz w:val="24"/>
          <w:szCs w:val="24"/>
        </w:rPr>
      </w:pPr>
      <w:r w:rsidRPr="002B5F3C">
        <w:rPr>
          <w:b/>
          <w:sz w:val="24"/>
          <w:szCs w:val="24"/>
        </w:rPr>
        <w:t>Conseil des droits de l</w:t>
      </w:r>
      <w:r w:rsidR="00CB177A" w:rsidRPr="002B5F3C">
        <w:rPr>
          <w:b/>
          <w:sz w:val="24"/>
          <w:szCs w:val="24"/>
        </w:rPr>
        <w:t>’</w:t>
      </w:r>
      <w:r w:rsidRPr="002B5F3C">
        <w:rPr>
          <w:b/>
          <w:sz w:val="24"/>
          <w:szCs w:val="24"/>
        </w:rPr>
        <w:t>homme</w:t>
      </w:r>
    </w:p>
    <w:p w14:paraId="6320BCBA" w14:textId="77777777" w:rsidR="00594033" w:rsidRPr="002B5F3C" w:rsidRDefault="000B71F6" w:rsidP="00981C83">
      <w:pPr>
        <w:rPr>
          <w:b/>
        </w:rPr>
      </w:pPr>
      <w:r w:rsidRPr="002B5F3C">
        <w:rPr>
          <w:b/>
        </w:rPr>
        <w:t>Vingt</w:t>
      </w:r>
      <w:r w:rsidR="00375C5B" w:rsidRPr="002B5F3C">
        <w:rPr>
          <w:b/>
        </w:rPr>
        <w:t>-</w:t>
      </w:r>
      <w:r w:rsidR="00C30B96" w:rsidRPr="002B5F3C">
        <w:rPr>
          <w:b/>
        </w:rPr>
        <w:t>neuvi</w:t>
      </w:r>
      <w:r w:rsidR="0063396C" w:rsidRPr="002B5F3C">
        <w:rPr>
          <w:b/>
        </w:rPr>
        <w:t>ème</w:t>
      </w:r>
      <w:r w:rsidR="00A36CE0" w:rsidRPr="002B5F3C">
        <w:rPr>
          <w:b/>
        </w:rPr>
        <w:t xml:space="preserve"> session</w:t>
      </w:r>
    </w:p>
    <w:p w14:paraId="79F50E66" w14:textId="77777777" w:rsidR="00A36CE0" w:rsidRPr="002B5F3C" w:rsidRDefault="00A36CE0" w:rsidP="00981C83">
      <w:r w:rsidRPr="002B5F3C">
        <w:t>Point 10 de l</w:t>
      </w:r>
      <w:r w:rsidR="00CB177A" w:rsidRPr="002B5F3C">
        <w:t>’</w:t>
      </w:r>
      <w:r w:rsidRPr="002B5F3C">
        <w:t>ordre du jour</w:t>
      </w:r>
    </w:p>
    <w:p w14:paraId="49364F4C" w14:textId="77777777" w:rsidR="00A36CE0" w:rsidRPr="002B5F3C" w:rsidRDefault="00A36CE0" w:rsidP="00981C83">
      <w:pPr>
        <w:rPr>
          <w:b/>
        </w:rPr>
      </w:pPr>
      <w:r w:rsidRPr="002B5F3C">
        <w:rPr>
          <w:b/>
        </w:rPr>
        <w:t>Assistance technique et renforcement des capacités</w:t>
      </w:r>
    </w:p>
    <w:p w14:paraId="438CF458" w14:textId="6CDC4CA7" w:rsidR="00A36CE0" w:rsidRPr="002B5F3C" w:rsidRDefault="00A36CE0" w:rsidP="00EE4043">
      <w:pPr>
        <w:pStyle w:val="H23G"/>
      </w:pPr>
      <w:r w:rsidRPr="002B5F3C">
        <w:tab/>
      </w:r>
      <w:r w:rsidRPr="002B5F3C">
        <w:tab/>
      </w:r>
      <w:r w:rsidR="00A56E3B" w:rsidRPr="002B5F3C">
        <w:t xml:space="preserve">Algérie (au nom du Groupe des États </w:t>
      </w:r>
      <w:r w:rsidR="00DD712F" w:rsidRPr="002B5F3C">
        <w:t>d’A</w:t>
      </w:r>
      <w:r w:rsidR="00A56E3B" w:rsidRPr="002B5F3C">
        <w:t>fri</w:t>
      </w:r>
      <w:r w:rsidR="00DD712F" w:rsidRPr="002B5F3C">
        <w:t>que</w:t>
      </w:r>
      <w:r w:rsidR="00A56E3B" w:rsidRPr="002B5F3C">
        <w:t>),</w:t>
      </w:r>
      <w:r w:rsidR="00AD5413">
        <w:t xml:space="preserve"> Croatie*, Géorgie*,</w:t>
      </w:r>
      <w:r w:rsidR="00A56E3B" w:rsidRPr="002B5F3C">
        <w:t xml:space="preserve"> </w:t>
      </w:r>
      <w:r w:rsidR="00AD5413">
        <w:t xml:space="preserve">Honduras*, </w:t>
      </w:r>
      <w:r w:rsidR="00A56E3B" w:rsidRPr="002B5F3C">
        <w:t>Irlande, Israël</w:t>
      </w:r>
      <w:r w:rsidR="00A56E3B" w:rsidRPr="002B5F3C">
        <w:rPr>
          <w:rStyle w:val="FootnoteReference"/>
          <w:sz w:val="20"/>
          <w:vertAlign w:val="baseline"/>
        </w:rPr>
        <w:footnoteReference w:customMarkFollows="1" w:id="2"/>
        <w:t>*</w:t>
      </w:r>
      <w:r w:rsidR="006B12EF" w:rsidRPr="002B5F3C">
        <w:rPr>
          <w:rStyle w:val="FootnoteReference"/>
          <w:sz w:val="20"/>
          <w:vertAlign w:val="baseline"/>
        </w:rPr>
        <w:t>,</w:t>
      </w:r>
      <w:r w:rsidR="00A56E3B" w:rsidRPr="002B5F3C">
        <w:t xml:space="preserve"> </w:t>
      </w:r>
      <w:r w:rsidR="00AD5413">
        <w:t>Italie*</w:t>
      </w:r>
      <w:r w:rsidR="00EE4043">
        <w:t>,</w:t>
      </w:r>
      <w:r w:rsidR="00AD5413">
        <w:t xml:space="preserve"> </w:t>
      </w:r>
      <w:r w:rsidR="00A56E3B" w:rsidRPr="002B5F3C">
        <w:t>Luxembourg*</w:t>
      </w:r>
      <w:r w:rsidR="006B12EF" w:rsidRPr="002B5F3C">
        <w:t>,</w:t>
      </w:r>
      <w:r w:rsidR="00A56E3B" w:rsidRPr="002B5F3C">
        <w:t xml:space="preserve"> Maldives, Nouvelle-Zélande*</w:t>
      </w:r>
      <w:r w:rsidR="00AD5413">
        <w:t xml:space="preserve">, </w:t>
      </w:r>
      <w:r w:rsidR="00DF2DDE">
        <w:t xml:space="preserve">Pologne*, </w:t>
      </w:r>
      <w:r w:rsidR="00AD5413">
        <w:t>Turquie*</w:t>
      </w:r>
      <w:r w:rsidR="006B12EF" w:rsidRPr="002B5F3C">
        <w:t>:</w:t>
      </w:r>
      <w:r w:rsidRPr="002B5F3C">
        <w:t xml:space="preserve"> projet de résolution</w:t>
      </w:r>
    </w:p>
    <w:p w14:paraId="1186B6BA" w14:textId="77777777" w:rsidR="00A36CE0" w:rsidRPr="002B5F3C" w:rsidRDefault="00A36CE0" w:rsidP="00A36CE0">
      <w:pPr>
        <w:pStyle w:val="H1G"/>
      </w:pPr>
      <w:r w:rsidRPr="002B5F3C">
        <w:tab/>
      </w:r>
      <w:r w:rsidRPr="002B5F3C">
        <w:tab/>
      </w:r>
      <w:r w:rsidR="0063396C" w:rsidRPr="002B5F3C">
        <w:t>2</w:t>
      </w:r>
      <w:r w:rsidR="00C30B96" w:rsidRPr="002B5F3C">
        <w:t>9</w:t>
      </w:r>
      <w:r w:rsidR="000B71F6" w:rsidRPr="002B5F3C">
        <w:t xml:space="preserve">/…  </w:t>
      </w:r>
      <w:r w:rsidR="00DB6F26" w:rsidRPr="002B5F3C">
        <w:t xml:space="preserve">Renforcement de capacités et coopération technique avec la Côte </w:t>
      </w:r>
      <w:r w:rsidR="00C427F9">
        <w:tab/>
      </w:r>
      <w:r w:rsidR="00DB6F26" w:rsidRPr="002B5F3C">
        <w:t>d’Ivoire dans le domaine des droits de l’homme</w:t>
      </w:r>
    </w:p>
    <w:p w14:paraId="781CC07A" w14:textId="77777777" w:rsidR="000B2B1E" w:rsidRPr="002B5F3C" w:rsidRDefault="00CB177A" w:rsidP="000B2B1E">
      <w:pPr>
        <w:pStyle w:val="SingleTxtG"/>
        <w:ind w:firstLine="567"/>
      </w:pPr>
      <w:r w:rsidRPr="002B5F3C">
        <w:rPr>
          <w:i/>
        </w:rPr>
        <w:t>Le Conseil des droits de l’homme</w:t>
      </w:r>
      <w:r w:rsidRPr="002B5F3C">
        <w:t>,</w:t>
      </w:r>
    </w:p>
    <w:p w14:paraId="02111065" w14:textId="77777777" w:rsidR="00DB6F26" w:rsidRPr="002B5F3C" w:rsidRDefault="00DB6F26" w:rsidP="00DB6F26">
      <w:pPr>
        <w:pStyle w:val="SingleTxtG"/>
        <w:ind w:firstLine="567"/>
      </w:pPr>
      <w:r w:rsidRPr="002B5F3C">
        <w:rPr>
          <w:i/>
        </w:rPr>
        <w:t>Guidé</w:t>
      </w:r>
      <w:r w:rsidRPr="002B5F3C">
        <w:t xml:space="preserve"> par les buts et principes de la Charte des Nations Unies, de la Déclaration universelle des droits de l’homme et des autres instruments pertinents </w:t>
      </w:r>
      <w:r w:rsidR="001B68E3" w:rsidRPr="002B5F3C">
        <w:t>relatifs aux droits de l’homme,</w:t>
      </w:r>
    </w:p>
    <w:p w14:paraId="63AEA0C5" w14:textId="77777777" w:rsidR="00DB6F26" w:rsidRPr="002B5F3C" w:rsidRDefault="00DB6F26" w:rsidP="00DB6F26">
      <w:pPr>
        <w:pStyle w:val="SingleTxtG"/>
        <w:ind w:firstLine="567"/>
      </w:pPr>
      <w:r w:rsidRPr="002B5F3C">
        <w:rPr>
          <w:i/>
        </w:rPr>
        <w:t>Rappelant</w:t>
      </w:r>
      <w:r w:rsidRPr="002B5F3C">
        <w:t xml:space="preserve"> la résolution 60/251 de l’Assemblée générale du 15 mar</w:t>
      </w:r>
      <w:r w:rsidR="001B68E3" w:rsidRPr="002B5F3C">
        <w:t>s 2006,</w:t>
      </w:r>
    </w:p>
    <w:p w14:paraId="3D5A9A9B" w14:textId="77777777" w:rsidR="00DB6F26" w:rsidRPr="002B5F3C" w:rsidRDefault="00DB6F26" w:rsidP="00DB6F26">
      <w:pPr>
        <w:pStyle w:val="SingleTxtG"/>
        <w:ind w:firstLine="567"/>
      </w:pPr>
      <w:r w:rsidRPr="002B5F3C">
        <w:rPr>
          <w:i/>
        </w:rPr>
        <w:t>Rappelant également</w:t>
      </w:r>
      <w:r w:rsidRPr="002B5F3C">
        <w:t xml:space="preserve"> ses résolutions 5/1 sur la mise en place des institutions du Conseil et 5/2 sur le code de conduite pour les titulaires de mandat au titre des procédures spéciales du Conseil, toutes deux en date du 18 juin 2007, et soulignant que le détenteur du mandat doit s’acquitter de ses fonctions conformément à ces re</w:t>
      </w:r>
      <w:r w:rsidR="001B68E3" w:rsidRPr="002B5F3C">
        <w:t>́solutions et à leurs annexes,</w:t>
      </w:r>
    </w:p>
    <w:p w14:paraId="57EA1282" w14:textId="77777777" w:rsidR="00DB6F26" w:rsidRPr="002B5F3C" w:rsidRDefault="00DB6F26">
      <w:pPr>
        <w:pStyle w:val="SingleTxtG"/>
        <w:ind w:firstLine="567"/>
      </w:pPr>
      <w:r w:rsidRPr="002B5F3C">
        <w:rPr>
          <w:i/>
        </w:rPr>
        <w:t>Rappelant en outre</w:t>
      </w:r>
      <w:r w:rsidRPr="002B5F3C">
        <w:t xml:space="preserve"> ses résolutions S-14/1 du 23 décembre 2010 et 16/25 du 25 mars 2011 sur la situation des droits de l’homme en Côte d’Ivoire, ses résolutions 17/21 du 17</w:t>
      </w:r>
      <w:r w:rsidR="006B12EF" w:rsidRPr="002B5F3C">
        <w:t> </w:t>
      </w:r>
      <w:r w:rsidRPr="002B5F3C">
        <w:t xml:space="preserve">juin 2011 portant création du mandat de l’Expert indépendant sur la situation des droits de l’homme en Côte d’Ivoire, 20/19 du 6 juillet 2012 et 23/22 du 14 juin 2013 portant </w:t>
      </w:r>
      <w:r w:rsidR="00580D8E" w:rsidRPr="002B5F3C">
        <w:t xml:space="preserve">prorogation </w:t>
      </w:r>
      <w:r w:rsidRPr="002B5F3C">
        <w:t xml:space="preserve">du mandat de l’Expert indépendant, ainsi que sa résolution 26/32 </w:t>
      </w:r>
      <w:r w:rsidR="006B12EF" w:rsidRPr="002B5F3C">
        <w:t>du 27 juin 2014 dans laquelle il établi</w:t>
      </w:r>
      <w:r w:rsidR="00C20F11" w:rsidRPr="002B5F3C">
        <w:t>t</w:t>
      </w:r>
      <w:r w:rsidR="006B12EF" w:rsidRPr="002B5F3C">
        <w:t xml:space="preserve"> le </w:t>
      </w:r>
      <w:r w:rsidRPr="002B5F3C">
        <w:t xml:space="preserve">mandat sur le </w:t>
      </w:r>
      <w:r w:rsidR="006B12EF" w:rsidRPr="002B5F3C">
        <w:t>r</w:t>
      </w:r>
      <w:r w:rsidRPr="002B5F3C">
        <w:t xml:space="preserve">enforcement de capacités et la coopération technique avec la Côte d’Ivoire dans le </w:t>
      </w:r>
      <w:r w:rsidR="001B68E3" w:rsidRPr="002B5F3C">
        <w:t>domaine des droits de l’homme,</w:t>
      </w:r>
    </w:p>
    <w:p w14:paraId="49D4FC23" w14:textId="77777777" w:rsidR="00DB6F26" w:rsidRPr="002B5F3C" w:rsidRDefault="00DB6F26" w:rsidP="00DB6F26">
      <w:pPr>
        <w:pStyle w:val="SingleTxtG"/>
        <w:ind w:firstLine="567"/>
      </w:pPr>
      <w:r w:rsidRPr="002B5F3C">
        <w:rPr>
          <w:i/>
        </w:rPr>
        <w:t>Réaffirmant</w:t>
      </w:r>
      <w:r w:rsidRPr="002B5F3C">
        <w:t xml:space="preserve"> que tous les États ont la responsabilité de promouvoir et de protéger les droits de l’homme et les libertés fondamentales consacrés dans la Charte des Nations Unies, la Déclaration universelle des droits de l’homme, les Pactes internationaux relatifs aux droits de l’homme et les autres instruments pertinents </w:t>
      </w:r>
      <w:r w:rsidR="001B68E3" w:rsidRPr="002B5F3C">
        <w:t>relatifs aux droits de l’homme,</w:t>
      </w:r>
    </w:p>
    <w:p w14:paraId="0AD9AEAC" w14:textId="77777777" w:rsidR="00DB6F26" w:rsidRPr="002B5F3C" w:rsidRDefault="00DB6F26">
      <w:pPr>
        <w:pStyle w:val="SingleTxtG"/>
        <w:ind w:firstLine="567"/>
      </w:pPr>
      <w:r w:rsidRPr="002B5F3C">
        <w:rPr>
          <w:i/>
        </w:rPr>
        <w:t>Se félicitant</w:t>
      </w:r>
      <w:r w:rsidRPr="002B5F3C">
        <w:t xml:space="preserve"> de la création du fonds d’indemnisation des victimes de la crise postélectorale d’un montant initial de 10</w:t>
      </w:r>
      <w:r w:rsidR="006B12EF" w:rsidRPr="002B5F3C">
        <w:t> </w:t>
      </w:r>
      <w:r w:rsidRPr="002B5F3C">
        <w:t xml:space="preserve">milliards de </w:t>
      </w:r>
      <w:r w:rsidR="006B12EF" w:rsidRPr="002B5F3C">
        <w:t>francs</w:t>
      </w:r>
      <w:r w:rsidRPr="002B5F3C">
        <w:t xml:space="preserve"> CFA, soit environ 18</w:t>
      </w:r>
      <w:r w:rsidR="00C57499" w:rsidRPr="002B5F3C">
        <w:t> </w:t>
      </w:r>
      <w:r w:rsidR="006B12EF" w:rsidRPr="002B5F3C">
        <w:t>m</w:t>
      </w:r>
      <w:r w:rsidRPr="002B5F3C">
        <w:t xml:space="preserve">illions </w:t>
      </w:r>
      <w:r w:rsidRPr="002B5F3C">
        <w:lastRenderedPageBreak/>
        <w:t xml:space="preserve">de dollars </w:t>
      </w:r>
      <w:r w:rsidR="006B12EF" w:rsidRPr="002B5F3C">
        <w:t xml:space="preserve">des États-Unis d’Amérique, </w:t>
      </w:r>
      <w:r w:rsidRPr="002B5F3C">
        <w:t>et de la création de la Commission nationale pour la réconciliation et l’indem</w:t>
      </w:r>
      <w:r w:rsidR="001B68E3" w:rsidRPr="002B5F3C">
        <w:t>nisation des victimes,</w:t>
      </w:r>
    </w:p>
    <w:p w14:paraId="5C0EBBCC" w14:textId="77777777" w:rsidR="00DB6F26" w:rsidRPr="002B5F3C" w:rsidRDefault="00DB6F26" w:rsidP="001E3614">
      <w:pPr>
        <w:pStyle w:val="SingleTxtG"/>
        <w:ind w:firstLine="567"/>
      </w:pPr>
      <w:r w:rsidRPr="002B5F3C">
        <w:rPr>
          <w:i/>
        </w:rPr>
        <w:t>Notant</w:t>
      </w:r>
      <w:r w:rsidRPr="002B5F3C">
        <w:t xml:space="preserve"> que la situation des droits de l’homme en Côte d’Ivoire s’est considérablement améliorée et que celle-ci devrait toutefois faire l’objet de surveillance, eu</w:t>
      </w:r>
      <w:r w:rsidR="001E3614" w:rsidRPr="002B5F3C">
        <w:t> </w:t>
      </w:r>
      <w:r w:rsidRPr="002B5F3C">
        <w:t xml:space="preserve">égard aux nombreux défis notamment en matière de retour définitif à la paix, de réconciliation nationale </w:t>
      </w:r>
      <w:r w:rsidR="001B68E3" w:rsidRPr="002B5F3C">
        <w:t>et de lutte contre l’impunité,</w:t>
      </w:r>
    </w:p>
    <w:p w14:paraId="3C476D9B" w14:textId="77777777" w:rsidR="00DB6F26" w:rsidRPr="002B5F3C" w:rsidRDefault="00DB6F26" w:rsidP="00DB6F26">
      <w:pPr>
        <w:pStyle w:val="SingleTxtG"/>
        <w:ind w:firstLine="567"/>
      </w:pPr>
      <w:r w:rsidRPr="002B5F3C">
        <w:rPr>
          <w:i/>
        </w:rPr>
        <w:t>Préoccupé</w:t>
      </w:r>
      <w:r w:rsidRPr="002B5F3C">
        <w:t xml:space="preserve"> par la poursuite d’attaques armées sporadiques, perpétrées contre les Forces républicaines de Côte d’Ivoire dans l’exercice de leur m</w:t>
      </w:r>
      <w:r w:rsidR="001B68E3" w:rsidRPr="002B5F3C">
        <w:t>andat de protection des civils,</w:t>
      </w:r>
    </w:p>
    <w:p w14:paraId="1B44ADC0" w14:textId="77777777" w:rsidR="00DB6F26" w:rsidRPr="002B5F3C" w:rsidRDefault="00DB6F26" w:rsidP="00DB6F26">
      <w:pPr>
        <w:pStyle w:val="SingleTxtG"/>
        <w:ind w:firstLine="567"/>
      </w:pPr>
      <w:r w:rsidRPr="002B5F3C">
        <w:t>1.</w:t>
      </w:r>
      <w:r w:rsidRPr="002B5F3C">
        <w:tab/>
      </w:r>
      <w:r w:rsidRPr="002B5F3C">
        <w:rPr>
          <w:i/>
        </w:rPr>
        <w:t>Condamne</w:t>
      </w:r>
      <w:r w:rsidRPr="002B5F3C">
        <w:t xml:space="preserve"> la poursuite d’attaques sporadiques perpétrées par des individus armés non identifiés en Côte d’Ivoire, qui sont de nature à amenuiser les efforts communs du peuple ivoirien et de la communauté internationale pour s</w:t>
      </w:r>
      <w:r w:rsidR="001B68E3" w:rsidRPr="002B5F3C">
        <w:t>écuriser et pacifier le pays;</w:t>
      </w:r>
    </w:p>
    <w:p w14:paraId="34CA5B71" w14:textId="3062F12D" w:rsidR="00DB6F26" w:rsidRPr="002B5F3C" w:rsidRDefault="00DB6F26" w:rsidP="004073B1">
      <w:pPr>
        <w:pStyle w:val="SingleTxtG"/>
        <w:ind w:firstLine="567"/>
      </w:pPr>
      <w:r w:rsidRPr="002B5F3C">
        <w:t>2.</w:t>
      </w:r>
      <w:r w:rsidRPr="002B5F3C">
        <w:tab/>
      </w:r>
      <w:r w:rsidRPr="002B5F3C">
        <w:rPr>
          <w:i/>
        </w:rPr>
        <w:t>Se félicite</w:t>
      </w:r>
      <w:r w:rsidRPr="002B5F3C">
        <w:t xml:space="preserve"> de la stabilité </w:t>
      </w:r>
      <w:r w:rsidR="00085A1D" w:rsidRPr="005641A9">
        <w:rPr>
          <w:bCs/>
          <w:iCs/>
        </w:rPr>
        <w:t>générale</w:t>
      </w:r>
      <w:r w:rsidR="00085A1D">
        <w:t xml:space="preserve"> </w:t>
      </w:r>
      <w:r w:rsidRPr="002B5F3C">
        <w:t>de la situation sécuritaire en Côte d’Ivoire</w:t>
      </w:r>
      <w:r w:rsidR="009915D0">
        <w:t xml:space="preserve">, </w:t>
      </w:r>
      <w:r w:rsidR="00085A1D" w:rsidRPr="005641A9">
        <w:rPr>
          <w:bCs/>
          <w:iCs/>
        </w:rPr>
        <w:t>tout en reconnaissant les défis à relever</w:t>
      </w:r>
      <w:r w:rsidR="009915D0">
        <w:t>,</w:t>
      </w:r>
      <w:r w:rsidRPr="002B5F3C">
        <w:t xml:space="preserve"> comme indiqué dans le dernier rapport du S</w:t>
      </w:r>
      <w:r w:rsidR="00780E4A" w:rsidRPr="002B5F3C">
        <w:t>e</w:t>
      </w:r>
      <w:r w:rsidRPr="002B5F3C">
        <w:t>cr</w:t>
      </w:r>
      <w:r w:rsidR="00780E4A" w:rsidRPr="002B5F3C">
        <w:t>é</w:t>
      </w:r>
      <w:r w:rsidRPr="002B5F3C">
        <w:t xml:space="preserve">taire </w:t>
      </w:r>
      <w:r w:rsidR="0005718C" w:rsidRPr="002B5F3C">
        <w:t>g</w:t>
      </w:r>
      <w:r w:rsidRPr="002B5F3C">
        <w:t>énéral sur la Côte d’Ivoire</w:t>
      </w:r>
      <w:r w:rsidR="0005718C" w:rsidRPr="002B5F3C">
        <w:rPr>
          <w:rStyle w:val="FootnoteReference"/>
        </w:rPr>
        <w:footnoteReference w:id="3"/>
      </w:r>
      <w:r w:rsidRPr="002B5F3C">
        <w:t xml:space="preserve">, ainsi que des travaux de la Cellule spéciale d’enquête et d’instruction, du Conseil national de sécurité et du Programme </w:t>
      </w:r>
      <w:r w:rsidR="00BB4DD9" w:rsidRPr="002B5F3C">
        <w:t>n</w:t>
      </w:r>
      <w:r w:rsidRPr="002B5F3C">
        <w:t xml:space="preserve">ational de </w:t>
      </w:r>
      <w:r w:rsidR="00BB4DD9" w:rsidRPr="002B5F3C">
        <w:t>c</w:t>
      </w:r>
      <w:r w:rsidRPr="002B5F3C">
        <w:t xml:space="preserve">ohésion </w:t>
      </w:r>
      <w:r w:rsidR="00BB4DD9" w:rsidRPr="002B5F3C">
        <w:t>s</w:t>
      </w:r>
      <w:r w:rsidRPr="002B5F3C">
        <w:t xml:space="preserve">ociale, notamment dans leurs missions d’alerte précoce, de prévention des actes de violations des droits </w:t>
      </w:r>
      <w:r w:rsidR="001B68E3" w:rsidRPr="002B5F3C">
        <w:t>de l’homme et de r</w:t>
      </w:r>
      <w:r w:rsidR="004073B1" w:rsidRPr="002B5F3C">
        <w:t>é</w:t>
      </w:r>
      <w:r w:rsidR="001B68E3" w:rsidRPr="002B5F3C">
        <w:t>conciliation</w:t>
      </w:r>
      <w:r w:rsidRPr="002B5F3C">
        <w:t>;</w:t>
      </w:r>
    </w:p>
    <w:p w14:paraId="5222DCD6" w14:textId="77777777" w:rsidR="00DB6F26" w:rsidRPr="002B5F3C" w:rsidRDefault="00DB6F26">
      <w:pPr>
        <w:pStyle w:val="SingleTxtG"/>
        <w:ind w:firstLine="567"/>
      </w:pPr>
      <w:r w:rsidRPr="002B5F3C">
        <w:t>3.</w:t>
      </w:r>
      <w:r w:rsidRPr="002B5F3C">
        <w:tab/>
      </w:r>
      <w:r w:rsidRPr="002B5F3C">
        <w:rPr>
          <w:i/>
        </w:rPr>
        <w:t>Se félicite également</w:t>
      </w:r>
      <w:r w:rsidRPr="002B5F3C">
        <w:t xml:space="preserve"> de la coopération exemplaire et continue du </w:t>
      </w:r>
      <w:r w:rsidR="00BB4DD9" w:rsidRPr="002B5F3C">
        <w:t>G</w:t>
      </w:r>
      <w:r w:rsidRPr="002B5F3C">
        <w:t xml:space="preserve">ouvernement ivoirien avec les mécanismes de l’Organisation des Nations Unies portant sur les droits de l’homme et de son engagement à promouvoir et </w:t>
      </w:r>
      <w:r w:rsidR="005F742E" w:rsidRPr="002B5F3C">
        <w:t xml:space="preserve">à </w:t>
      </w:r>
      <w:r w:rsidRPr="002B5F3C">
        <w:t>protéger les droits de l’homme, et encourage la poursuite des efforts visant à mettre fin à toutes violations des droits de l’homme sur le territoire ivoirien, à poursuivre les auteurs de ces actes en justice, ainsi qu’à fournir une aide aux victim</w:t>
      </w:r>
      <w:r w:rsidR="001B68E3" w:rsidRPr="002B5F3C">
        <w:t>es;</w:t>
      </w:r>
    </w:p>
    <w:p w14:paraId="1E7ECEF8" w14:textId="77777777" w:rsidR="00DB6F26" w:rsidRPr="002B5F3C" w:rsidRDefault="00DB6F26">
      <w:pPr>
        <w:pStyle w:val="SingleTxtG"/>
        <w:ind w:firstLine="567"/>
      </w:pPr>
      <w:r w:rsidRPr="002B5F3C">
        <w:t>4.</w:t>
      </w:r>
      <w:r w:rsidRPr="002B5F3C">
        <w:tab/>
      </w:r>
      <w:r w:rsidRPr="002B5F3C">
        <w:rPr>
          <w:i/>
        </w:rPr>
        <w:t>Se félicite en outre</w:t>
      </w:r>
      <w:r w:rsidRPr="002B5F3C">
        <w:t xml:space="preserve"> des avancées réalisées par le </w:t>
      </w:r>
      <w:r w:rsidR="00BB4DD9" w:rsidRPr="002B5F3C">
        <w:t>G</w:t>
      </w:r>
      <w:r w:rsidRPr="002B5F3C">
        <w:t xml:space="preserve">ouvernement ivoirien </w:t>
      </w:r>
      <w:r w:rsidR="00BB4DD9" w:rsidRPr="002B5F3C">
        <w:t>en matière d</w:t>
      </w:r>
      <w:r w:rsidRPr="002B5F3C">
        <w:t xml:space="preserve">e respect et </w:t>
      </w:r>
      <w:r w:rsidR="00BB4DD9" w:rsidRPr="002B5F3C">
        <w:t>de</w:t>
      </w:r>
      <w:r w:rsidRPr="002B5F3C">
        <w:t xml:space="preserve"> protection des droits de l’homme</w:t>
      </w:r>
      <w:r w:rsidR="00BB4DD9" w:rsidRPr="002B5F3C">
        <w:t>,</w:t>
      </w:r>
      <w:r w:rsidRPr="002B5F3C">
        <w:t xml:space="preserve"> notamment son dialogue constructif avec les membres du Conseil </w:t>
      </w:r>
      <w:r w:rsidR="00BB4DD9" w:rsidRPr="002B5F3C">
        <w:t xml:space="preserve">des droits de l’homme </w:t>
      </w:r>
      <w:r w:rsidRPr="002B5F3C">
        <w:t>dans le cadre de l’</w:t>
      </w:r>
      <w:r w:rsidR="00BB4DD9" w:rsidRPr="002B5F3C">
        <w:t>e</w:t>
      </w:r>
      <w:r w:rsidRPr="002B5F3C">
        <w:t>xamen périodique universel</w:t>
      </w:r>
      <w:r w:rsidR="00BB4DD9" w:rsidRPr="002B5F3C">
        <w:t>, en</w:t>
      </w:r>
      <w:r w:rsidRPr="002B5F3C">
        <w:t xml:space="preserve"> avril 2014</w:t>
      </w:r>
      <w:r w:rsidR="00BB4DD9" w:rsidRPr="002B5F3C">
        <w:t>,</w:t>
      </w:r>
      <w:r w:rsidRPr="002B5F3C">
        <w:t xml:space="preserve"> et la présentation de son rapport </w:t>
      </w:r>
      <w:r w:rsidR="00BB4DD9" w:rsidRPr="002B5F3C">
        <w:t xml:space="preserve">initial </w:t>
      </w:r>
      <w:r w:rsidRPr="002B5F3C">
        <w:t xml:space="preserve">devant le Comité des </w:t>
      </w:r>
      <w:r w:rsidR="001B68E3" w:rsidRPr="002B5F3C">
        <w:t>droits de l’homme</w:t>
      </w:r>
      <w:r w:rsidR="005F742E" w:rsidRPr="002B5F3C">
        <w:rPr>
          <w:rStyle w:val="FootnoteReference"/>
        </w:rPr>
        <w:footnoteReference w:id="4"/>
      </w:r>
      <w:r w:rsidR="001B68E3" w:rsidRPr="002B5F3C">
        <w:t>, en mars 2015</w:t>
      </w:r>
      <w:r w:rsidRPr="002B5F3C">
        <w:t>;</w:t>
      </w:r>
    </w:p>
    <w:p w14:paraId="01D6AFAD" w14:textId="77777777" w:rsidR="00DB6F26" w:rsidRPr="002B5F3C" w:rsidRDefault="00DB6F26">
      <w:pPr>
        <w:pStyle w:val="SingleTxtG"/>
        <w:ind w:firstLine="567"/>
      </w:pPr>
      <w:r w:rsidRPr="002B5F3C">
        <w:t>5.</w:t>
      </w:r>
      <w:r w:rsidRPr="002B5F3C">
        <w:tab/>
      </w:r>
      <w:r w:rsidRPr="002B5F3C">
        <w:rPr>
          <w:i/>
        </w:rPr>
        <w:t>Prend note avec satisfaction</w:t>
      </w:r>
      <w:r w:rsidRPr="002B5F3C">
        <w:t xml:space="preserve"> des efforts du </w:t>
      </w:r>
      <w:r w:rsidR="00BB4DD9" w:rsidRPr="002B5F3C">
        <w:t>G</w:t>
      </w:r>
      <w:r w:rsidRPr="002B5F3C">
        <w:t>ouvernement ivoirien pour harmoniser son cadre juridique interne avec le Statut de Rome</w:t>
      </w:r>
      <w:r w:rsidR="00BB4DD9" w:rsidRPr="002B5F3C">
        <w:t xml:space="preserve"> de la Cour pénale internationale</w:t>
      </w:r>
      <w:r w:rsidRPr="002B5F3C">
        <w:t xml:space="preserve">, particulièrement son initiative positive </w:t>
      </w:r>
      <w:r w:rsidR="00BB4DD9" w:rsidRPr="002B5F3C">
        <w:t xml:space="preserve">visant à </w:t>
      </w:r>
      <w:r w:rsidRPr="002B5F3C">
        <w:t>abolir la peine de mort, l’introduction dans son cadre juridique interne des crimes internationaux tels que le génocide, les crimes contre l’humanité et les crimes de guerre, la responsabilité des chefs hiérarchiques en matière de crimes de guerre et l’imprescriptibili</w:t>
      </w:r>
      <w:r w:rsidR="001B68E3" w:rsidRPr="002B5F3C">
        <w:t>té de ces crimes internationaux</w:t>
      </w:r>
      <w:r w:rsidRPr="002B5F3C">
        <w:t>;</w:t>
      </w:r>
    </w:p>
    <w:p w14:paraId="241E4070" w14:textId="677E191A" w:rsidR="00DB6F26" w:rsidRPr="002B5F3C" w:rsidRDefault="00DB6F26">
      <w:pPr>
        <w:pStyle w:val="SingleTxtG"/>
        <w:ind w:firstLine="567"/>
      </w:pPr>
      <w:r w:rsidRPr="002B5F3C">
        <w:t>6.</w:t>
      </w:r>
      <w:r w:rsidRPr="002B5F3C">
        <w:tab/>
      </w:r>
      <w:r w:rsidRPr="002B5F3C">
        <w:rPr>
          <w:i/>
        </w:rPr>
        <w:t>Salue</w:t>
      </w:r>
      <w:r w:rsidR="006618DA" w:rsidRPr="002B5F3C">
        <w:t xml:space="preserve"> </w:t>
      </w:r>
      <w:r w:rsidRPr="002B5F3C">
        <w:t xml:space="preserve">les efforts consentis par la Côte d’Ivoire pour renforcer les capacités du système judicaire, notamment à travers la réhabilitation de tribunaux, les réformes législatives au niveau du </w:t>
      </w:r>
      <w:r w:rsidR="00BB4DD9" w:rsidRPr="002B5F3C">
        <w:t>C</w:t>
      </w:r>
      <w:r w:rsidRPr="002B5F3C">
        <w:t xml:space="preserve">ode pénal, du </w:t>
      </w:r>
      <w:r w:rsidR="00BB4DD9" w:rsidRPr="002B5F3C">
        <w:t>C</w:t>
      </w:r>
      <w:r w:rsidRPr="002B5F3C">
        <w:t xml:space="preserve">ode de procédure pénale, du </w:t>
      </w:r>
      <w:r w:rsidR="00BB4DD9" w:rsidRPr="002B5F3C">
        <w:t>C</w:t>
      </w:r>
      <w:r w:rsidRPr="002B5F3C">
        <w:t xml:space="preserve">ode civil et du </w:t>
      </w:r>
      <w:r w:rsidR="00BB4DD9" w:rsidRPr="002B5F3C">
        <w:t>C</w:t>
      </w:r>
      <w:r w:rsidRPr="002B5F3C">
        <w:t>ode de procédure civile et la réouverture des cours d’assises</w:t>
      </w:r>
      <w:r w:rsidR="00AF3D15" w:rsidRPr="002B5F3C">
        <w:t>,</w:t>
      </w:r>
      <w:r w:rsidRPr="002B5F3C">
        <w:t xml:space="preserve"> et invite le </w:t>
      </w:r>
      <w:r w:rsidR="00BB4DD9" w:rsidRPr="002B5F3C">
        <w:t>G</w:t>
      </w:r>
      <w:r w:rsidRPr="002B5F3C">
        <w:t>ouvernement ivoirien à assurer le renforcement des capacités des ressources humaines,</w:t>
      </w:r>
      <w:r w:rsidR="00AC2B82" w:rsidRPr="002B5F3C">
        <w:t xml:space="preserve"> </w:t>
      </w:r>
      <w:r w:rsidRPr="002B5F3C">
        <w:t>à veiller à ce que les procédures judiciaires se conforment aux normes internationales du procès équitable et à poursui</w:t>
      </w:r>
      <w:r w:rsidR="00085A1D">
        <w:t>vre</w:t>
      </w:r>
      <w:r w:rsidRPr="002B5F3C">
        <w:t xml:space="preserve"> tous les responsables présumés de violations des droits de l’homme</w:t>
      </w:r>
      <w:r w:rsidR="00AF3D15" w:rsidRPr="002B5F3C">
        <w:t>,</w:t>
      </w:r>
      <w:r w:rsidR="00AC2B82" w:rsidRPr="002B5F3C">
        <w:t xml:space="preserve"> </w:t>
      </w:r>
      <w:r w:rsidRPr="002B5F3C">
        <w:t>notamment celles commises p</w:t>
      </w:r>
      <w:r w:rsidR="001B68E3" w:rsidRPr="002B5F3C">
        <w:t>endant la crise postélectorale</w:t>
      </w:r>
      <w:r w:rsidRPr="002B5F3C">
        <w:t>;</w:t>
      </w:r>
    </w:p>
    <w:p w14:paraId="379AD232" w14:textId="77777777" w:rsidR="00DB6F26" w:rsidRPr="002B5F3C" w:rsidRDefault="00AF3D15">
      <w:pPr>
        <w:pStyle w:val="SingleTxtG"/>
        <w:ind w:firstLine="567"/>
      </w:pPr>
      <w:r w:rsidRPr="002B5F3C">
        <w:lastRenderedPageBreak/>
        <w:t>7</w:t>
      </w:r>
      <w:r w:rsidR="000064FC" w:rsidRPr="002B5F3C">
        <w:t>.</w:t>
      </w:r>
      <w:r w:rsidR="00DB6F26" w:rsidRPr="002B5F3C">
        <w:tab/>
      </w:r>
      <w:r w:rsidR="00DB6F26" w:rsidRPr="002B5F3C">
        <w:rPr>
          <w:i/>
        </w:rPr>
        <w:t>Salue</w:t>
      </w:r>
      <w:r w:rsidR="00F90245" w:rsidRPr="002B5F3C">
        <w:rPr>
          <w:i/>
        </w:rPr>
        <w:t xml:space="preserve"> également</w:t>
      </w:r>
      <w:r w:rsidR="00F90245" w:rsidRPr="002B5F3C">
        <w:rPr>
          <w:iCs/>
        </w:rPr>
        <w:t>,</w:t>
      </w:r>
      <w:r w:rsidR="00DB6F26" w:rsidRPr="002B5F3C">
        <w:rPr>
          <w:iCs/>
        </w:rPr>
        <w:t xml:space="preserve"> à cet égard</w:t>
      </w:r>
      <w:r w:rsidR="00DB6F26" w:rsidRPr="002B5F3C">
        <w:t xml:space="preserve">, le renouvellement de la cellule spéciale d’enquête et d’instruction, encourage l’accélération des processus nationaux d’enquête et de poursuite des auteurs présumés des violences commises pendant la période électorale 2010-2011 et appelle à la pleine mise en œuvre du mandat de la Commission </w:t>
      </w:r>
      <w:r w:rsidRPr="002B5F3C">
        <w:t>n</w:t>
      </w:r>
      <w:r w:rsidR="00DB6F26" w:rsidRPr="002B5F3C">
        <w:t xml:space="preserve">ationale pour la </w:t>
      </w:r>
      <w:r w:rsidRPr="002B5F3C">
        <w:t>r</w:t>
      </w:r>
      <w:r w:rsidR="00DB6F26" w:rsidRPr="002B5F3C">
        <w:t>éconciliation et l’</w:t>
      </w:r>
      <w:r w:rsidRPr="002B5F3C">
        <w:t>i</w:t>
      </w:r>
      <w:r w:rsidR="00DB6F26" w:rsidRPr="002B5F3C">
        <w:t>ndemn</w:t>
      </w:r>
      <w:r w:rsidR="001B68E3" w:rsidRPr="002B5F3C">
        <w:t xml:space="preserve">isation des </w:t>
      </w:r>
      <w:r w:rsidRPr="002B5F3C">
        <w:t>v</w:t>
      </w:r>
      <w:r w:rsidR="001B68E3" w:rsidRPr="002B5F3C">
        <w:t>ictimes</w:t>
      </w:r>
      <w:r w:rsidR="00DB6F26" w:rsidRPr="002B5F3C">
        <w:t>;</w:t>
      </w:r>
    </w:p>
    <w:p w14:paraId="497E99E9" w14:textId="77777777" w:rsidR="00DB6F26" w:rsidRPr="002B5F3C" w:rsidRDefault="00AF3D15">
      <w:pPr>
        <w:pStyle w:val="SingleTxtG"/>
        <w:ind w:firstLine="567"/>
      </w:pPr>
      <w:r w:rsidRPr="002B5F3C">
        <w:t>8</w:t>
      </w:r>
      <w:r w:rsidR="00DB6F26" w:rsidRPr="002B5F3C">
        <w:t>.</w:t>
      </w:r>
      <w:r w:rsidR="00DB6F26" w:rsidRPr="002B5F3C">
        <w:tab/>
      </w:r>
      <w:r w:rsidR="00DB6F26" w:rsidRPr="002B5F3C">
        <w:rPr>
          <w:i/>
        </w:rPr>
        <w:t xml:space="preserve">Salue </w:t>
      </w:r>
      <w:r w:rsidR="00F90245" w:rsidRPr="002B5F3C">
        <w:rPr>
          <w:i/>
        </w:rPr>
        <w:t>en outre</w:t>
      </w:r>
      <w:r w:rsidR="00F90245" w:rsidRPr="002B5F3C">
        <w:t xml:space="preserve"> </w:t>
      </w:r>
      <w:r w:rsidR="00DB6F26" w:rsidRPr="002B5F3C">
        <w:t xml:space="preserve">la poursuite des travaux du cadre politique de dialogue permanent visant à faciliter le pluralisme politique inclusif et prend note de la coopération continue avec la Cour pénale internationale et de l’adoption de nouvelles lois, des avancées importantes pour renforcer le cadre législatif et pour promouvoir et </w:t>
      </w:r>
      <w:r w:rsidR="001B68E3" w:rsidRPr="002B5F3C">
        <w:t>protéger les droits de l’homme;</w:t>
      </w:r>
    </w:p>
    <w:p w14:paraId="18E36001" w14:textId="77777777" w:rsidR="00DB6F26" w:rsidRPr="002B5F3C" w:rsidRDefault="00AF3D15">
      <w:pPr>
        <w:pStyle w:val="SingleTxtG"/>
        <w:ind w:firstLine="567"/>
      </w:pPr>
      <w:r w:rsidRPr="002B5F3C">
        <w:t>9</w:t>
      </w:r>
      <w:r w:rsidR="00DB6F26" w:rsidRPr="002B5F3C">
        <w:t>.</w:t>
      </w:r>
      <w:r w:rsidR="00DB6F26" w:rsidRPr="002B5F3C">
        <w:tab/>
      </w:r>
      <w:r w:rsidR="00DB6F26" w:rsidRPr="002B5F3C">
        <w:rPr>
          <w:i/>
        </w:rPr>
        <w:t>Prend note</w:t>
      </w:r>
      <w:r w:rsidR="00DB6F26" w:rsidRPr="002B5F3C">
        <w:t xml:space="preserve"> de la poursuite des procès de certains membres des Forces républicaines de Côte d’Ivoire, de l’accélération du processus d’enquête et de poursuite des auteurs présumés des violences commises durant la période électorale 2010-2011;</w:t>
      </w:r>
    </w:p>
    <w:p w14:paraId="65E6D077" w14:textId="77777777" w:rsidR="00DB6F26" w:rsidRPr="002B5F3C" w:rsidRDefault="00AF3D15">
      <w:pPr>
        <w:pStyle w:val="SingleTxtG"/>
        <w:ind w:firstLine="567"/>
      </w:pPr>
      <w:r w:rsidRPr="002B5F3C">
        <w:t>10</w:t>
      </w:r>
      <w:r w:rsidR="00DB6F26" w:rsidRPr="002B5F3C">
        <w:t>.</w:t>
      </w:r>
      <w:r w:rsidR="00DB6F26" w:rsidRPr="002B5F3C">
        <w:tab/>
      </w:r>
      <w:r w:rsidR="00DB6F26" w:rsidRPr="002B5F3C">
        <w:rPr>
          <w:i/>
        </w:rPr>
        <w:t>Salue</w:t>
      </w:r>
      <w:r w:rsidR="00DB6F26" w:rsidRPr="002B5F3C">
        <w:t xml:space="preserve"> les résultats de l’Autorité du désarmement, de la démobilisation et de la réinsertion pour les progrès remarquables permettant de consol</w:t>
      </w:r>
      <w:r w:rsidR="001B68E3" w:rsidRPr="002B5F3C">
        <w:t>ider la sécurité dans le pays;</w:t>
      </w:r>
    </w:p>
    <w:p w14:paraId="62D857B8" w14:textId="77777777" w:rsidR="00DB6F26" w:rsidRPr="002B5F3C" w:rsidRDefault="00DB6F26">
      <w:pPr>
        <w:pStyle w:val="SingleTxtG"/>
        <w:ind w:firstLine="567"/>
      </w:pPr>
      <w:r w:rsidRPr="002B5F3C">
        <w:t>1</w:t>
      </w:r>
      <w:r w:rsidR="00AF3D15" w:rsidRPr="002B5F3C">
        <w:t>1</w:t>
      </w:r>
      <w:r w:rsidRPr="002B5F3C">
        <w:t>.</w:t>
      </w:r>
      <w:r w:rsidRPr="002B5F3C">
        <w:tab/>
      </w:r>
      <w:r w:rsidR="006618DA" w:rsidRPr="002B5F3C">
        <w:rPr>
          <w:i/>
        </w:rPr>
        <w:t xml:space="preserve">Salue </w:t>
      </w:r>
      <w:r w:rsidRPr="002B5F3C">
        <w:rPr>
          <w:i/>
        </w:rPr>
        <w:t>également</w:t>
      </w:r>
      <w:r w:rsidRPr="002B5F3C">
        <w:t xml:space="preserve"> la réforme de la Commission électorale indépendante, établie au terme d’un large processus de consultation avec l’ensemble des acteurs, ainsi que la poursuite du processus électoral en vue d’élections justes, libres, transp</w:t>
      </w:r>
      <w:r w:rsidR="001B68E3" w:rsidRPr="002B5F3C">
        <w:t>arentes, inclusives et apaisées</w:t>
      </w:r>
      <w:r w:rsidRPr="002B5F3C">
        <w:t>;</w:t>
      </w:r>
    </w:p>
    <w:p w14:paraId="20AA1CAA" w14:textId="77777777" w:rsidR="00DB6F26" w:rsidRPr="002B5F3C" w:rsidRDefault="00DB6F26">
      <w:pPr>
        <w:pStyle w:val="SingleTxtG"/>
        <w:ind w:firstLine="567"/>
      </w:pPr>
      <w:r w:rsidRPr="002B5F3C">
        <w:t>1</w:t>
      </w:r>
      <w:r w:rsidR="00AF3D15" w:rsidRPr="002B5F3C">
        <w:t>2</w:t>
      </w:r>
      <w:r w:rsidRPr="002B5F3C">
        <w:t>.</w:t>
      </w:r>
      <w:r w:rsidRPr="002B5F3C">
        <w:tab/>
      </w:r>
      <w:r w:rsidRPr="002B5F3C">
        <w:rPr>
          <w:i/>
        </w:rPr>
        <w:t>Prend note</w:t>
      </w:r>
      <w:r w:rsidRPr="002B5F3C">
        <w:t xml:space="preserve"> de la mise à jour orale </w:t>
      </w:r>
      <w:r w:rsidR="00AF3D15" w:rsidRPr="002B5F3C">
        <w:t xml:space="preserve">effectuée par </w:t>
      </w:r>
      <w:r w:rsidRPr="002B5F3C">
        <w:t xml:space="preserve">l’Expert indépendant lors de la </w:t>
      </w:r>
      <w:r w:rsidR="00AF3D15" w:rsidRPr="002B5F3C">
        <w:t>vingt-huiti</w:t>
      </w:r>
      <w:r w:rsidRPr="002B5F3C">
        <w:t>ème session et de son premier rapport</w:t>
      </w:r>
      <w:r w:rsidR="00F90245" w:rsidRPr="002B5F3C">
        <w:rPr>
          <w:rStyle w:val="FootnoteReference"/>
        </w:rPr>
        <w:footnoteReference w:id="5"/>
      </w:r>
      <w:r w:rsidRPr="002B5F3C">
        <w:t xml:space="preserve"> présenté au cours de la </w:t>
      </w:r>
      <w:r w:rsidR="00AF3D15" w:rsidRPr="002B5F3C">
        <w:t>vingt-neuvi</w:t>
      </w:r>
      <w:r w:rsidRPr="002B5F3C">
        <w:t>ème session, a</w:t>
      </w:r>
      <w:r w:rsidR="001B68E3" w:rsidRPr="002B5F3C">
        <w:t>insi que de ses recommandations;</w:t>
      </w:r>
    </w:p>
    <w:p w14:paraId="391A7209" w14:textId="77777777" w:rsidR="00DB6F26" w:rsidRPr="002B5F3C" w:rsidRDefault="00DB6F26">
      <w:pPr>
        <w:pStyle w:val="SingleTxtG"/>
        <w:ind w:firstLine="567"/>
      </w:pPr>
      <w:r w:rsidRPr="002B5F3C">
        <w:t>1</w:t>
      </w:r>
      <w:r w:rsidR="00AF3D15" w:rsidRPr="002B5F3C">
        <w:t>3</w:t>
      </w:r>
      <w:r w:rsidRPr="002B5F3C">
        <w:t>.</w:t>
      </w:r>
      <w:r w:rsidRPr="002B5F3C">
        <w:tab/>
      </w:r>
      <w:r w:rsidRPr="002B5F3C">
        <w:rPr>
          <w:i/>
        </w:rPr>
        <w:t>Salue</w:t>
      </w:r>
      <w:r w:rsidRPr="002B5F3C">
        <w:t xml:space="preserve"> les engagements pris par le </w:t>
      </w:r>
      <w:r w:rsidR="00BB4DD9" w:rsidRPr="002B5F3C">
        <w:t>G</w:t>
      </w:r>
      <w:r w:rsidRPr="002B5F3C">
        <w:t>ouvernement ivoirien au cours des différentes sessions du Conseil des droits de l’homme pour endosser les recommandations de l’Expert indépendant, ainsi que sa coopération fructueuse avec l’Expert indépendant dans le cadre du m</w:t>
      </w:r>
      <w:r w:rsidR="001B68E3" w:rsidRPr="002B5F3C">
        <w:t>andat qui lui a été confié;</w:t>
      </w:r>
    </w:p>
    <w:p w14:paraId="469599A9" w14:textId="77777777" w:rsidR="00DB6F26" w:rsidRPr="002B5F3C" w:rsidRDefault="00DB6F26" w:rsidP="001E3614">
      <w:pPr>
        <w:pStyle w:val="SingleTxtG"/>
        <w:ind w:firstLine="567"/>
      </w:pPr>
      <w:r w:rsidRPr="002B5F3C">
        <w:t>1</w:t>
      </w:r>
      <w:r w:rsidR="00AF3D15" w:rsidRPr="002B5F3C">
        <w:t>4</w:t>
      </w:r>
      <w:r w:rsidRPr="002B5F3C">
        <w:t>.</w:t>
      </w:r>
      <w:r w:rsidRPr="002B5F3C">
        <w:tab/>
      </w:r>
      <w:r w:rsidRPr="002B5F3C">
        <w:rPr>
          <w:i/>
        </w:rPr>
        <w:t>Salue également</w:t>
      </w:r>
      <w:r w:rsidRPr="002B5F3C">
        <w:t xml:space="preserve"> les efforts du </w:t>
      </w:r>
      <w:r w:rsidR="00BB4DD9" w:rsidRPr="002B5F3C">
        <w:t>G</w:t>
      </w:r>
      <w:r w:rsidRPr="002B5F3C">
        <w:t xml:space="preserve">ouvernement ivoirien dans la ratification des instruments internationaux et régionaux relatifs aux droits de l’homme, notamment l’adoption de la loi du 20 juin 2014 portant promotion et protection des défenseurs des droits de l’homme et l’adoption en juillet 2014 </w:t>
      </w:r>
      <w:r w:rsidR="00580D8E" w:rsidRPr="002B5F3C">
        <w:t xml:space="preserve">de la </w:t>
      </w:r>
      <w:r w:rsidRPr="002B5F3C">
        <w:t>loi portant régime de prévention, de protection et de répression en matière de lutte contre le VIH/</w:t>
      </w:r>
      <w:r w:rsidR="00F90245" w:rsidRPr="002B5F3C">
        <w:t>sida</w:t>
      </w:r>
      <w:r w:rsidRPr="002B5F3C">
        <w:t xml:space="preserve"> et l’encourage à continuer ces actions, ainsi qu’à poursuivre ses efforts pour </w:t>
      </w:r>
      <w:r w:rsidR="001E3614" w:rsidRPr="002B5F3C">
        <w:t xml:space="preserve">mettre </w:t>
      </w:r>
      <w:r w:rsidRPr="002B5F3C">
        <w:t xml:space="preserve">sa législation nationale </w:t>
      </w:r>
      <w:r w:rsidR="001E3614" w:rsidRPr="002B5F3C">
        <w:t xml:space="preserve">en conformité avec les </w:t>
      </w:r>
      <w:r w:rsidRPr="002B5F3C">
        <w:t>instruments internationaux et régionaux ratifiés, en veillant à la mise en œuvre effective de ces instruments;</w:t>
      </w:r>
    </w:p>
    <w:p w14:paraId="7434D2CA" w14:textId="77777777" w:rsidR="00DB6F26" w:rsidRPr="002B5F3C" w:rsidRDefault="00DB6F26">
      <w:pPr>
        <w:pStyle w:val="SingleTxtG"/>
        <w:ind w:firstLine="567"/>
      </w:pPr>
      <w:r w:rsidRPr="002B5F3C">
        <w:t>1</w:t>
      </w:r>
      <w:r w:rsidR="00AF3D15" w:rsidRPr="002B5F3C">
        <w:t>5</w:t>
      </w:r>
      <w:r w:rsidRPr="002B5F3C">
        <w:t>.</w:t>
      </w:r>
      <w:r w:rsidRPr="002B5F3C">
        <w:tab/>
      </w:r>
      <w:r w:rsidRPr="002B5F3C">
        <w:rPr>
          <w:i/>
        </w:rPr>
        <w:t>Note avec satisfaction</w:t>
      </w:r>
      <w:r w:rsidRPr="002B5F3C">
        <w:t xml:space="preserve"> l’amélioration continue de la situation humanitaire sur le terrain et demande aux organismes des Nations Unies et aux autres acteurs compétents de continuer, à la demande du pays, d’apporter aux réfugiés et aux personnes déplacées à l’intérieur du pays, conformément aux dispositions mises en place par le </w:t>
      </w:r>
      <w:r w:rsidR="00BB4DD9" w:rsidRPr="002B5F3C">
        <w:t>G</w:t>
      </w:r>
      <w:r w:rsidRPr="002B5F3C">
        <w:t>ouvernement ivoirien, l’aide appropriée pour favoriser leur retour librement consenti dans leurs foyers dans des conditions</w:t>
      </w:r>
      <w:r w:rsidR="001B68E3" w:rsidRPr="002B5F3C">
        <w:t xml:space="preserve"> de sécurité et de dignité;</w:t>
      </w:r>
    </w:p>
    <w:p w14:paraId="29878CE4" w14:textId="77777777" w:rsidR="00DB6F26" w:rsidRPr="002B5F3C" w:rsidRDefault="00DB6F26">
      <w:pPr>
        <w:pStyle w:val="SingleTxtG"/>
        <w:ind w:firstLine="567"/>
      </w:pPr>
      <w:r w:rsidRPr="002B5F3C">
        <w:t>1</w:t>
      </w:r>
      <w:r w:rsidR="00AF3D15" w:rsidRPr="002B5F3C">
        <w:t>6</w:t>
      </w:r>
      <w:r w:rsidRPr="002B5F3C">
        <w:t>.</w:t>
      </w:r>
      <w:r w:rsidRPr="002B5F3C">
        <w:tab/>
      </w:r>
      <w:r w:rsidRPr="002B5F3C">
        <w:rPr>
          <w:i/>
        </w:rPr>
        <w:t xml:space="preserve">Note </w:t>
      </w:r>
      <w:r w:rsidRPr="002B5F3C">
        <w:t>l’intérêt porté par les autorités ivoiriennes à la lutte contre les violences sexuelles subies par les femmes et les enfants, notamment l’adoption d’une stratégie nationale afin de juguler ce phénomène, ainsi que les efforts consentis pour protéger les enfants et demande</w:t>
      </w:r>
      <w:r w:rsidR="00AC2B82" w:rsidRPr="002B5F3C">
        <w:t xml:space="preserve"> </w:t>
      </w:r>
      <w:r w:rsidRPr="002B5F3C">
        <w:t xml:space="preserve">au </w:t>
      </w:r>
      <w:r w:rsidR="00BB4DD9" w:rsidRPr="002B5F3C">
        <w:t>G</w:t>
      </w:r>
      <w:r w:rsidRPr="002B5F3C">
        <w:t>ouvernement ivoirien de tout mettre en œuvre pour mener des investigations sur les allégations récurrentes de violences f</w:t>
      </w:r>
      <w:r w:rsidR="001B68E3" w:rsidRPr="002B5F3C">
        <w:t>aites aux femmes et aux enfants</w:t>
      </w:r>
      <w:r w:rsidRPr="002B5F3C">
        <w:t>;</w:t>
      </w:r>
    </w:p>
    <w:p w14:paraId="5034C3E5" w14:textId="77777777" w:rsidR="00DB6F26" w:rsidRPr="002B5F3C" w:rsidRDefault="00DB6F26">
      <w:pPr>
        <w:pStyle w:val="SingleTxtG"/>
        <w:ind w:firstLine="567"/>
      </w:pPr>
      <w:r w:rsidRPr="002B5F3C">
        <w:lastRenderedPageBreak/>
        <w:t>1</w:t>
      </w:r>
      <w:r w:rsidR="00AF3D15" w:rsidRPr="002B5F3C">
        <w:t>7</w:t>
      </w:r>
      <w:r w:rsidRPr="002B5F3C">
        <w:t>.</w:t>
      </w:r>
      <w:r w:rsidRPr="002B5F3C">
        <w:tab/>
      </w:r>
      <w:r w:rsidRPr="002B5F3C">
        <w:rPr>
          <w:i/>
        </w:rPr>
        <w:t>Demande</w:t>
      </w:r>
      <w:r w:rsidRPr="002B5F3C">
        <w:t xml:space="preserve"> à la communauté internationale de poursuivre son soutien au processus de reconstruction et de réconciliation en cours en Côte d’Ivoire et d’apporter l’aide sollicitée dans les domaines spécifiques pour lesquels cette assistance est nécessaire, notamment le renforcement de capacité des structures de lutte contre les violences fa</w:t>
      </w:r>
      <w:r w:rsidR="001B68E3" w:rsidRPr="002B5F3C">
        <w:t>ites aux femmes et aux enfants;</w:t>
      </w:r>
    </w:p>
    <w:p w14:paraId="134C0375" w14:textId="77777777" w:rsidR="00DB6F26" w:rsidRPr="002B5F3C" w:rsidRDefault="00DB6F26">
      <w:pPr>
        <w:pStyle w:val="SingleTxtG"/>
        <w:ind w:firstLine="567"/>
      </w:pPr>
      <w:r w:rsidRPr="002B5F3C">
        <w:t>1</w:t>
      </w:r>
      <w:r w:rsidR="00AF3D15" w:rsidRPr="002B5F3C">
        <w:t>8</w:t>
      </w:r>
      <w:r w:rsidRPr="002B5F3C">
        <w:t>.</w:t>
      </w:r>
      <w:r w:rsidRPr="002B5F3C">
        <w:tab/>
      </w:r>
      <w:r w:rsidRPr="002B5F3C">
        <w:rPr>
          <w:i/>
        </w:rPr>
        <w:t>Demande</w:t>
      </w:r>
      <w:r w:rsidRPr="002B5F3C">
        <w:t xml:space="preserve"> au Haut-Commissariat des Nations Unies aux droits de l’homme de continuer à fournir l’assistance technique sollicitée par le </w:t>
      </w:r>
      <w:r w:rsidR="002A13ED" w:rsidRPr="002B5F3C">
        <w:t>G</w:t>
      </w:r>
      <w:r w:rsidRPr="002B5F3C">
        <w:t xml:space="preserve">ouvernement ivoirien afin d’aider la Côte d’Ivoire dans sa volonté de s’acquitter de ses obligations en </w:t>
      </w:r>
      <w:r w:rsidR="001B68E3" w:rsidRPr="002B5F3C">
        <w:t>matière de droits de l’homme;</w:t>
      </w:r>
    </w:p>
    <w:p w14:paraId="662D5C1E" w14:textId="77777777" w:rsidR="00DB6F26" w:rsidRPr="002B5F3C" w:rsidRDefault="00DB6F26">
      <w:pPr>
        <w:pStyle w:val="SingleTxtG"/>
        <w:ind w:firstLine="567"/>
      </w:pPr>
      <w:r w:rsidRPr="002B5F3C">
        <w:t>1</w:t>
      </w:r>
      <w:r w:rsidR="00AF3D15" w:rsidRPr="002B5F3C">
        <w:t>9</w:t>
      </w:r>
      <w:r w:rsidRPr="002B5F3C">
        <w:t>.</w:t>
      </w:r>
      <w:r w:rsidRPr="002B5F3C">
        <w:tab/>
      </w:r>
      <w:r w:rsidRPr="002B5F3C">
        <w:rPr>
          <w:i/>
        </w:rPr>
        <w:t>Appelle</w:t>
      </w:r>
      <w:r w:rsidRPr="002B5F3C">
        <w:t xml:space="preserve"> la communauté internationale à appuyer les efforts consentis au plan national par la Côte d’Ivoire et ses institutions en vue de renforcer l’</w:t>
      </w:r>
      <w:r w:rsidR="002A13ED" w:rsidRPr="002B5F3C">
        <w:t>é</w:t>
      </w:r>
      <w:r w:rsidRPr="002B5F3C">
        <w:t xml:space="preserve">tat de droit et </w:t>
      </w:r>
      <w:r w:rsidR="00580D8E" w:rsidRPr="002B5F3C">
        <w:t xml:space="preserve">à </w:t>
      </w:r>
      <w:r w:rsidRPr="002B5F3C">
        <w:t>répondre à ses demandes d’assistance technique dans les domaines humanitaire, éducatif, sa</w:t>
      </w:r>
      <w:r w:rsidR="001B68E3" w:rsidRPr="002B5F3C">
        <w:t>nitaire, économique et social;</w:t>
      </w:r>
    </w:p>
    <w:p w14:paraId="7533E913" w14:textId="77777777" w:rsidR="00DB6F26" w:rsidRPr="002B5F3C" w:rsidRDefault="00AF3D15">
      <w:pPr>
        <w:pStyle w:val="SingleTxtG"/>
        <w:ind w:firstLine="567"/>
      </w:pPr>
      <w:r w:rsidRPr="002B5F3C">
        <w:t>20</w:t>
      </w:r>
      <w:r w:rsidR="00DB6F26" w:rsidRPr="002B5F3C">
        <w:t>.</w:t>
      </w:r>
      <w:r w:rsidR="00DB6F26" w:rsidRPr="002B5F3C">
        <w:tab/>
      </w:r>
      <w:r w:rsidR="00DB6F26" w:rsidRPr="002B5F3C">
        <w:rPr>
          <w:i/>
        </w:rPr>
        <w:t>Appelle également</w:t>
      </w:r>
      <w:r w:rsidR="00DB6F26" w:rsidRPr="002B5F3C">
        <w:t xml:space="preserve"> la communauté internationale à continuer d’appuyer la Commission nationale des droits de l’homme, dans le cadre de programmes d’assistance technique et de renforcement de capacités, en vue de lui permettre de contribuer efficacement à protéger et à promouvoir les droits de l’homme et libertés fondamentales des populations, conformément aux Princip</w:t>
      </w:r>
      <w:r w:rsidR="001B68E3" w:rsidRPr="002B5F3C">
        <w:t>es de Paris;</w:t>
      </w:r>
    </w:p>
    <w:p w14:paraId="6381799B" w14:textId="77777777" w:rsidR="00DB6F26" w:rsidRPr="002B5F3C" w:rsidRDefault="00DB6F26">
      <w:pPr>
        <w:pStyle w:val="SingleTxtG"/>
        <w:ind w:firstLine="567"/>
      </w:pPr>
      <w:r w:rsidRPr="002B5F3C">
        <w:t>2</w:t>
      </w:r>
      <w:r w:rsidR="00AF3D15" w:rsidRPr="002B5F3C">
        <w:t>1</w:t>
      </w:r>
      <w:r w:rsidRPr="002B5F3C">
        <w:t>.</w:t>
      </w:r>
      <w:r w:rsidRPr="002B5F3C">
        <w:tab/>
      </w:r>
      <w:r w:rsidRPr="002B5F3C">
        <w:rPr>
          <w:i/>
        </w:rPr>
        <w:t>Décide</w:t>
      </w:r>
      <w:r w:rsidRPr="002B5F3C">
        <w:t xml:space="preserve"> par conséquent de </w:t>
      </w:r>
      <w:r w:rsidR="002A13ED" w:rsidRPr="002B5F3C">
        <w:t xml:space="preserve">proroger </w:t>
      </w:r>
      <w:r w:rsidRPr="002B5F3C">
        <w:t xml:space="preserve">le mandat sur le renforcement de capacités et la coopération technique avec la Côte d’Ivoire dans le domaine des droits de l’homme pour une période d’un an, allant de la vingt-neuvième à la trente-deuxième session du </w:t>
      </w:r>
      <w:r w:rsidR="001B68E3" w:rsidRPr="002B5F3C">
        <w:t>Conseil des droits de l’homme;</w:t>
      </w:r>
    </w:p>
    <w:p w14:paraId="79232B50" w14:textId="77777777" w:rsidR="00DB6F26" w:rsidRPr="002B5F3C" w:rsidRDefault="00DB6F26">
      <w:pPr>
        <w:pStyle w:val="SingleTxtG"/>
        <w:ind w:firstLine="567"/>
      </w:pPr>
      <w:r w:rsidRPr="002B5F3C">
        <w:t>2</w:t>
      </w:r>
      <w:r w:rsidR="00AF3D15" w:rsidRPr="002B5F3C">
        <w:t>2</w:t>
      </w:r>
      <w:r w:rsidRPr="002B5F3C">
        <w:t>.</w:t>
      </w:r>
      <w:r w:rsidRPr="002B5F3C">
        <w:tab/>
      </w:r>
      <w:r w:rsidRPr="002B5F3C">
        <w:rPr>
          <w:i/>
        </w:rPr>
        <w:t>Demande</w:t>
      </w:r>
      <w:r w:rsidRPr="002B5F3C">
        <w:t xml:space="preserve"> à l’Expert indépendant de lui présenter, à sa trente et unième session, un rapport et de lui présenter, à sa trente-deuxième sessio</w:t>
      </w:r>
      <w:r w:rsidR="001B68E3" w:rsidRPr="002B5F3C">
        <w:t>n, ses recommandations finales;</w:t>
      </w:r>
    </w:p>
    <w:p w14:paraId="55418D81" w14:textId="77777777" w:rsidR="00DB6F26" w:rsidRPr="00DB6F26" w:rsidRDefault="00DB6F26">
      <w:pPr>
        <w:pStyle w:val="SingleTxtG"/>
        <w:ind w:firstLine="567"/>
      </w:pPr>
      <w:r w:rsidRPr="002B5F3C">
        <w:t>2</w:t>
      </w:r>
      <w:r w:rsidR="00AF3D15" w:rsidRPr="002B5F3C">
        <w:t>3</w:t>
      </w:r>
      <w:r w:rsidRPr="002B5F3C">
        <w:t>.</w:t>
      </w:r>
      <w:r w:rsidRPr="002B5F3C">
        <w:tab/>
      </w:r>
      <w:r w:rsidRPr="002B5F3C">
        <w:rPr>
          <w:i/>
        </w:rPr>
        <w:t>Décide</w:t>
      </w:r>
      <w:r w:rsidRPr="002B5F3C">
        <w:t xml:space="preserve"> de rester saisi de cette question.</w:t>
      </w:r>
    </w:p>
    <w:p w14:paraId="4EDE6800" w14:textId="77777777" w:rsidR="00FF1B1D" w:rsidRPr="004E72B2" w:rsidRDefault="00DB6F26" w:rsidP="00DB6F26">
      <w:pPr>
        <w:pStyle w:val="SingleTxtG"/>
        <w:spacing w:before="240" w:after="0"/>
        <w:jc w:val="center"/>
        <w:rPr>
          <w:u w:val="single"/>
        </w:rPr>
      </w:pPr>
      <w:r>
        <w:rPr>
          <w:u w:val="single"/>
        </w:rPr>
        <w:tab/>
      </w:r>
      <w:r>
        <w:rPr>
          <w:u w:val="single"/>
        </w:rPr>
        <w:tab/>
      </w:r>
      <w:r>
        <w:rPr>
          <w:u w:val="single"/>
        </w:rPr>
        <w:tab/>
      </w:r>
    </w:p>
    <w:sectPr w:rsidR="00FF1B1D" w:rsidRPr="004E72B2" w:rsidSect="00A36CE0">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02T10:52:00Z" w:initials="Start">
    <w:p w14:paraId="0E36664F" w14:textId="77777777" w:rsidR="00971FF4" w:rsidRDefault="00971FF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NO&gt;&gt;N1513985F&lt;&lt;ODS JOB NO&gt;&gt;</w:t>
      </w:r>
    </w:p>
    <w:p w14:paraId="03780848" w14:textId="77777777" w:rsidR="00971FF4" w:rsidRDefault="00971FF4">
      <w:pPr>
        <w:pStyle w:val="CommentText"/>
      </w:pPr>
      <w:r>
        <w:t>&lt;&lt;ODS DOC SYMBOL1&gt;&gt;A/HRC/29/L.13/REV.1&lt;&lt;ODS DOC SYMBOL1&gt;&gt;</w:t>
      </w:r>
    </w:p>
    <w:p w14:paraId="6E6A111F" w14:textId="2EE26D6D" w:rsidR="00971FF4" w:rsidRDefault="00971FF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87C56" w14:textId="77777777" w:rsidR="00204928" w:rsidRDefault="00204928"/>
  </w:endnote>
  <w:endnote w:type="continuationSeparator" w:id="0">
    <w:p w14:paraId="0BD35361" w14:textId="77777777" w:rsidR="00204928" w:rsidRDefault="00204928"/>
  </w:endnote>
  <w:endnote w:type="continuationNotice" w:id="1">
    <w:p w14:paraId="3C7B0EDF" w14:textId="77777777" w:rsidR="00204928" w:rsidRPr="00770C75" w:rsidRDefault="00204928" w:rsidP="00770C75">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6684F" w14:textId="77777777" w:rsidR="00A36CE0" w:rsidRPr="00A36CE0" w:rsidRDefault="00A36CE0" w:rsidP="008D2ECB">
    <w:pPr>
      <w:pStyle w:val="Footer"/>
      <w:tabs>
        <w:tab w:val="right" w:pos="9638"/>
      </w:tabs>
    </w:pPr>
    <w:r w:rsidRPr="00A36CE0">
      <w:rPr>
        <w:b/>
        <w:sz w:val="18"/>
      </w:rPr>
      <w:fldChar w:fldCharType="begin"/>
    </w:r>
    <w:r w:rsidRPr="00A36CE0">
      <w:rPr>
        <w:b/>
        <w:sz w:val="18"/>
      </w:rPr>
      <w:instrText xml:space="preserve"> PAGE  \* MERGEFORMAT </w:instrText>
    </w:r>
    <w:r w:rsidRPr="00A36CE0">
      <w:rPr>
        <w:b/>
        <w:sz w:val="18"/>
      </w:rPr>
      <w:fldChar w:fldCharType="separate"/>
    </w:r>
    <w:r w:rsidR="001D3387">
      <w:rPr>
        <w:b/>
        <w:noProof/>
        <w:sz w:val="18"/>
      </w:rPr>
      <w:t>4</w:t>
    </w:r>
    <w:r w:rsidRPr="00A36CE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FC700" w14:textId="77777777" w:rsidR="00A36CE0" w:rsidRPr="00A36CE0" w:rsidRDefault="00A36CE0" w:rsidP="006E3DE4">
    <w:pPr>
      <w:pStyle w:val="Footer"/>
      <w:tabs>
        <w:tab w:val="right" w:pos="9638"/>
      </w:tabs>
      <w:jc w:val="right"/>
      <w:rPr>
        <w:b/>
        <w:sz w:val="18"/>
      </w:rPr>
    </w:pPr>
    <w:r w:rsidRPr="00A36CE0">
      <w:rPr>
        <w:b/>
        <w:sz w:val="18"/>
      </w:rPr>
      <w:fldChar w:fldCharType="begin"/>
    </w:r>
    <w:r w:rsidRPr="00A36CE0">
      <w:rPr>
        <w:b/>
        <w:sz w:val="18"/>
      </w:rPr>
      <w:instrText xml:space="preserve"> PAGE  \* MERGEFORMAT </w:instrText>
    </w:r>
    <w:r w:rsidRPr="00A36CE0">
      <w:rPr>
        <w:b/>
        <w:sz w:val="18"/>
      </w:rPr>
      <w:fldChar w:fldCharType="separate"/>
    </w:r>
    <w:r w:rsidR="001D3387">
      <w:rPr>
        <w:b/>
        <w:noProof/>
        <w:sz w:val="18"/>
      </w:rPr>
      <w:t>3</w:t>
    </w:r>
    <w:r w:rsidRPr="00A36CE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752"/>
    </w:tblGrid>
    <w:tr w:rsidR="00971FF4" w14:paraId="783E7230" w14:textId="77777777" w:rsidTr="00971FF4">
      <w:tc>
        <w:tcPr>
          <w:tcW w:w="3672" w:type="dxa"/>
          <w:shd w:val="clear" w:color="auto" w:fill="auto"/>
        </w:tcPr>
        <w:p w14:paraId="27F78872" w14:textId="38E99D9D" w:rsidR="00971FF4" w:rsidRDefault="00971FF4" w:rsidP="00971FF4">
          <w:pPr>
            <w:pStyle w:val="Footer"/>
            <w:rPr>
              <w:sz w:val="20"/>
            </w:rPr>
          </w:pPr>
          <w:r>
            <w:rPr>
              <w:noProof/>
              <w:sz w:val="20"/>
              <w:lang w:val="en-US"/>
            </w:rPr>
            <w:drawing>
              <wp:anchor distT="0" distB="0" distL="114300" distR="114300" simplePos="0" relativeHeight="251658240" behindDoc="0" locked="0" layoutInCell="1" allowOverlap="1" wp14:anchorId="14116FCD" wp14:editId="23C5E028">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A/HRC/29/L.13/REV.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L.13/REV.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GE.15-10945 (F)</w:t>
          </w:r>
        </w:p>
        <w:p w14:paraId="1103E8EC" w14:textId="5E3A5228" w:rsidR="00971FF4" w:rsidRPr="00971FF4" w:rsidRDefault="00971FF4" w:rsidP="00971FF4">
          <w:pPr>
            <w:rPr>
              <w:rFonts w:ascii="Barcode 3 of 9 by request" w:hAnsi="Barcode 3 of 9 by request"/>
              <w:sz w:val="24"/>
            </w:rPr>
          </w:pPr>
          <w:r>
            <w:rPr>
              <w:rFonts w:ascii="Barcode 3 of 9 by request" w:hAnsi="Barcode 3 of 9 by request"/>
              <w:sz w:val="24"/>
            </w:rPr>
            <w:t>*1510945*</w:t>
          </w:r>
        </w:p>
      </w:tc>
      <w:tc>
        <w:tcPr>
          <w:tcW w:w="4752" w:type="dxa"/>
          <w:shd w:val="clear" w:color="auto" w:fill="auto"/>
        </w:tcPr>
        <w:p w14:paraId="5E0B72C2" w14:textId="7E40FECB" w:rsidR="00971FF4" w:rsidRDefault="00971FF4" w:rsidP="00971FF4">
          <w:pPr>
            <w:pStyle w:val="Footer"/>
            <w:spacing w:line="240" w:lineRule="atLeast"/>
            <w:jc w:val="right"/>
            <w:rPr>
              <w:sz w:val="20"/>
            </w:rPr>
          </w:pPr>
          <w:r>
            <w:rPr>
              <w:noProof/>
              <w:sz w:val="20"/>
              <w:lang w:val="en-US"/>
            </w:rPr>
            <w:drawing>
              <wp:inline distT="0" distB="0" distL="0" distR="0" wp14:anchorId="1E7BBE9D" wp14:editId="0C4C5319">
                <wp:extent cx="1109474" cy="231648"/>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14:paraId="513DC1B2" w14:textId="77777777" w:rsidR="00971FF4" w:rsidRPr="00971FF4" w:rsidRDefault="00971FF4" w:rsidP="00971FF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DAA02" w14:textId="77777777" w:rsidR="00204928" w:rsidRPr="00D27D5E" w:rsidRDefault="00204928" w:rsidP="00D27D5E">
      <w:pPr>
        <w:tabs>
          <w:tab w:val="right" w:pos="2155"/>
        </w:tabs>
        <w:spacing w:after="80"/>
        <w:ind w:left="680"/>
        <w:rPr>
          <w:u w:val="single"/>
        </w:rPr>
      </w:pPr>
      <w:r>
        <w:rPr>
          <w:u w:val="single"/>
        </w:rPr>
        <w:tab/>
      </w:r>
    </w:p>
  </w:footnote>
  <w:footnote w:type="continuationSeparator" w:id="0">
    <w:p w14:paraId="45B6F47A" w14:textId="77777777" w:rsidR="00204928" w:rsidRPr="001D7014" w:rsidRDefault="00204928" w:rsidP="001D7014">
      <w:pPr>
        <w:tabs>
          <w:tab w:val="right" w:pos="2155"/>
        </w:tabs>
        <w:spacing w:after="80"/>
        <w:ind w:left="680"/>
        <w:rPr>
          <w:u w:val="single"/>
        </w:rPr>
      </w:pPr>
      <w:r w:rsidRPr="001D7014">
        <w:rPr>
          <w:u w:val="single"/>
        </w:rPr>
        <w:tab/>
      </w:r>
    </w:p>
  </w:footnote>
  <w:footnote w:type="continuationNotice" w:id="1">
    <w:p w14:paraId="6FC4BE3A" w14:textId="77777777" w:rsidR="00204928" w:rsidRPr="00770C75" w:rsidRDefault="00204928" w:rsidP="00770C75">
      <w:pPr>
        <w:spacing w:line="240" w:lineRule="auto"/>
        <w:rPr>
          <w:sz w:val="2"/>
          <w:szCs w:val="2"/>
        </w:rPr>
      </w:pPr>
    </w:p>
  </w:footnote>
  <w:footnote w:id="2">
    <w:p w14:paraId="1E460EF4" w14:textId="77777777" w:rsidR="00A56E3B" w:rsidRPr="00A56E3B" w:rsidRDefault="00A56E3B">
      <w:pPr>
        <w:pStyle w:val="FootnoteText"/>
      </w:pPr>
      <w:r>
        <w:rPr>
          <w:rStyle w:val="FootnoteReference"/>
        </w:rPr>
        <w:tab/>
      </w:r>
      <w:r w:rsidRPr="00A56E3B">
        <w:rPr>
          <w:rStyle w:val="FootnoteReference"/>
          <w:sz w:val="20"/>
          <w:vertAlign w:val="baseline"/>
        </w:rPr>
        <w:t>*</w:t>
      </w:r>
      <w:r>
        <w:rPr>
          <w:rStyle w:val="FootnoteReference"/>
          <w:sz w:val="20"/>
          <w:vertAlign w:val="baseline"/>
        </w:rPr>
        <w:tab/>
      </w:r>
      <w:r w:rsidRPr="00A56E3B">
        <w:t>État non membre du Conseil des droits de l’homme.</w:t>
      </w:r>
    </w:p>
  </w:footnote>
  <w:footnote w:id="3">
    <w:p w14:paraId="00B85C85" w14:textId="77777777" w:rsidR="0005718C" w:rsidRPr="002B5F3C" w:rsidRDefault="0005718C" w:rsidP="0005718C">
      <w:pPr>
        <w:pStyle w:val="FootnoteText"/>
        <w:rPr>
          <w:lang w:val="en-US"/>
        </w:rPr>
      </w:pPr>
      <w:r>
        <w:tab/>
      </w:r>
      <w:r>
        <w:rPr>
          <w:rStyle w:val="FootnoteReference"/>
        </w:rPr>
        <w:footnoteRef/>
      </w:r>
      <w:r w:rsidRPr="002B5F3C">
        <w:rPr>
          <w:lang w:val="en-US"/>
        </w:rPr>
        <w:tab/>
        <w:t>S/2015/320.</w:t>
      </w:r>
    </w:p>
  </w:footnote>
  <w:footnote w:id="4">
    <w:p w14:paraId="3BC1FE6F" w14:textId="77777777" w:rsidR="005F742E" w:rsidRPr="002B5F3C" w:rsidRDefault="005F742E">
      <w:pPr>
        <w:pStyle w:val="FootnoteText"/>
        <w:rPr>
          <w:lang w:val="en-US"/>
        </w:rPr>
      </w:pPr>
      <w:r w:rsidRPr="002B5F3C">
        <w:rPr>
          <w:lang w:val="en-US"/>
        </w:rPr>
        <w:tab/>
      </w:r>
      <w:r>
        <w:rPr>
          <w:rStyle w:val="FootnoteReference"/>
        </w:rPr>
        <w:footnoteRef/>
      </w:r>
      <w:r w:rsidRPr="002B5F3C">
        <w:rPr>
          <w:lang w:val="en-US"/>
        </w:rPr>
        <w:tab/>
        <w:t>CCPR/C/CIV/1.</w:t>
      </w:r>
    </w:p>
  </w:footnote>
  <w:footnote w:id="5">
    <w:p w14:paraId="1C4AB0EF" w14:textId="77777777" w:rsidR="00F90245" w:rsidRPr="002B5F3C" w:rsidRDefault="00F90245">
      <w:pPr>
        <w:pStyle w:val="FootnoteText"/>
        <w:rPr>
          <w:lang w:val="en-US"/>
        </w:rPr>
      </w:pPr>
      <w:r w:rsidRPr="002B5F3C">
        <w:rPr>
          <w:lang w:val="en-US"/>
        </w:rPr>
        <w:tab/>
      </w:r>
      <w:r>
        <w:rPr>
          <w:rStyle w:val="FootnoteReference"/>
        </w:rPr>
        <w:footnoteRef/>
      </w:r>
      <w:r w:rsidRPr="002B5F3C">
        <w:rPr>
          <w:lang w:val="en-US"/>
        </w:rPr>
        <w:tab/>
        <w:t>A/HRC/29/49.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72BEE" w14:textId="7FB3AFC6" w:rsidR="00A36CE0" w:rsidRPr="00A36CE0" w:rsidRDefault="000B71F6">
    <w:pPr>
      <w:pStyle w:val="Header"/>
    </w:pPr>
    <w:r>
      <w:t>A/HRC/</w:t>
    </w:r>
    <w:r w:rsidR="0063396C">
      <w:t>2</w:t>
    </w:r>
    <w:r w:rsidR="00C30B96">
      <w:t>9</w:t>
    </w:r>
    <w:r w:rsidR="00FF1B1D">
      <w:t>/L.</w:t>
    </w:r>
    <w:r w:rsidR="00DB6F26">
      <w:t>13</w:t>
    </w:r>
    <w:r w:rsidR="00085A1D">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32E95" w14:textId="2B6B43DB" w:rsidR="00A36CE0" w:rsidRPr="00A36CE0" w:rsidRDefault="00A36CE0" w:rsidP="00A36CE0">
    <w:pPr>
      <w:pStyle w:val="Header"/>
      <w:jc w:val="right"/>
    </w:pPr>
    <w:r>
      <w:t>A/HRC/</w:t>
    </w:r>
    <w:r w:rsidR="0063396C">
      <w:t>2</w:t>
    </w:r>
    <w:r w:rsidR="00C30B96">
      <w:t>9</w:t>
    </w:r>
    <w:r w:rsidR="00FF1B1D">
      <w:t>/L.</w:t>
    </w:r>
    <w:r w:rsidR="00DB6F26">
      <w:t>13</w:t>
    </w:r>
    <w:r w:rsidR="00085A1D">
      <w:t>/Rev.1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C8BD2A"/>
    <w:lvl w:ilvl="0">
      <w:start w:val="1"/>
      <w:numFmt w:val="decimal"/>
      <w:lvlText w:val="%1."/>
      <w:lvlJc w:val="left"/>
      <w:pPr>
        <w:tabs>
          <w:tab w:val="num" w:pos="1492"/>
        </w:tabs>
        <w:ind w:left="1492" w:hanging="360"/>
      </w:pPr>
    </w:lvl>
  </w:abstractNum>
  <w:abstractNum w:abstractNumId="1">
    <w:nsid w:val="FFFFFF7D"/>
    <w:multiLevelType w:val="singleLevel"/>
    <w:tmpl w:val="AA809B1E"/>
    <w:lvl w:ilvl="0">
      <w:start w:val="1"/>
      <w:numFmt w:val="decimal"/>
      <w:lvlText w:val="%1."/>
      <w:lvlJc w:val="left"/>
      <w:pPr>
        <w:tabs>
          <w:tab w:val="num" w:pos="1209"/>
        </w:tabs>
        <w:ind w:left="1209" w:hanging="360"/>
      </w:pPr>
    </w:lvl>
  </w:abstractNum>
  <w:abstractNum w:abstractNumId="2">
    <w:nsid w:val="FFFFFF7E"/>
    <w:multiLevelType w:val="singleLevel"/>
    <w:tmpl w:val="A2C4AC62"/>
    <w:lvl w:ilvl="0">
      <w:start w:val="1"/>
      <w:numFmt w:val="decimal"/>
      <w:lvlText w:val="%1."/>
      <w:lvlJc w:val="left"/>
      <w:pPr>
        <w:tabs>
          <w:tab w:val="num" w:pos="926"/>
        </w:tabs>
        <w:ind w:left="926" w:hanging="360"/>
      </w:pPr>
    </w:lvl>
  </w:abstractNum>
  <w:abstractNum w:abstractNumId="3">
    <w:nsid w:val="FFFFFF7F"/>
    <w:multiLevelType w:val="singleLevel"/>
    <w:tmpl w:val="F5766A36"/>
    <w:lvl w:ilvl="0">
      <w:start w:val="1"/>
      <w:numFmt w:val="decimal"/>
      <w:lvlText w:val="%1."/>
      <w:lvlJc w:val="left"/>
      <w:pPr>
        <w:tabs>
          <w:tab w:val="num" w:pos="643"/>
        </w:tabs>
        <w:ind w:left="643" w:hanging="360"/>
      </w:pPr>
    </w:lvl>
  </w:abstractNum>
  <w:abstractNum w:abstractNumId="4">
    <w:nsid w:val="FFFFFF80"/>
    <w:multiLevelType w:val="singleLevel"/>
    <w:tmpl w:val="54964F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942E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C681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24A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32030A"/>
    <w:lvl w:ilvl="0">
      <w:start w:val="1"/>
      <w:numFmt w:val="decimal"/>
      <w:lvlText w:val="%1."/>
      <w:lvlJc w:val="left"/>
      <w:pPr>
        <w:tabs>
          <w:tab w:val="num" w:pos="360"/>
        </w:tabs>
        <w:ind w:left="360" w:hanging="360"/>
      </w:pPr>
    </w:lvl>
  </w:abstractNum>
  <w:abstractNum w:abstractNumId="9">
    <w:nsid w:val="FFFFFF89"/>
    <w:multiLevelType w:val="singleLevel"/>
    <w:tmpl w:val="E50CA87A"/>
    <w:lvl w:ilvl="0">
      <w:start w:val="1"/>
      <w:numFmt w:val="bullet"/>
      <w:lvlText w:val=""/>
      <w:lvlJc w:val="left"/>
      <w:pPr>
        <w:tabs>
          <w:tab w:val="num" w:pos="360"/>
        </w:tabs>
        <w:ind w:left="360" w:hanging="360"/>
      </w:pPr>
      <w:rPr>
        <w:rFonts w:ascii="Symbol" w:hAnsi="Symbol" w:hint="default"/>
      </w:rPr>
    </w:lvl>
  </w:abstractNum>
  <w:abstractNum w:abstractNumId="10">
    <w:nsid w:val="2B3F49C6"/>
    <w:multiLevelType w:val="singleLevel"/>
    <w:tmpl w:val="720CB540"/>
    <w:lvl w:ilvl="0">
      <w:start w:val="1"/>
      <w:numFmt w:val="lowerRoman"/>
      <w:lvlText w:val="(%1)"/>
      <w:lvlJc w:val="right"/>
      <w:pPr>
        <w:tabs>
          <w:tab w:val="num" w:pos="2160"/>
        </w:tabs>
        <w:ind w:left="2160" w:hanging="516"/>
      </w:pPr>
    </w:lvl>
  </w:abstractNum>
  <w:abstractNum w:abstractNumId="11">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6"/>
  </w:num>
  <w:num w:numId="2">
    <w:abstractNumId w:val="10"/>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1"/>
  </w:num>
  <w:num w:numId="14">
    <w:abstractNumId w:val="15"/>
  </w:num>
  <w:num w:numId="15">
    <w:abstractNumId w:val="14"/>
  </w:num>
  <w:num w:numId="16">
    <w:abstractNumId w:val="13"/>
  </w:num>
  <w:num w:numId="17">
    <w:abstractNumId w:val="12"/>
  </w:num>
  <w:num w:numId="18">
    <w:abstractNumId w:val="13"/>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752"/>
    <w:rsid w:val="000064FC"/>
    <w:rsid w:val="00016AC5"/>
    <w:rsid w:val="00027C8E"/>
    <w:rsid w:val="00047AEC"/>
    <w:rsid w:val="00053654"/>
    <w:rsid w:val="0005718C"/>
    <w:rsid w:val="00057BC0"/>
    <w:rsid w:val="000675FE"/>
    <w:rsid w:val="00085A1D"/>
    <w:rsid w:val="00094AD7"/>
    <w:rsid w:val="000A18A8"/>
    <w:rsid w:val="000A63CB"/>
    <w:rsid w:val="000B058F"/>
    <w:rsid w:val="000B2B1E"/>
    <w:rsid w:val="000B71F6"/>
    <w:rsid w:val="000E03D2"/>
    <w:rsid w:val="000F41F2"/>
    <w:rsid w:val="00133B7A"/>
    <w:rsid w:val="001370FA"/>
    <w:rsid w:val="0014763D"/>
    <w:rsid w:val="00153B2E"/>
    <w:rsid w:val="00160540"/>
    <w:rsid w:val="00170BBF"/>
    <w:rsid w:val="00192EEB"/>
    <w:rsid w:val="001A20FB"/>
    <w:rsid w:val="001B68E3"/>
    <w:rsid w:val="001B6907"/>
    <w:rsid w:val="001C6647"/>
    <w:rsid w:val="001D18A1"/>
    <w:rsid w:val="001D3387"/>
    <w:rsid w:val="001D7014"/>
    <w:rsid w:val="001E107F"/>
    <w:rsid w:val="001E3614"/>
    <w:rsid w:val="001E3FEB"/>
    <w:rsid w:val="001E4A02"/>
    <w:rsid w:val="00204928"/>
    <w:rsid w:val="00217DB9"/>
    <w:rsid w:val="00245F2B"/>
    <w:rsid w:val="002659F1"/>
    <w:rsid w:val="00270752"/>
    <w:rsid w:val="00286970"/>
    <w:rsid w:val="00286F7E"/>
    <w:rsid w:val="00287E79"/>
    <w:rsid w:val="002928F9"/>
    <w:rsid w:val="002A13ED"/>
    <w:rsid w:val="002A3218"/>
    <w:rsid w:val="002A5D07"/>
    <w:rsid w:val="002B5F3C"/>
    <w:rsid w:val="002B6E9D"/>
    <w:rsid w:val="002C7303"/>
    <w:rsid w:val="002D2C4E"/>
    <w:rsid w:val="002D6D59"/>
    <w:rsid w:val="003016B7"/>
    <w:rsid w:val="00320337"/>
    <w:rsid w:val="003515AA"/>
    <w:rsid w:val="003626E6"/>
    <w:rsid w:val="00364F33"/>
    <w:rsid w:val="00374106"/>
    <w:rsid w:val="00375577"/>
    <w:rsid w:val="00375C5B"/>
    <w:rsid w:val="0037787B"/>
    <w:rsid w:val="003976D5"/>
    <w:rsid w:val="003A1902"/>
    <w:rsid w:val="003B0E89"/>
    <w:rsid w:val="003D3AE8"/>
    <w:rsid w:val="003D6C68"/>
    <w:rsid w:val="004073B1"/>
    <w:rsid w:val="004159D0"/>
    <w:rsid w:val="00416FC7"/>
    <w:rsid w:val="00481744"/>
    <w:rsid w:val="00483C99"/>
    <w:rsid w:val="004B2F4D"/>
    <w:rsid w:val="004E72B2"/>
    <w:rsid w:val="00503619"/>
    <w:rsid w:val="005641A9"/>
    <w:rsid w:val="00571F41"/>
    <w:rsid w:val="00573319"/>
    <w:rsid w:val="005806EC"/>
    <w:rsid w:val="00580D8E"/>
    <w:rsid w:val="0059225B"/>
    <w:rsid w:val="00594033"/>
    <w:rsid w:val="0059799B"/>
    <w:rsid w:val="005D40D4"/>
    <w:rsid w:val="005E1E86"/>
    <w:rsid w:val="005E5D1F"/>
    <w:rsid w:val="005F742E"/>
    <w:rsid w:val="00611608"/>
    <w:rsid w:val="00612D48"/>
    <w:rsid w:val="00616B45"/>
    <w:rsid w:val="0063396C"/>
    <w:rsid w:val="006439EC"/>
    <w:rsid w:val="0066166E"/>
    <w:rsid w:val="006618DA"/>
    <w:rsid w:val="006739B9"/>
    <w:rsid w:val="0067682D"/>
    <w:rsid w:val="006A521F"/>
    <w:rsid w:val="006B12EF"/>
    <w:rsid w:val="006B4590"/>
    <w:rsid w:val="006C340C"/>
    <w:rsid w:val="006D46CC"/>
    <w:rsid w:val="006E0516"/>
    <w:rsid w:val="006E3DE4"/>
    <w:rsid w:val="0070347C"/>
    <w:rsid w:val="007146BB"/>
    <w:rsid w:val="007170F0"/>
    <w:rsid w:val="00743F9E"/>
    <w:rsid w:val="00757B26"/>
    <w:rsid w:val="007602DF"/>
    <w:rsid w:val="00770C75"/>
    <w:rsid w:val="00774E57"/>
    <w:rsid w:val="00775710"/>
    <w:rsid w:val="00780E4A"/>
    <w:rsid w:val="00785BA2"/>
    <w:rsid w:val="00786ACC"/>
    <w:rsid w:val="007A02D1"/>
    <w:rsid w:val="007C2C4F"/>
    <w:rsid w:val="007D30F7"/>
    <w:rsid w:val="007E7740"/>
    <w:rsid w:val="0081197C"/>
    <w:rsid w:val="00815EAA"/>
    <w:rsid w:val="008353D6"/>
    <w:rsid w:val="00840CCA"/>
    <w:rsid w:val="008436E3"/>
    <w:rsid w:val="00844750"/>
    <w:rsid w:val="00850FFE"/>
    <w:rsid w:val="00861CCE"/>
    <w:rsid w:val="0087266B"/>
    <w:rsid w:val="008911A8"/>
    <w:rsid w:val="008921DD"/>
    <w:rsid w:val="0089595B"/>
    <w:rsid w:val="008A09C6"/>
    <w:rsid w:val="008D2ECB"/>
    <w:rsid w:val="008D7C08"/>
    <w:rsid w:val="008E7FAE"/>
    <w:rsid w:val="00911BF7"/>
    <w:rsid w:val="0094727C"/>
    <w:rsid w:val="009509BF"/>
    <w:rsid w:val="00971FF4"/>
    <w:rsid w:val="00977EC8"/>
    <w:rsid w:val="00981C83"/>
    <w:rsid w:val="009915D0"/>
    <w:rsid w:val="009B2AD3"/>
    <w:rsid w:val="009B5609"/>
    <w:rsid w:val="009C54EB"/>
    <w:rsid w:val="009D3A8C"/>
    <w:rsid w:val="009E5BA8"/>
    <w:rsid w:val="009E7956"/>
    <w:rsid w:val="009F450E"/>
    <w:rsid w:val="00A2492E"/>
    <w:rsid w:val="00A36CE0"/>
    <w:rsid w:val="00A56E3B"/>
    <w:rsid w:val="00A6127E"/>
    <w:rsid w:val="00A63BBD"/>
    <w:rsid w:val="00A83FC0"/>
    <w:rsid w:val="00AB4A31"/>
    <w:rsid w:val="00AC2B82"/>
    <w:rsid w:val="00AC47AD"/>
    <w:rsid w:val="00AC7977"/>
    <w:rsid w:val="00AD5413"/>
    <w:rsid w:val="00AE0E05"/>
    <w:rsid w:val="00AE352C"/>
    <w:rsid w:val="00AF3D15"/>
    <w:rsid w:val="00AF5B0C"/>
    <w:rsid w:val="00B26E01"/>
    <w:rsid w:val="00B305CF"/>
    <w:rsid w:val="00B32E2D"/>
    <w:rsid w:val="00B41432"/>
    <w:rsid w:val="00B56160"/>
    <w:rsid w:val="00B61990"/>
    <w:rsid w:val="00B80E45"/>
    <w:rsid w:val="00B8776F"/>
    <w:rsid w:val="00BA184E"/>
    <w:rsid w:val="00BB4DD9"/>
    <w:rsid w:val="00BE28D3"/>
    <w:rsid w:val="00BF0556"/>
    <w:rsid w:val="00C04235"/>
    <w:rsid w:val="00C20F11"/>
    <w:rsid w:val="00C261F8"/>
    <w:rsid w:val="00C30B96"/>
    <w:rsid w:val="00C427F9"/>
    <w:rsid w:val="00C5373A"/>
    <w:rsid w:val="00C57499"/>
    <w:rsid w:val="00C717E0"/>
    <w:rsid w:val="00C87479"/>
    <w:rsid w:val="00C919A2"/>
    <w:rsid w:val="00CA04BE"/>
    <w:rsid w:val="00CB177A"/>
    <w:rsid w:val="00CD1A71"/>
    <w:rsid w:val="00CD1FBB"/>
    <w:rsid w:val="00CE5AFE"/>
    <w:rsid w:val="00CE7127"/>
    <w:rsid w:val="00CF6637"/>
    <w:rsid w:val="00D016B5"/>
    <w:rsid w:val="00D034F1"/>
    <w:rsid w:val="00D037E5"/>
    <w:rsid w:val="00D27D5E"/>
    <w:rsid w:val="00D34CC9"/>
    <w:rsid w:val="00D42E42"/>
    <w:rsid w:val="00DA6B24"/>
    <w:rsid w:val="00DB04EE"/>
    <w:rsid w:val="00DB6F26"/>
    <w:rsid w:val="00DD712F"/>
    <w:rsid w:val="00DE6D90"/>
    <w:rsid w:val="00DE708E"/>
    <w:rsid w:val="00DF002F"/>
    <w:rsid w:val="00DF2DDE"/>
    <w:rsid w:val="00DF5B29"/>
    <w:rsid w:val="00E0244D"/>
    <w:rsid w:val="00E241BD"/>
    <w:rsid w:val="00E81E94"/>
    <w:rsid w:val="00E82607"/>
    <w:rsid w:val="00E85AAB"/>
    <w:rsid w:val="00E953A1"/>
    <w:rsid w:val="00EA43D0"/>
    <w:rsid w:val="00EE4043"/>
    <w:rsid w:val="00EF327E"/>
    <w:rsid w:val="00F206B7"/>
    <w:rsid w:val="00F22103"/>
    <w:rsid w:val="00F505F1"/>
    <w:rsid w:val="00F66F55"/>
    <w:rsid w:val="00F71F90"/>
    <w:rsid w:val="00F82DAD"/>
    <w:rsid w:val="00F90245"/>
    <w:rsid w:val="00F96BA4"/>
    <w:rsid w:val="00FA5A79"/>
    <w:rsid w:val="00FA7F12"/>
    <w:rsid w:val="00FB0BFE"/>
    <w:rsid w:val="00FB0DAA"/>
    <w:rsid w:val="00FB2636"/>
    <w:rsid w:val="00FB4C51"/>
    <w:rsid w:val="00FC652B"/>
    <w:rsid w:val="00FF1B1D"/>
    <w:rsid w:val="00FF1D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D77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0F7"/>
    <w:pPr>
      <w:suppressAutoHyphens/>
      <w:spacing w:line="240" w:lineRule="atLeast"/>
    </w:pPr>
    <w:rPr>
      <w:lang w:val="fr-CH" w:eastAsia="en-US"/>
    </w:rPr>
  </w:style>
  <w:style w:type="paragraph" w:styleId="Heading1">
    <w:name w:val="heading 1"/>
    <w:aliases w:val="Table_G"/>
    <w:basedOn w:val="SingleTxtG"/>
    <w:next w:val="SingleTxtG"/>
    <w:qFormat/>
    <w:rsid w:val="00217DB9"/>
    <w:pPr>
      <w:keepNext/>
      <w:keepLines/>
      <w:spacing w:after="0" w:line="240" w:lineRule="auto"/>
      <w:ind w:right="0"/>
      <w:jc w:val="left"/>
      <w:outlineLvl w:val="0"/>
    </w:pPr>
  </w:style>
  <w:style w:type="paragraph" w:styleId="Heading2">
    <w:name w:val="heading 2"/>
    <w:basedOn w:val="Normal"/>
    <w:next w:val="Normal"/>
    <w:qFormat/>
    <w:rsid w:val="007D30F7"/>
    <w:pPr>
      <w:outlineLvl w:val="1"/>
    </w:pPr>
  </w:style>
  <w:style w:type="paragraph" w:styleId="Heading3">
    <w:name w:val="heading 3"/>
    <w:basedOn w:val="Normal"/>
    <w:next w:val="Normal"/>
    <w:qFormat/>
    <w:rsid w:val="007D30F7"/>
    <w:pPr>
      <w:outlineLvl w:val="2"/>
    </w:pPr>
  </w:style>
  <w:style w:type="paragraph" w:styleId="Heading4">
    <w:name w:val="heading 4"/>
    <w:basedOn w:val="Normal"/>
    <w:next w:val="Normal"/>
    <w:qFormat/>
    <w:rsid w:val="007D30F7"/>
    <w:pPr>
      <w:outlineLvl w:val="3"/>
    </w:pPr>
  </w:style>
  <w:style w:type="paragraph" w:styleId="Heading5">
    <w:name w:val="heading 5"/>
    <w:basedOn w:val="Normal"/>
    <w:next w:val="Normal"/>
    <w:qFormat/>
    <w:rsid w:val="007D30F7"/>
    <w:pPr>
      <w:outlineLvl w:val="4"/>
    </w:pPr>
  </w:style>
  <w:style w:type="paragraph" w:styleId="Heading6">
    <w:name w:val="heading 6"/>
    <w:basedOn w:val="Normal"/>
    <w:next w:val="Normal"/>
    <w:qFormat/>
    <w:rsid w:val="007D30F7"/>
    <w:pPr>
      <w:outlineLvl w:val="5"/>
    </w:pPr>
  </w:style>
  <w:style w:type="paragraph" w:styleId="Heading7">
    <w:name w:val="heading 7"/>
    <w:basedOn w:val="Normal"/>
    <w:next w:val="Normal"/>
    <w:qFormat/>
    <w:rsid w:val="007D30F7"/>
    <w:pPr>
      <w:outlineLvl w:val="6"/>
    </w:pPr>
  </w:style>
  <w:style w:type="paragraph" w:styleId="Heading8">
    <w:name w:val="heading 8"/>
    <w:basedOn w:val="Normal"/>
    <w:next w:val="Normal"/>
    <w:qFormat/>
    <w:rsid w:val="007D30F7"/>
    <w:pPr>
      <w:outlineLvl w:val="7"/>
    </w:pPr>
  </w:style>
  <w:style w:type="paragraph" w:styleId="Heading9">
    <w:name w:val="heading 9"/>
    <w:basedOn w:val="Normal"/>
    <w:next w:val="Normal"/>
    <w:qFormat/>
    <w:rsid w:val="007D30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D30F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D30F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D30F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D30F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D30F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D30F7"/>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D30F7"/>
    <w:pPr>
      <w:spacing w:after="120"/>
      <w:ind w:left="1134" w:right="1134"/>
      <w:jc w:val="both"/>
    </w:pPr>
  </w:style>
  <w:style w:type="paragraph" w:customStyle="1" w:styleId="SLG">
    <w:name w:val="__S_L_G"/>
    <w:basedOn w:val="Normal"/>
    <w:next w:val="Normal"/>
    <w:rsid w:val="007D30F7"/>
    <w:pPr>
      <w:keepNext/>
      <w:keepLines/>
      <w:spacing w:before="240" w:after="240" w:line="580" w:lineRule="exact"/>
      <w:ind w:left="1134" w:right="1134"/>
    </w:pPr>
    <w:rPr>
      <w:b/>
      <w:sz w:val="56"/>
    </w:rPr>
  </w:style>
  <w:style w:type="paragraph" w:customStyle="1" w:styleId="SMG">
    <w:name w:val="__S_M_G"/>
    <w:basedOn w:val="Normal"/>
    <w:next w:val="Normal"/>
    <w:rsid w:val="007D30F7"/>
    <w:pPr>
      <w:keepNext/>
      <w:keepLines/>
      <w:spacing w:before="240" w:after="240" w:line="420" w:lineRule="exact"/>
      <w:ind w:left="1134" w:right="1134"/>
    </w:pPr>
    <w:rPr>
      <w:b/>
      <w:sz w:val="40"/>
    </w:rPr>
  </w:style>
  <w:style w:type="paragraph" w:customStyle="1" w:styleId="SSG">
    <w:name w:val="__S_S_G"/>
    <w:basedOn w:val="Normal"/>
    <w:next w:val="Normal"/>
    <w:rsid w:val="007D30F7"/>
    <w:pPr>
      <w:keepNext/>
      <w:keepLines/>
      <w:spacing w:before="240" w:after="240" w:line="300" w:lineRule="exact"/>
      <w:ind w:left="1134" w:right="1134"/>
    </w:pPr>
    <w:rPr>
      <w:b/>
      <w:sz w:val="28"/>
    </w:rPr>
  </w:style>
  <w:style w:type="paragraph" w:customStyle="1" w:styleId="XLargeG">
    <w:name w:val="__XLarge_G"/>
    <w:basedOn w:val="Normal"/>
    <w:next w:val="Normal"/>
    <w:rsid w:val="007D30F7"/>
    <w:pPr>
      <w:keepNext/>
      <w:keepLines/>
      <w:spacing w:before="240" w:after="240" w:line="420" w:lineRule="exact"/>
      <w:ind w:left="1134" w:right="1134"/>
    </w:pPr>
    <w:rPr>
      <w:b/>
      <w:sz w:val="40"/>
    </w:rPr>
  </w:style>
  <w:style w:type="paragraph" w:customStyle="1" w:styleId="Bullet1G">
    <w:name w:val="_Bullet 1_G"/>
    <w:basedOn w:val="Normal"/>
    <w:rsid w:val="007D30F7"/>
    <w:pPr>
      <w:numPr>
        <w:numId w:val="18"/>
      </w:numPr>
      <w:spacing w:after="120"/>
      <w:ind w:right="1134"/>
      <w:jc w:val="both"/>
    </w:pPr>
  </w:style>
  <w:style w:type="paragraph" w:customStyle="1" w:styleId="Bullet2G">
    <w:name w:val="_Bullet 2_G"/>
    <w:basedOn w:val="Normal"/>
    <w:rsid w:val="007D30F7"/>
    <w:pPr>
      <w:numPr>
        <w:numId w:val="19"/>
      </w:numPr>
      <w:spacing w:after="120"/>
      <w:ind w:right="1134"/>
      <w:jc w:val="both"/>
    </w:pPr>
  </w:style>
  <w:style w:type="character" w:styleId="FootnoteReference">
    <w:name w:val="footnote reference"/>
    <w:aliases w:val="4_G"/>
    <w:rsid w:val="007D30F7"/>
    <w:rPr>
      <w:rFonts w:ascii="Times New Roman" w:hAnsi="Times New Roman"/>
      <w:sz w:val="18"/>
      <w:vertAlign w:val="superscript"/>
      <w:lang w:val="fr-CH"/>
    </w:rPr>
  </w:style>
  <w:style w:type="character" w:styleId="EndnoteReference">
    <w:name w:val="endnote reference"/>
    <w:aliases w:val="1_G"/>
    <w:basedOn w:val="FootnoteReference"/>
    <w:rsid w:val="007D30F7"/>
    <w:rPr>
      <w:rFonts w:ascii="Times New Roman" w:hAnsi="Times New Roman"/>
      <w:sz w:val="18"/>
      <w:vertAlign w:val="superscript"/>
      <w:lang w:val="fr-CH"/>
    </w:rPr>
  </w:style>
  <w:style w:type="paragraph" w:styleId="Header">
    <w:name w:val="header"/>
    <w:aliases w:val="6_G"/>
    <w:basedOn w:val="Normal"/>
    <w:next w:val="Normal"/>
    <w:rsid w:val="007D30F7"/>
    <w:pPr>
      <w:pBdr>
        <w:bottom w:val="single" w:sz="4" w:space="4" w:color="auto"/>
      </w:pBdr>
      <w:spacing w:line="240" w:lineRule="auto"/>
    </w:pPr>
    <w:rPr>
      <w:b/>
      <w:sz w:val="18"/>
    </w:rPr>
  </w:style>
  <w:style w:type="paragraph" w:styleId="FootnoteText">
    <w:name w:val="footnote text"/>
    <w:aliases w:val="5_G"/>
    <w:basedOn w:val="Normal"/>
    <w:rsid w:val="00F22103"/>
    <w:pPr>
      <w:tabs>
        <w:tab w:val="right" w:pos="1021"/>
      </w:tabs>
      <w:spacing w:line="220" w:lineRule="exact"/>
      <w:ind w:left="1134" w:right="1134" w:hanging="1134"/>
    </w:pPr>
    <w:rPr>
      <w:sz w:val="18"/>
    </w:rPr>
  </w:style>
  <w:style w:type="paragraph" w:styleId="EndnoteText">
    <w:name w:val="endnote text"/>
    <w:aliases w:val="2_G"/>
    <w:basedOn w:val="FootnoteText"/>
    <w:rsid w:val="00F22103"/>
  </w:style>
  <w:style w:type="character" w:styleId="PageNumber">
    <w:name w:val="page number"/>
    <w:aliases w:val="7_G"/>
    <w:rsid w:val="007D30F7"/>
    <w:rPr>
      <w:rFonts w:ascii="Times New Roman" w:hAnsi="Times New Roman"/>
      <w:b/>
      <w:sz w:val="18"/>
      <w:lang w:val="fr-CH"/>
    </w:rPr>
  </w:style>
  <w:style w:type="paragraph" w:styleId="Footer">
    <w:name w:val="footer"/>
    <w:aliases w:val="3_G"/>
    <w:basedOn w:val="Normal"/>
    <w:next w:val="Normal"/>
    <w:rsid w:val="007D30F7"/>
    <w:pPr>
      <w:spacing w:line="240" w:lineRule="auto"/>
    </w:pPr>
    <w:rPr>
      <w:sz w:val="16"/>
    </w:rPr>
  </w:style>
  <w:style w:type="character" w:styleId="Hyperlink">
    <w:name w:val="Hyperlink"/>
    <w:rsid w:val="00503619"/>
    <w:rPr>
      <w:color w:val="auto"/>
      <w:u w:val="none"/>
    </w:rPr>
  </w:style>
  <w:style w:type="character" w:styleId="FollowedHyperlink">
    <w:name w:val="FollowedHyperlink"/>
    <w:rsid w:val="00503619"/>
    <w:rPr>
      <w:color w:val="auto"/>
      <w:u w:val="none"/>
    </w:rPr>
  </w:style>
  <w:style w:type="character" w:styleId="Emphasis">
    <w:name w:val="Emphasis"/>
    <w:qFormat/>
    <w:rsid w:val="00A83FC0"/>
    <w:rPr>
      <w:i/>
      <w:iCs/>
    </w:rPr>
  </w:style>
  <w:style w:type="paragraph" w:styleId="BalloonText">
    <w:name w:val="Balloon Text"/>
    <w:basedOn w:val="Normal"/>
    <w:link w:val="BalloonTextChar"/>
    <w:rsid w:val="003A190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1902"/>
    <w:rPr>
      <w:rFonts w:ascii="Tahoma" w:hAnsi="Tahoma" w:cs="Tahoma"/>
      <w:sz w:val="16"/>
      <w:szCs w:val="16"/>
      <w:lang w:val="fr-CH" w:eastAsia="en-US"/>
    </w:rPr>
  </w:style>
  <w:style w:type="character" w:styleId="CommentReference">
    <w:name w:val="annotation reference"/>
    <w:basedOn w:val="DefaultParagraphFont"/>
    <w:rsid w:val="005E1E86"/>
    <w:rPr>
      <w:sz w:val="16"/>
      <w:szCs w:val="16"/>
    </w:rPr>
  </w:style>
  <w:style w:type="paragraph" w:styleId="CommentText">
    <w:name w:val="annotation text"/>
    <w:basedOn w:val="Normal"/>
    <w:link w:val="CommentTextChar"/>
    <w:rsid w:val="005E1E86"/>
    <w:pPr>
      <w:spacing w:line="240" w:lineRule="auto"/>
    </w:pPr>
  </w:style>
  <w:style w:type="character" w:customStyle="1" w:styleId="CommentTextChar">
    <w:name w:val="Comment Text Char"/>
    <w:basedOn w:val="DefaultParagraphFont"/>
    <w:link w:val="CommentText"/>
    <w:rsid w:val="005E1E86"/>
    <w:rPr>
      <w:lang w:val="fr-CH" w:eastAsia="en-US"/>
    </w:rPr>
  </w:style>
  <w:style w:type="paragraph" w:styleId="CommentSubject">
    <w:name w:val="annotation subject"/>
    <w:basedOn w:val="CommentText"/>
    <w:next w:val="CommentText"/>
    <w:link w:val="CommentSubjectChar"/>
    <w:rsid w:val="005E1E86"/>
    <w:rPr>
      <w:b/>
      <w:bCs/>
    </w:rPr>
  </w:style>
  <w:style w:type="character" w:customStyle="1" w:styleId="CommentSubjectChar">
    <w:name w:val="Comment Subject Char"/>
    <w:basedOn w:val="CommentTextChar"/>
    <w:link w:val="CommentSubject"/>
    <w:rsid w:val="005E1E86"/>
    <w:rPr>
      <w:b/>
      <w:bCs/>
      <w:lang w:val="fr-CH" w:eastAsia="en-US"/>
    </w:rPr>
  </w:style>
  <w:style w:type="table" w:styleId="TableGrid">
    <w:name w:val="Table Grid"/>
    <w:basedOn w:val="TableNormal"/>
    <w:rsid w:val="005E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0F7"/>
    <w:pPr>
      <w:suppressAutoHyphens/>
      <w:spacing w:line="240" w:lineRule="atLeast"/>
    </w:pPr>
    <w:rPr>
      <w:lang w:val="fr-CH" w:eastAsia="en-US"/>
    </w:rPr>
  </w:style>
  <w:style w:type="paragraph" w:styleId="Heading1">
    <w:name w:val="heading 1"/>
    <w:aliases w:val="Table_G"/>
    <w:basedOn w:val="SingleTxtG"/>
    <w:next w:val="SingleTxtG"/>
    <w:qFormat/>
    <w:rsid w:val="00217DB9"/>
    <w:pPr>
      <w:keepNext/>
      <w:keepLines/>
      <w:spacing w:after="0" w:line="240" w:lineRule="auto"/>
      <w:ind w:right="0"/>
      <w:jc w:val="left"/>
      <w:outlineLvl w:val="0"/>
    </w:pPr>
  </w:style>
  <w:style w:type="paragraph" w:styleId="Heading2">
    <w:name w:val="heading 2"/>
    <w:basedOn w:val="Normal"/>
    <w:next w:val="Normal"/>
    <w:qFormat/>
    <w:rsid w:val="007D30F7"/>
    <w:pPr>
      <w:outlineLvl w:val="1"/>
    </w:pPr>
  </w:style>
  <w:style w:type="paragraph" w:styleId="Heading3">
    <w:name w:val="heading 3"/>
    <w:basedOn w:val="Normal"/>
    <w:next w:val="Normal"/>
    <w:qFormat/>
    <w:rsid w:val="007D30F7"/>
    <w:pPr>
      <w:outlineLvl w:val="2"/>
    </w:pPr>
  </w:style>
  <w:style w:type="paragraph" w:styleId="Heading4">
    <w:name w:val="heading 4"/>
    <w:basedOn w:val="Normal"/>
    <w:next w:val="Normal"/>
    <w:qFormat/>
    <w:rsid w:val="007D30F7"/>
    <w:pPr>
      <w:outlineLvl w:val="3"/>
    </w:pPr>
  </w:style>
  <w:style w:type="paragraph" w:styleId="Heading5">
    <w:name w:val="heading 5"/>
    <w:basedOn w:val="Normal"/>
    <w:next w:val="Normal"/>
    <w:qFormat/>
    <w:rsid w:val="007D30F7"/>
    <w:pPr>
      <w:outlineLvl w:val="4"/>
    </w:pPr>
  </w:style>
  <w:style w:type="paragraph" w:styleId="Heading6">
    <w:name w:val="heading 6"/>
    <w:basedOn w:val="Normal"/>
    <w:next w:val="Normal"/>
    <w:qFormat/>
    <w:rsid w:val="007D30F7"/>
    <w:pPr>
      <w:outlineLvl w:val="5"/>
    </w:pPr>
  </w:style>
  <w:style w:type="paragraph" w:styleId="Heading7">
    <w:name w:val="heading 7"/>
    <w:basedOn w:val="Normal"/>
    <w:next w:val="Normal"/>
    <w:qFormat/>
    <w:rsid w:val="007D30F7"/>
    <w:pPr>
      <w:outlineLvl w:val="6"/>
    </w:pPr>
  </w:style>
  <w:style w:type="paragraph" w:styleId="Heading8">
    <w:name w:val="heading 8"/>
    <w:basedOn w:val="Normal"/>
    <w:next w:val="Normal"/>
    <w:qFormat/>
    <w:rsid w:val="007D30F7"/>
    <w:pPr>
      <w:outlineLvl w:val="7"/>
    </w:pPr>
  </w:style>
  <w:style w:type="paragraph" w:styleId="Heading9">
    <w:name w:val="heading 9"/>
    <w:basedOn w:val="Normal"/>
    <w:next w:val="Normal"/>
    <w:qFormat/>
    <w:rsid w:val="007D30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D30F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D30F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D30F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D30F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D30F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D30F7"/>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D30F7"/>
    <w:pPr>
      <w:spacing w:after="120"/>
      <w:ind w:left="1134" w:right="1134"/>
      <w:jc w:val="both"/>
    </w:pPr>
  </w:style>
  <w:style w:type="paragraph" w:customStyle="1" w:styleId="SLG">
    <w:name w:val="__S_L_G"/>
    <w:basedOn w:val="Normal"/>
    <w:next w:val="Normal"/>
    <w:rsid w:val="007D30F7"/>
    <w:pPr>
      <w:keepNext/>
      <w:keepLines/>
      <w:spacing w:before="240" w:after="240" w:line="580" w:lineRule="exact"/>
      <w:ind w:left="1134" w:right="1134"/>
    </w:pPr>
    <w:rPr>
      <w:b/>
      <w:sz w:val="56"/>
    </w:rPr>
  </w:style>
  <w:style w:type="paragraph" w:customStyle="1" w:styleId="SMG">
    <w:name w:val="__S_M_G"/>
    <w:basedOn w:val="Normal"/>
    <w:next w:val="Normal"/>
    <w:rsid w:val="007D30F7"/>
    <w:pPr>
      <w:keepNext/>
      <w:keepLines/>
      <w:spacing w:before="240" w:after="240" w:line="420" w:lineRule="exact"/>
      <w:ind w:left="1134" w:right="1134"/>
    </w:pPr>
    <w:rPr>
      <w:b/>
      <w:sz w:val="40"/>
    </w:rPr>
  </w:style>
  <w:style w:type="paragraph" w:customStyle="1" w:styleId="SSG">
    <w:name w:val="__S_S_G"/>
    <w:basedOn w:val="Normal"/>
    <w:next w:val="Normal"/>
    <w:rsid w:val="007D30F7"/>
    <w:pPr>
      <w:keepNext/>
      <w:keepLines/>
      <w:spacing w:before="240" w:after="240" w:line="300" w:lineRule="exact"/>
      <w:ind w:left="1134" w:right="1134"/>
    </w:pPr>
    <w:rPr>
      <w:b/>
      <w:sz w:val="28"/>
    </w:rPr>
  </w:style>
  <w:style w:type="paragraph" w:customStyle="1" w:styleId="XLargeG">
    <w:name w:val="__XLarge_G"/>
    <w:basedOn w:val="Normal"/>
    <w:next w:val="Normal"/>
    <w:rsid w:val="007D30F7"/>
    <w:pPr>
      <w:keepNext/>
      <w:keepLines/>
      <w:spacing w:before="240" w:after="240" w:line="420" w:lineRule="exact"/>
      <w:ind w:left="1134" w:right="1134"/>
    </w:pPr>
    <w:rPr>
      <w:b/>
      <w:sz w:val="40"/>
    </w:rPr>
  </w:style>
  <w:style w:type="paragraph" w:customStyle="1" w:styleId="Bullet1G">
    <w:name w:val="_Bullet 1_G"/>
    <w:basedOn w:val="Normal"/>
    <w:rsid w:val="007D30F7"/>
    <w:pPr>
      <w:numPr>
        <w:numId w:val="18"/>
      </w:numPr>
      <w:spacing w:after="120"/>
      <w:ind w:right="1134"/>
      <w:jc w:val="both"/>
    </w:pPr>
  </w:style>
  <w:style w:type="paragraph" w:customStyle="1" w:styleId="Bullet2G">
    <w:name w:val="_Bullet 2_G"/>
    <w:basedOn w:val="Normal"/>
    <w:rsid w:val="007D30F7"/>
    <w:pPr>
      <w:numPr>
        <w:numId w:val="19"/>
      </w:numPr>
      <w:spacing w:after="120"/>
      <w:ind w:right="1134"/>
      <w:jc w:val="both"/>
    </w:pPr>
  </w:style>
  <w:style w:type="character" w:styleId="FootnoteReference">
    <w:name w:val="footnote reference"/>
    <w:aliases w:val="4_G"/>
    <w:rsid w:val="007D30F7"/>
    <w:rPr>
      <w:rFonts w:ascii="Times New Roman" w:hAnsi="Times New Roman"/>
      <w:sz w:val="18"/>
      <w:vertAlign w:val="superscript"/>
      <w:lang w:val="fr-CH"/>
    </w:rPr>
  </w:style>
  <w:style w:type="character" w:styleId="EndnoteReference">
    <w:name w:val="endnote reference"/>
    <w:aliases w:val="1_G"/>
    <w:basedOn w:val="FootnoteReference"/>
    <w:rsid w:val="007D30F7"/>
    <w:rPr>
      <w:rFonts w:ascii="Times New Roman" w:hAnsi="Times New Roman"/>
      <w:sz w:val="18"/>
      <w:vertAlign w:val="superscript"/>
      <w:lang w:val="fr-CH"/>
    </w:rPr>
  </w:style>
  <w:style w:type="paragraph" w:styleId="Header">
    <w:name w:val="header"/>
    <w:aliases w:val="6_G"/>
    <w:basedOn w:val="Normal"/>
    <w:next w:val="Normal"/>
    <w:rsid w:val="007D30F7"/>
    <w:pPr>
      <w:pBdr>
        <w:bottom w:val="single" w:sz="4" w:space="4" w:color="auto"/>
      </w:pBdr>
      <w:spacing w:line="240" w:lineRule="auto"/>
    </w:pPr>
    <w:rPr>
      <w:b/>
      <w:sz w:val="18"/>
    </w:rPr>
  </w:style>
  <w:style w:type="paragraph" w:styleId="FootnoteText">
    <w:name w:val="footnote text"/>
    <w:aliases w:val="5_G"/>
    <w:basedOn w:val="Normal"/>
    <w:rsid w:val="00F22103"/>
    <w:pPr>
      <w:tabs>
        <w:tab w:val="right" w:pos="1021"/>
      </w:tabs>
      <w:spacing w:line="220" w:lineRule="exact"/>
      <w:ind w:left="1134" w:right="1134" w:hanging="1134"/>
    </w:pPr>
    <w:rPr>
      <w:sz w:val="18"/>
    </w:rPr>
  </w:style>
  <w:style w:type="paragraph" w:styleId="EndnoteText">
    <w:name w:val="endnote text"/>
    <w:aliases w:val="2_G"/>
    <w:basedOn w:val="FootnoteText"/>
    <w:rsid w:val="00F22103"/>
  </w:style>
  <w:style w:type="character" w:styleId="PageNumber">
    <w:name w:val="page number"/>
    <w:aliases w:val="7_G"/>
    <w:rsid w:val="007D30F7"/>
    <w:rPr>
      <w:rFonts w:ascii="Times New Roman" w:hAnsi="Times New Roman"/>
      <w:b/>
      <w:sz w:val="18"/>
      <w:lang w:val="fr-CH"/>
    </w:rPr>
  </w:style>
  <w:style w:type="paragraph" w:styleId="Footer">
    <w:name w:val="footer"/>
    <w:aliases w:val="3_G"/>
    <w:basedOn w:val="Normal"/>
    <w:next w:val="Normal"/>
    <w:rsid w:val="007D30F7"/>
    <w:pPr>
      <w:spacing w:line="240" w:lineRule="auto"/>
    </w:pPr>
    <w:rPr>
      <w:sz w:val="16"/>
    </w:rPr>
  </w:style>
  <w:style w:type="character" w:styleId="Hyperlink">
    <w:name w:val="Hyperlink"/>
    <w:rsid w:val="00503619"/>
    <w:rPr>
      <w:color w:val="auto"/>
      <w:u w:val="none"/>
    </w:rPr>
  </w:style>
  <w:style w:type="character" w:styleId="FollowedHyperlink">
    <w:name w:val="FollowedHyperlink"/>
    <w:rsid w:val="00503619"/>
    <w:rPr>
      <w:color w:val="auto"/>
      <w:u w:val="none"/>
    </w:rPr>
  </w:style>
  <w:style w:type="character" w:styleId="Emphasis">
    <w:name w:val="Emphasis"/>
    <w:qFormat/>
    <w:rsid w:val="00A83FC0"/>
    <w:rPr>
      <w:i/>
      <w:iCs/>
    </w:rPr>
  </w:style>
  <w:style w:type="paragraph" w:styleId="BalloonText">
    <w:name w:val="Balloon Text"/>
    <w:basedOn w:val="Normal"/>
    <w:link w:val="BalloonTextChar"/>
    <w:rsid w:val="003A190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1902"/>
    <w:rPr>
      <w:rFonts w:ascii="Tahoma" w:hAnsi="Tahoma" w:cs="Tahoma"/>
      <w:sz w:val="16"/>
      <w:szCs w:val="16"/>
      <w:lang w:val="fr-CH" w:eastAsia="en-US"/>
    </w:rPr>
  </w:style>
  <w:style w:type="character" w:styleId="CommentReference">
    <w:name w:val="annotation reference"/>
    <w:basedOn w:val="DefaultParagraphFont"/>
    <w:rsid w:val="005E1E86"/>
    <w:rPr>
      <w:sz w:val="16"/>
      <w:szCs w:val="16"/>
    </w:rPr>
  </w:style>
  <w:style w:type="paragraph" w:styleId="CommentText">
    <w:name w:val="annotation text"/>
    <w:basedOn w:val="Normal"/>
    <w:link w:val="CommentTextChar"/>
    <w:rsid w:val="005E1E86"/>
    <w:pPr>
      <w:spacing w:line="240" w:lineRule="auto"/>
    </w:pPr>
  </w:style>
  <w:style w:type="character" w:customStyle="1" w:styleId="CommentTextChar">
    <w:name w:val="Comment Text Char"/>
    <w:basedOn w:val="DefaultParagraphFont"/>
    <w:link w:val="CommentText"/>
    <w:rsid w:val="005E1E86"/>
    <w:rPr>
      <w:lang w:val="fr-CH" w:eastAsia="en-US"/>
    </w:rPr>
  </w:style>
  <w:style w:type="paragraph" w:styleId="CommentSubject">
    <w:name w:val="annotation subject"/>
    <w:basedOn w:val="CommentText"/>
    <w:next w:val="CommentText"/>
    <w:link w:val="CommentSubjectChar"/>
    <w:rsid w:val="005E1E86"/>
    <w:rPr>
      <w:b/>
      <w:bCs/>
    </w:rPr>
  </w:style>
  <w:style w:type="character" w:customStyle="1" w:styleId="CommentSubjectChar">
    <w:name w:val="Comment Subject Char"/>
    <w:basedOn w:val="CommentTextChar"/>
    <w:link w:val="CommentSubject"/>
    <w:rsid w:val="005E1E86"/>
    <w:rPr>
      <w:b/>
      <w:bCs/>
      <w:lang w:val="fr-CH" w:eastAsia="en-US"/>
    </w:rPr>
  </w:style>
  <w:style w:type="table" w:styleId="TableGrid">
    <w:name w:val="Table Grid"/>
    <w:basedOn w:val="TableNormal"/>
    <w:rsid w:val="005E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50137">
      <w:bodyDiv w:val="1"/>
      <w:marLeft w:val="0"/>
      <w:marRight w:val="0"/>
      <w:marTop w:val="0"/>
      <w:marBottom w:val="0"/>
      <w:divBdr>
        <w:top w:val="none" w:sz="0" w:space="0" w:color="auto"/>
        <w:left w:val="none" w:sz="0" w:space="0" w:color="auto"/>
        <w:bottom w:val="none" w:sz="0" w:space="0" w:color="auto"/>
        <w:right w:val="none" w:sz="0" w:space="0" w:color="auto"/>
      </w:divBdr>
      <w:divsChild>
        <w:div w:id="2010331232">
          <w:marLeft w:val="0"/>
          <w:marRight w:val="0"/>
          <w:marTop w:val="0"/>
          <w:marBottom w:val="0"/>
          <w:divBdr>
            <w:top w:val="single" w:sz="6" w:space="0" w:color="333333"/>
            <w:left w:val="single" w:sz="6" w:space="0" w:color="333333"/>
            <w:bottom w:val="single" w:sz="6" w:space="0" w:color="333333"/>
            <w:right w:val="single" w:sz="6" w:space="0" w:color="333333"/>
          </w:divBdr>
          <w:divsChild>
            <w:div w:id="1370304712">
              <w:marLeft w:val="0"/>
              <w:marRight w:val="0"/>
              <w:marTop w:val="0"/>
              <w:marBottom w:val="0"/>
              <w:divBdr>
                <w:top w:val="none" w:sz="0" w:space="0" w:color="auto"/>
                <w:left w:val="none" w:sz="0" w:space="0" w:color="auto"/>
                <w:bottom w:val="none" w:sz="0" w:space="0" w:color="auto"/>
                <w:right w:val="none" w:sz="0" w:space="0" w:color="auto"/>
              </w:divBdr>
              <w:divsChild>
                <w:div w:id="3431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08C22-A37F-442B-A772-2C344915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1689</Words>
  <Characters>9583</Characters>
  <Application>Microsoft Office Word</Application>
  <DocSecurity>0</DocSecurity>
  <Lines>532</Lines>
  <Paragraphs>225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A/HRC/21/L.4</vt:lpstr>
      <vt:lpstr>A/HRC/21/L.4</vt:lpstr>
    </vt:vector>
  </TitlesOfParts>
  <Company>CSD</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A/HRC/21/L.4</dc:title>
  <dc:creator>D. Toutain</dc:creator>
  <cp:lastModifiedBy>Chautagnat</cp:lastModifiedBy>
  <cp:revision>3</cp:revision>
  <cp:lastPrinted>2015-07-02T08:53:00Z</cp:lastPrinted>
  <dcterms:created xsi:type="dcterms:W3CDTF">2015-07-02T08:53:00Z</dcterms:created>
  <dcterms:modified xsi:type="dcterms:W3CDTF">2015-07-02T08:53:00Z</dcterms:modified>
</cp:coreProperties>
</file>