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C435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C435B" w:rsidP="006C435B">
            <w:pPr>
              <w:jc w:val="right"/>
            </w:pPr>
            <w:r w:rsidRPr="006C435B">
              <w:rPr>
                <w:sz w:val="40"/>
              </w:rPr>
              <w:t>A</w:t>
            </w:r>
            <w:r>
              <w:t>/HRC/34/L.39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C435B" w:rsidP="00E6618E">
            <w:pPr>
              <w:spacing w:before="240"/>
            </w:pPr>
            <w:r>
              <w:t>Distr. limitée</w:t>
            </w:r>
          </w:p>
          <w:p w:rsidR="006C435B" w:rsidRDefault="006C435B" w:rsidP="006C435B">
            <w:pPr>
              <w:spacing w:line="240" w:lineRule="exact"/>
            </w:pPr>
            <w:r>
              <w:t>21 mars 2017</w:t>
            </w:r>
          </w:p>
          <w:p w:rsidR="006C435B" w:rsidRDefault="006C435B" w:rsidP="006C435B">
            <w:pPr>
              <w:spacing w:line="240" w:lineRule="exact"/>
            </w:pPr>
            <w:r>
              <w:t>Français</w:t>
            </w:r>
          </w:p>
          <w:p w:rsidR="006C435B" w:rsidRPr="00DB58B5" w:rsidRDefault="006C435B" w:rsidP="006C435B">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6C435B" w:rsidRPr="00E50532" w:rsidRDefault="006C435B" w:rsidP="00710BD6">
      <w:pPr>
        <w:rPr>
          <w:b/>
        </w:rPr>
      </w:pPr>
      <w:r>
        <w:rPr>
          <w:b/>
        </w:rPr>
        <w:t>Trente-quatrième</w:t>
      </w:r>
      <w:r w:rsidR="00C138CD">
        <w:rPr>
          <w:b/>
        </w:rPr>
        <w:t> </w:t>
      </w:r>
      <w:r w:rsidRPr="00E50532">
        <w:rPr>
          <w:b/>
        </w:rPr>
        <w:t>session</w:t>
      </w:r>
    </w:p>
    <w:p w:rsidR="00F601A6" w:rsidRDefault="009122DA" w:rsidP="00710BD6">
      <w:r>
        <w:rPr>
          <w:lang w:val="fr-FR"/>
        </w:rPr>
        <w:t>27 </w:t>
      </w:r>
      <w:r w:rsidR="00F601A6">
        <w:rPr>
          <w:lang w:val="fr-FR"/>
        </w:rPr>
        <w:t>février</w:t>
      </w:r>
      <w:r w:rsidR="00F601A6">
        <w:rPr>
          <w:lang w:val="fr-FR"/>
        </w:rPr>
        <w:noBreakHyphen/>
      </w:r>
      <w:r>
        <w:rPr>
          <w:lang w:val="fr-FR"/>
        </w:rPr>
        <w:t>24 </w:t>
      </w:r>
      <w:r w:rsidR="00F601A6">
        <w:rPr>
          <w:lang w:val="fr-FR"/>
        </w:rPr>
        <w:t>mars 2017</w:t>
      </w:r>
    </w:p>
    <w:p w:rsidR="006C435B" w:rsidRDefault="00E204C6" w:rsidP="00710BD6">
      <w:r>
        <w:t>Point 7</w:t>
      </w:r>
      <w:r w:rsidR="006C435B" w:rsidRPr="00E50532">
        <w:t xml:space="preserve"> de l’ordre du jour</w:t>
      </w:r>
    </w:p>
    <w:p w:rsidR="006C435B" w:rsidRPr="00752753" w:rsidRDefault="00752753" w:rsidP="00710BD6">
      <w:pPr>
        <w:rPr>
          <w:b/>
        </w:rPr>
      </w:pPr>
      <w:r w:rsidRPr="00752753">
        <w:rPr>
          <w:b/>
          <w:lang w:val="fr-FR"/>
        </w:rPr>
        <w:t xml:space="preserve">Situation des droits de l’homme en Palestine </w:t>
      </w:r>
      <w:r>
        <w:rPr>
          <w:b/>
          <w:lang w:val="fr-FR"/>
        </w:rPr>
        <w:br/>
      </w:r>
      <w:r w:rsidRPr="00752753">
        <w:rPr>
          <w:b/>
          <w:lang w:val="fr-FR"/>
        </w:rPr>
        <w:t>et dans les autres territoires arabes occupés</w:t>
      </w:r>
    </w:p>
    <w:p w:rsidR="006C435B" w:rsidRDefault="006C435B" w:rsidP="00710BD6">
      <w:pPr>
        <w:pStyle w:val="H23G"/>
      </w:pPr>
      <w:r>
        <w:tab/>
      </w:r>
      <w:r>
        <w:tab/>
      </w:r>
      <w:r w:rsidR="00752753">
        <w:rPr>
          <w:lang w:val="fr-FR"/>
        </w:rPr>
        <w:t>Bahreïn</w:t>
      </w:r>
      <w:r w:rsidR="00752753" w:rsidRPr="0002125D">
        <w:rPr>
          <w:rStyle w:val="Appelnotedebasdep"/>
          <w:b w:val="0"/>
          <w:vertAlign w:val="baseline"/>
        </w:rPr>
        <w:footnoteReference w:customMarkFollows="1" w:id="2"/>
        <w:t>*</w:t>
      </w:r>
      <w:r w:rsidR="00752753" w:rsidRPr="00752753">
        <w:rPr>
          <w:rStyle w:val="Appelnotedebasdep"/>
          <w:b w:val="0"/>
        </w:rPr>
        <w:t xml:space="preserve">, </w:t>
      </w:r>
      <w:r w:rsidR="00752753" w:rsidRPr="00752753">
        <w:rPr>
          <w:rStyle w:val="Appelnotedebasdep"/>
          <w:b w:val="0"/>
        </w:rPr>
        <w:footnoteReference w:customMarkFollows="1" w:id="3"/>
        <w:t>†</w:t>
      </w:r>
      <w:r w:rsidR="008E41B8" w:rsidRPr="008E41B8">
        <w:rPr>
          <w:rStyle w:val="Appelnotedebasdep"/>
          <w:vertAlign w:val="baseline"/>
          <w:lang w:val="fr-FR"/>
        </w:rPr>
        <w:t>,</w:t>
      </w:r>
      <w:r w:rsidR="00752753">
        <w:rPr>
          <w:lang w:val="fr-FR"/>
        </w:rPr>
        <w:t xml:space="preserve"> Bangladesh, Bolivie (État </w:t>
      </w:r>
      <w:r w:rsidR="0002125D">
        <w:rPr>
          <w:lang w:val="fr-FR"/>
        </w:rPr>
        <w:t xml:space="preserve">plurinational </w:t>
      </w:r>
      <w:r w:rsidR="00752753">
        <w:rPr>
          <w:lang w:val="fr-FR"/>
        </w:rPr>
        <w:t>de), Chili</w:t>
      </w:r>
      <w:r w:rsidR="00752753" w:rsidRPr="0002125D">
        <w:rPr>
          <w:rStyle w:val="Appelnotedebasdep"/>
          <w:b w:val="0"/>
          <w:vertAlign w:val="baseline"/>
        </w:rPr>
        <w:t>*</w:t>
      </w:r>
      <w:r w:rsidR="00090307" w:rsidRPr="00104974">
        <w:rPr>
          <w:lang w:val="fr-FR"/>
        </w:rPr>
        <w:t>, Cuba</w:t>
      </w:r>
      <w:r w:rsidR="00090307">
        <w:rPr>
          <w:lang w:val="fr-FR"/>
        </w:rPr>
        <w:t>, État de </w:t>
      </w:r>
      <w:r w:rsidR="00752753">
        <w:rPr>
          <w:lang w:val="fr-FR"/>
        </w:rPr>
        <w:t>Palestine</w:t>
      </w:r>
      <w:r w:rsidR="00752753" w:rsidRPr="0002125D">
        <w:rPr>
          <w:rStyle w:val="Appelnotedebasdep"/>
          <w:b w:val="0"/>
          <w:vertAlign w:val="baseline"/>
        </w:rPr>
        <w:t>*</w:t>
      </w:r>
      <w:r w:rsidR="00752753">
        <w:rPr>
          <w:lang w:val="fr-FR"/>
        </w:rPr>
        <w:t>, Iraq</w:t>
      </w:r>
      <w:r w:rsidR="00752753" w:rsidRPr="00AC1406">
        <w:rPr>
          <w:rStyle w:val="Appelnotedebasdep"/>
          <w:b w:val="0"/>
        </w:rPr>
        <w:footnoteReference w:customMarkFollows="1" w:id="4"/>
        <w:t>‡</w:t>
      </w:r>
      <w:r w:rsidR="00752753">
        <w:rPr>
          <w:lang w:val="fr-FR"/>
        </w:rPr>
        <w:t>, Maldives</w:t>
      </w:r>
      <w:r w:rsidR="00752753" w:rsidRPr="0002125D">
        <w:rPr>
          <w:rStyle w:val="Appelnotedebasdep"/>
          <w:b w:val="0"/>
          <w:vertAlign w:val="baseline"/>
        </w:rPr>
        <w:t>*</w:t>
      </w:r>
      <w:r w:rsidR="00752753">
        <w:rPr>
          <w:lang w:val="fr-FR"/>
        </w:rPr>
        <w:t>, Namibie</w:t>
      </w:r>
      <w:r w:rsidR="00752753" w:rsidRPr="0002125D">
        <w:rPr>
          <w:rStyle w:val="Appelnotedebasdep"/>
          <w:b w:val="0"/>
          <w:vertAlign w:val="baseline"/>
        </w:rPr>
        <w:t>*</w:t>
      </w:r>
      <w:r w:rsidR="00752753">
        <w:rPr>
          <w:lang w:val="fr-FR"/>
        </w:rPr>
        <w:t>, Nicaragua</w:t>
      </w:r>
      <w:r w:rsidR="00752753" w:rsidRPr="0002125D">
        <w:rPr>
          <w:rStyle w:val="Appelnotedebasdep"/>
          <w:b w:val="0"/>
          <w:vertAlign w:val="baseline"/>
        </w:rPr>
        <w:t>*</w:t>
      </w:r>
      <w:r w:rsidR="00752753">
        <w:rPr>
          <w:lang w:val="fr-FR"/>
        </w:rPr>
        <w:t>, Pakistan</w:t>
      </w:r>
      <w:r w:rsidR="00752753" w:rsidRPr="0002125D">
        <w:rPr>
          <w:rStyle w:val="Appelnotedebasdep"/>
          <w:b w:val="0"/>
          <w:vertAlign w:val="baseline"/>
        </w:rPr>
        <w:t>*</w:t>
      </w:r>
      <w:r w:rsidR="00752753" w:rsidRPr="0002125D">
        <w:rPr>
          <w:b w:val="0"/>
          <w:vertAlign w:val="superscript"/>
          <w:lang w:val="fr-FR"/>
        </w:rPr>
        <w:t>,</w:t>
      </w:r>
      <w:r w:rsidR="00752753" w:rsidRPr="0065063D">
        <w:rPr>
          <w:b w:val="0"/>
          <w:vertAlign w:val="superscript"/>
          <w:lang w:val="fr-FR"/>
        </w:rPr>
        <w:t xml:space="preserve"> </w:t>
      </w:r>
      <w:r w:rsidR="00752753" w:rsidRPr="004313A6">
        <w:rPr>
          <w:rStyle w:val="Appelnotedebasdep"/>
          <w:b w:val="0"/>
        </w:rPr>
        <w:footnoteReference w:customMarkFollows="1" w:id="5"/>
        <w:t>§</w:t>
      </w:r>
      <w:r w:rsidR="00752753">
        <w:rPr>
          <w:lang w:val="fr-FR"/>
        </w:rPr>
        <w:t>, Venezuela (République bolivarienne du), Zimbabwe</w:t>
      </w:r>
      <w:r w:rsidR="00752753" w:rsidRPr="0002125D">
        <w:rPr>
          <w:rStyle w:val="Appelnotedebasdep"/>
          <w:b w:val="0"/>
          <w:vertAlign w:val="baseline"/>
        </w:rPr>
        <w:t>*</w:t>
      </w:r>
      <w:r w:rsidR="00BD31E9">
        <w:rPr>
          <w:lang w:val="fr-FR"/>
        </w:rPr>
        <w:t> </w:t>
      </w:r>
      <w:r w:rsidR="00752753">
        <w:rPr>
          <w:lang w:val="fr-FR"/>
        </w:rPr>
        <w:t>: projet de résolution</w:t>
      </w:r>
    </w:p>
    <w:p w:rsidR="00552797" w:rsidRDefault="002A3860" w:rsidP="004B64CF">
      <w:pPr>
        <w:pStyle w:val="H1G"/>
        <w:tabs>
          <w:tab w:val="left" w:pos="1778"/>
        </w:tabs>
      </w:pPr>
      <w:r>
        <w:tab/>
      </w:r>
      <w:r>
        <w:tab/>
      </w:r>
      <w:r w:rsidR="00932886">
        <w:t>34/…</w:t>
      </w:r>
      <w:r w:rsidR="00E013CD">
        <w:tab/>
      </w:r>
      <w:r w:rsidR="00932886">
        <w:t>Droit</w:t>
      </w:r>
      <w:r w:rsidRPr="002A3860">
        <w:t xml:space="preserve"> du peuple palestinien à l’autodétermination</w:t>
      </w:r>
    </w:p>
    <w:p w:rsidR="002A3860" w:rsidRDefault="002A3860" w:rsidP="00450274">
      <w:pPr>
        <w:pStyle w:val="SingleTxtG"/>
        <w:ind w:firstLine="567"/>
        <w:rPr>
          <w:lang w:val="fr-FR"/>
        </w:rPr>
      </w:pPr>
      <w:r w:rsidRPr="00450274">
        <w:rPr>
          <w:i/>
        </w:rPr>
        <w:t>Le Conseil des droits de l’homme</w:t>
      </w:r>
      <w:r>
        <w:rPr>
          <w:lang w:val="fr-FR"/>
        </w:rPr>
        <w:t>,</w:t>
      </w:r>
    </w:p>
    <w:p w:rsidR="002A3860" w:rsidRDefault="002A3860" w:rsidP="002A3860">
      <w:pPr>
        <w:pStyle w:val="SingleTxtG"/>
        <w:ind w:firstLine="567"/>
        <w:rPr>
          <w:lang w:val="fr-FR"/>
        </w:rPr>
      </w:pPr>
      <w:r w:rsidRPr="009D7B1C">
        <w:rPr>
          <w:i/>
          <w:lang w:val="fr-FR"/>
        </w:rPr>
        <w:t>S</w:t>
      </w:r>
      <w:r>
        <w:rPr>
          <w:i/>
          <w:lang w:val="fr-FR"/>
        </w:rPr>
        <w:t>’</w:t>
      </w:r>
      <w:r w:rsidRPr="009D7B1C">
        <w:rPr>
          <w:i/>
          <w:lang w:val="fr-FR"/>
        </w:rPr>
        <w:t>inspirant</w:t>
      </w:r>
      <w:r>
        <w:rPr>
          <w:lang w:val="fr-FR"/>
        </w:rPr>
        <w:t xml:space="preserve"> des buts et des pri</w:t>
      </w:r>
      <w:r w:rsidR="000E12CE">
        <w:rPr>
          <w:lang w:val="fr-FR"/>
        </w:rPr>
        <w:t>ncipes de la Charte des Nations </w:t>
      </w:r>
      <w:r>
        <w:rPr>
          <w:lang w:val="fr-FR"/>
        </w:rPr>
        <w:t>Unies, notamment d</w:t>
      </w:r>
      <w:r w:rsidR="00195F21">
        <w:rPr>
          <w:lang w:val="fr-FR"/>
        </w:rPr>
        <w:t>es dispositions de ses Articles </w:t>
      </w:r>
      <w:r>
        <w:rPr>
          <w:lang w:val="fr-FR"/>
        </w:rPr>
        <w:t>1 et 55, qui affirment le droit des peuples à disposer d’eux</w:t>
      </w:r>
      <w:r w:rsidR="00A574E8">
        <w:rPr>
          <w:lang w:val="fr-FR"/>
        </w:rPr>
        <w:noBreakHyphen/>
      </w:r>
      <w:r>
        <w:rPr>
          <w:lang w:val="fr-FR"/>
        </w:rPr>
        <w:t>mêmes, et réaffirmant la nécessité de respecter scrupuleusement le principe du non</w:t>
      </w:r>
      <w:r w:rsidR="0098217B">
        <w:rPr>
          <w:lang w:val="fr-FR"/>
        </w:rPr>
        <w:noBreakHyphen/>
      </w:r>
      <w:r>
        <w:rPr>
          <w:lang w:val="fr-FR"/>
        </w:rPr>
        <w:t>recours, dans les relations internationales, à la menace ou à l’emploi de la force, qui est consacré dans la Déclaration relative aux principes du droit international touchant les relations amicales et la coopération entre les États confo</w:t>
      </w:r>
      <w:r w:rsidR="00E263B4">
        <w:rPr>
          <w:lang w:val="fr-FR"/>
        </w:rPr>
        <w:t>rmément à la Charte des </w:t>
      </w:r>
      <w:r w:rsidR="007866B9">
        <w:rPr>
          <w:lang w:val="fr-FR"/>
        </w:rPr>
        <w:t>Nations </w:t>
      </w:r>
      <w:r>
        <w:rPr>
          <w:lang w:val="fr-FR"/>
        </w:rPr>
        <w:t>Unies, adoptée par l’Assemblée générale dans sa résol</w:t>
      </w:r>
      <w:r w:rsidR="002F4743">
        <w:rPr>
          <w:lang w:val="fr-FR"/>
        </w:rPr>
        <w:t>ution</w:t>
      </w:r>
      <w:r w:rsidR="0019005A">
        <w:rPr>
          <w:lang w:val="fr-FR"/>
        </w:rPr>
        <w:t xml:space="preserve"> </w:t>
      </w:r>
      <w:r w:rsidR="001B155B">
        <w:rPr>
          <w:lang w:val="fr-FR"/>
        </w:rPr>
        <w:t>2625 </w:t>
      </w:r>
      <w:r w:rsidR="00CC65DA">
        <w:rPr>
          <w:lang w:val="fr-FR"/>
        </w:rPr>
        <w:t>(XXV), en date du 24 </w:t>
      </w:r>
      <w:r>
        <w:rPr>
          <w:lang w:val="fr-FR"/>
        </w:rPr>
        <w:t>octobre 1970, et affirmant que l’acquisition de territoires résultant du recours à la menace ou à l’emploi de la force est inadmissible,</w:t>
      </w:r>
    </w:p>
    <w:p w:rsidR="002A3860" w:rsidRDefault="002A3860" w:rsidP="002A3860">
      <w:pPr>
        <w:pStyle w:val="SingleTxtG"/>
        <w:ind w:firstLine="567"/>
        <w:rPr>
          <w:lang w:val="fr-FR"/>
        </w:rPr>
      </w:pPr>
      <w:r w:rsidRPr="009D7B1C">
        <w:rPr>
          <w:i/>
          <w:lang w:val="fr-FR"/>
        </w:rPr>
        <w:t>S</w:t>
      </w:r>
      <w:r>
        <w:rPr>
          <w:i/>
          <w:lang w:val="fr-FR"/>
        </w:rPr>
        <w:t>’</w:t>
      </w:r>
      <w:r w:rsidRPr="009D7B1C">
        <w:rPr>
          <w:i/>
          <w:lang w:val="fr-FR"/>
        </w:rPr>
        <w:t>inspirant</w:t>
      </w:r>
      <w:r>
        <w:rPr>
          <w:lang w:val="fr-FR"/>
        </w:rPr>
        <w:t xml:space="preserve"> </w:t>
      </w:r>
      <w:r w:rsidRPr="009D7B1C">
        <w:rPr>
          <w:i/>
          <w:lang w:val="fr-FR"/>
        </w:rPr>
        <w:t>également</w:t>
      </w:r>
      <w:r>
        <w:rPr>
          <w:lang w:val="fr-FR"/>
        </w:rPr>
        <w:t xml:space="preserve"> des disposition</w:t>
      </w:r>
      <w:r w:rsidR="00210614">
        <w:rPr>
          <w:lang w:val="fr-FR"/>
        </w:rPr>
        <w:t xml:space="preserve">s de l’article premier du Pacte </w:t>
      </w:r>
      <w:r>
        <w:rPr>
          <w:lang w:val="fr-FR"/>
        </w:rPr>
        <w:t>international relatif aux droits économiques, sociaux et culturels et de l’article premier du Pacte international relatif aux droits civils et politiques, qui affirment le droit de tous les peuples à disposer d’eux-mêmes,</w:t>
      </w:r>
    </w:p>
    <w:p w:rsidR="002A3860" w:rsidRDefault="002A3860" w:rsidP="002A3860">
      <w:pPr>
        <w:pStyle w:val="SingleTxtG"/>
        <w:ind w:firstLine="567"/>
        <w:rPr>
          <w:lang w:val="fr-FR"/>
        </w:rPr>
      </w:pPr>
      <w:r w:rsidRPr="009D7B1C">
        <w:rPr>
          <w:i/>
          <w:lang w:val="fr-FR"/>
        </w:rPr>
        <w:t>S</w:t>
      </w:r>
      <w:r>
        <w:rPr>
          <w:i/>
          <w:lang w:val="fr-FR"/>
        </w:rPr>
        <w:t>’</w:t>
      </w:r>
      <w:r w:rsidRPr="009D7B1C">
        <w:rPr>
          <w:i/>
          <w:lang w:val="fr-FR"/>
        </w:rPr>
        <w:t>inspirant en outre</w:t>
      </w:r>
      <w:r>
        <w:rPr>
          <w:lang w:val="fr-FR"/>
        </w:rPr>
        <w:t xml:space="preserve"> des Pactes internationaux relatifs aux droits de l’homme, de la</w:t>
      </w:r>
      <w:r w:rsidR="00224F31">
        <w:rPr>
          <w:lang w:val="fr-FR"/>
        </w:rPr>
        <w:t> </w:t>
      </w:r>
      <w:r>
        <w:rPr>
          <w:lang w:val="fr-FR"/>
        </w:rPr>
        <w:t>Déclaration universelle des droits de l’homme et de la Déclaration sur l’octroi de l’indépendance aux pays et aux peuples coloniaux, en particulier son article premier, ainsi que des dispositions de la Déclaration et du Programme d’</w:t>
      </w:r>
      <w:r w:rsidR="00593095">
        <w:rPr>
          <w:lang w:val="fr-FR"/>
        </w:rPr>
        <w:t>action de Vienne adoptés le 25 </w:t>
      </w:r>
      <w:r>
        <w:rPr>
          <w:lang w:val="fr-FR"/>
        </w:rPr>
        <w:t>juin 1993 par la Conférence mondiale sur les droits de l’homme</w:t>
      </w:r>
      <w:r w:rsidRPr="00812910">
        <w:rPr>
          <w:rStyle w:val="Appelnotedebasdep"/>
        </w:rPr>
        <w:footnoteReference w:id="6"/>
      </w:r>
      <w:r>
        <w:rPr>
          <w:lang w:val="fr-FR"/>
        </w:rPr>
        <w:t>, en partic</w:t>
      </w:r>
      <w:r w:rsidR="00744FD5">
        <w:rPr>
          <w:lang w:val="fr-FR"/>
        </w:rPr>
        <w:t>ulier des paragraphes </w:t>
      </w:r>
      <w:r w:rsidR="00E528AD">
        <w:rPr>
          <w:lang w:val="fr-FR"/>
        </w:rPr>
        <w:t>2 et 3 de la section </w:t>
      </w:r>
      <w:r w:rsidR="00210614">
        <w:rPr>
          <w:lang w:val="fr-FR"/>
        </w:rPr>
        <w:t>1</w:t>
      </w:r>
      <w:r>
        <w:rPr>
          <w:lang w:val="fr-FR"/>
        </w:rPr>
        <w:t>, consacrés au droit de tous les peuples, en particulier des peuples assujettis à l’occupation étrangère, à disposer d’eux</w:t>
      </w:r>
      <w:r w:rsidR="004455A6">
        <w:rPr>
          <w:lang w:val="fr-FR"/>
        </w:rPr>
        <w:noBreakHyphen/>
      </w:r>
      <w:r>
        <w:rPr>
          <w:lang w:val="fr-FR"/>
        </w:rPr>
        <w:t>mêmes,</w:t>
      </w:r>
    </w:p>
    <w:p w:rsidR="002A3860" w:rsidRDefault="002A3860" w:rsidP="002A3860">
      <w:pPr>
        <w:pStyle w:val="SingleTxtG"/>
        <w:ind w:firstLine="567"/>
        <w:rPr>
          <w:lang w:val="fr-FR"/>
        </w:rPr>
      </w:pPr>
      <w:r w:rsidRPr="009D7B1C">
        <w:rPr>
          <w:i/>
          <w:lang w:val="fr-FR"/>
        </w:rPr>
        <w:lastRenderedPageBreak/>
        <w:t>Rappelant</w:t>
      </w:r>
      <w:r w:rsidR="00A068FB">
        <w:rPr>
          <w:lang w:val="fr-FR"/>
        </w:rPr>
        <w:t xml:space="preserve"> les résolutions</w:t>
      </w:r>
      <w:r w:rsidR="0019005A">
        <w:rPr>
          <w:lang w:val="fr-FR"/>
        </w:rPr>
        <w:t xml:space="preserve"> </w:t>
      </w:r>
      <w:r w:rsidR="00EE72AC">
        <w:rPr>
          <w:lang w:val="fr-FR"/>
        </w:rPr>
        <w:t>181 </w:t>
      </w:r>
      <w:r w:rsidR="00210614">
        <w:rPr>
          <w:lang w:val="fr-FR"/>
        </w:rPr>
        <w:t>A et B </w:t>
      </w:r>
      <w:r w:rsidR="00A14565">
        <w:rPr>
          <w:lang w:val="fr-FR"/>
        </w:rPr>
        <w:t>(II) et 194 </w:t>
      </w:r>
      <w:r>
        <w:rPr>
          <w:lang w:val="fr-FR"/>
        </w:rPr>
        <w:t>(III) de l’Assemblée générale, e</w:t>
      </w:r>
      <w:r w:rsidR="00D253D8">
        <w:rPr>
          <w:lang w:val="fr-FR"/>
        </w:rPr>
        <w:t>n date respectivement du 29 </w:t>
      </w:r>
      <w:r w:rsidR="005920A3">
        <w:rPr>
          <w:lang w:val="fr-FR"/>
        </w:rPr>
        <w:t>novembre 1947 et du 11 </w:t>
      </w:r>
      <w:r>
        <w:rPr>
          <w:lang w:val="fr-FR"/>
        </w:rPr>
        <w:t>décembre 1948, ainsi que toutes les autres résolutions pertinentes de l’Organisation des Nations Unies, notamment celles adoptées par l’Assemblée générale, la Commission des droits de l’homme et le Conseil des droits de l’homme, qui confirment et définissent les droits inaliénables du peuple palestinien, en particulier son droit à disposer de lui-même,</w:t>
      </w:r>
    </w:p>
    <w:p w:rsidR="002A3860" w:rsidRDefault="002A3860" w:rsidP="002A3860">
      <w:pPr>
        <w:pStyle w:val="SingleTxtG"/>
        <w:ind w:firstLine="567"/>
        <w:rPr>
          <w:lang w:val="fr-FR"/>
        </w:rPr>
      </w:pPr>
      <w:r w:rsidRPr="009D7B1C">
        <w:rPr>
          <w:i/>
          <w:lang w:val="fr-FR"/>
        </w:rPr>
        <w:t>Rappelant également</w:t>
      </w:r>
      <w:r w:rsidR="007E0B1F">
        <w:rPr>
          <w:lang w:val="fr-FR"/>
        </w:rPr>
        <w:t xml:space="preserve"> les résolutions</w:t>
      </w:r>
      <w:r w:rsidR="0019005A">
        <w:rPr>
          <w:lang w:val="fr-FR"/>
        </w:rPr>
        <w:t xml:space="preserve"> </w:t>
      </w:r>
      <w:r w:rsidR="007E0B1F">
        <w:rPr>
          <w:lang w:val="fr-FR"/>
        </w:rPr>
        <w:t>242 (1967), 338 </w:t>
      </w:r>
      <w:r w:rsidR="00774580">
        <w:rPr>
          <w:lang w:val="fr-FR"/>
        </w:rPr>
        <w:t>(1973), 1397 </w:t>
      </w:r>
      <w:r w:rsidR="00CB1D65">
        <w:rPr>
          <w:lang w:val="fr-FR"/>
        </w:rPr>
        <w:t>(2002) et 1402 </w:t>
      </w:r>
      <w:r>
        <w:rPr>
          <w:lang w:val="fr-FR"/>
        </w:rPr>
        <w:t>(2002) du Conseil de sécurit</w:t>
      </w:r>
      <w:r w:rsidR="00A7389C">
        <w:rPr>
          <w:lang w:val="fr-FR"/>
        </w:rPr>
        <w:t>é, en date respectivement du 22 </w:t>
      </w:r>
      <w:r w:rsidR="00B324A7">
        <w:rPr>
          <w:lang w:val="fr-FR"/>
        </w:rPr>
        <w:t>novembre 1967, du </w:t>
      </w:r>
      <w:r w:rsidR="0077480A">
        <w:rPr>
          <w:lang w:val="fr-FR"/>
        </w:rPr>
        <w:t>22 </w:t>
      </w:r>
      <w:r w:rsidR="00B46F8A">
        <w:rPr>
          <w:lang w:val="fr-FR"/>
        </w:rPr>
        <w:t>octobre 1973, du 12 mars 2002 et du 30 </w:t>
      </w:r>
      <w:r>
        <w:rPr>
          <w:lang w:val="fr-FR"/>
        </w:rPr>
        <w:t>mars 2002,</w:t>
      </w:r>
    </w:p>
    <w:p w:rsidR="002A3860" w:rsidRDefault="002A3860" w:rsidP="002A3860">
      <w:pPr>
        <w:pStyle w:val="SingleTxtG"/>
        <w:ind w:firstLine="567"/>
        <w:rPr>
          <w:lang w:val="fr-FR"/>
        </w:rPr>
      </w:pPr>
      <w:r w:rsidRPr="009D7B1C">
        <w:rPr>
          <w:i/>
          <w:lang w:val="fr-FR"/>
        </w:rPr>
        <w:t>Prenant note</w:t>
      </w:r>
      <w:r w:rsidR="00B41E91">
        <w:rPr>
          <w:lang w:val="fr-FR"/>
        </w:rPr>
        <w:t xml:space="preserve"> de la résolution</w:t>
      </w:r>
      <w:r w:rsidR="0019005A">
        <w:rPr>
          <w:lang w:val="fr-FR"/>
        </w:rPr>
        <w:t xml:space="preserve"> </w:t>
      </w:r>
      <w:r>
        <w:rPr>
          <w:lang w:val="fr-FR"/>
        </w:rPr>
        <w:t>67/19 de l’As</w:t>
      </w:r>
      <w:r w:rsidR="00CB78AF">
        <w:rPr>
          <w:lang w:val="fr-FR"/>
        </w:rPr>
        <w:t>semblée générale, en date du</w:t>
      </w:r>
      <w:r w:rsidR="0019005A">
        <w:rPr>
          <w:lang w:val="fr-FR"/>
        </w:rPr>
        <w:t xml:space="preserve"> </w:t>
      </w:r>
      <w:r w:rsidR="007E3960">
        <w:rPr>
          <w:lang w:val="fr-FR"/>
        </w:rPr>
        <w:t>29 </w:t>
      </w:r>
      <w:r>
        <w:rPr>
          <w:lang w:val="fr-FR"/>
        </w:rPr>
        <w:t>novembre 2012,</w:t>
      </w:r>
    </w:p>
    <w:p w:rsidR="002A3860" w:rsidRDefault="002A3860" w:rsidP="002A3860">
      <w:pPr>
        <w:pStyle w:val="SingleTxtG"/>
        <w:ind w:firstLine="567"/>
        <w:rPr>
          <w:lang w:val="fr-FR"/>
        </w:rPr>
      </w:pPr>
      <w:r w:rsidRPr="009D7B1C">
        <w:rPr>
          <w:i/>
          <w:lang w:val="fr-FR"/>
        </w:rPr>
        <w:t>Réaffirmant</w:t>
      </w:r>
      <w:r>
        <w:rPr>
          <w:lang w:val="fr-FR"/>
        </w:rPr>
        <w:t xml:space="preserve"> le droit du peuple palestinien à disposer de lui</w:t>
      </w:r>
      <w:r w:rsidR="00693A60">
        <w:rPr>
          <w:lang w:val="fr-FR"/>
        </w:rPr>
        <w:noBreakHyphen/>
      </w:r>
      <w:r>
        <w:rPr>
          <w:lang w:val="fr-FR"/>
        </w:rPr>
        <w:t>même conformément aux dispositions de la Charte, aux résolutions et déclarations pertinentes de l’</w:t>
      </w:r>
      <w:r w:rsidR="00846F69">
        <w:rPr>
          <w:lang w:val="fr-FR"/>
        </w:rPr>
        <w:t>Organisation des Nations </w:t>
      </w:r>
      <w:r>
        <w:rPr>
          <w:lang w:val="fr-FR"/>
        </w:rPr>
        <w:t xml:space="preserve">Unies et aux dispositions des pactes et instruments internationaux relatifs au droit à l’autodétermination, en tant que principe international </w:t>
      </w:r>
      <w:r w:rsidR="00F614C0">
        <w:rPr>
          <w:lang w:val="fr-FR"/>
        </w:rPr>
        <w:t>et droit de tous les peuples du</w:t>
      </w:r>
      <w:r w:rsidR="00621711">
        <w:rPr>
          <w:lang w:val="fr-FR"/>
        </w:rPr>
        <w:t> </w:t>
      </w:r>
      <w:r>
        <w:rPr>
          <w:lang w:val="fr-FR"/>
        </w:rPr>
        <w:t>monde, et soulignant que cette norme impérative de droit international est une condition essentielle pour aboutir à une paix juste, durable et globale au Moyen</w:t>
      </w:r>
      <w:r w:rsidR="00011696">
        <w:rPr>
          <w:lang w:val="fr-FR"/>
        </w:rPr>
        <w:noBreakHyphen/>
      </w:r>
      <w:r>
        <w:rPr>
          <w:lang w:val="fr-FR"/>
        </w:rPr>
        <w:t>Orient,</w:t>
      </w:r>
    </w:p>
    <w:p w:rsidR="002A3860" w:rsidRDefault="002A3860" w:rsidP="002A3860">
      <w:pPr>
        <w:pStyle w:val="SingleTxtG"/>
        <w:ind w:firstLine="567"/>
        <w:rPr>
          <w:lang w:val="fr-FR"/>
        </w:rPr>
      </w:pPr>
      <w:r w:rsidRPr="009D7B1C">
        <w:rPr>
          <w:i/>
          <w:lang w:val="fr-FR"/>
        </w:rPr>
        <w:t>Déplorant</w:t>
      </w:r>
      <w:r>
        <w:rPr>
          <w:lang w:val="fr-FR"/>
        </w:rPr>
        <w:t xml:space="preserve"> les souffrances des millions de réfugiés et déplacés de Palestine qui ont été arrachés à leur foyer, et regrettant profondément que plus de la moitié du peuple palestinien continue de vivre en exil dans des camps de réfugiés à travers toute la région et d</w:t>
      </w:r>
      <w:r w:rsidR="00DA133B">
        <w:rPr>
          <w:lang w:val="fr-FR"/>
        </w:rPr>
        <w:t>ans la diaspora,</w:t>
      </w:r>
    </w:p>
    <w:p w:rsidR="00DA133B" w:rsidRPr="00F86F4A" w:rsidRDefault="00DA133B" w:rsidP="00DA133B">
      <w:pPr>
        <w:pStyle w:val="SingleTxtG"/>
        <w:ind w:firstLine="567"/>
      </w:pPr>
      <w:r w:rsidRPr="009D7B1C">
        <w:rPr>
          <w:i/>
          <w:lang w:val="fr-FR"/>
        </w:rPr>
        <w:t>Affirmant</w:t>
      </w:r>
      <w:r>
        <w:rPr>
          <w:lang w:val="fr-FR"/>
        </w:rPr>
        <w:t xml:space="preserve"> que le principe de la souveraineté permanente sur les ressources naturelles est applicable à la situation palestinienne en tant qu’élément constitutif du droit à l’autodétermination,</w:t>
      </w:r>
    </w:p>
    <w:p w:rsidR="00DA133B" w:rsidRPr="00F86F4A" w:rsidRDefault="00DA133B" w:rsidP="00DA133B">
      <w:pPr>
        <w:pStyle w:val="SingleTxtG"/>
        <w:ind w:firstLine="567"/>
      </w:pPr>
      <w:r w:rsidRPr="009D7B1C">
        <w:rPr>
          <w:i/>
          <w:lang w:val="fr-FR"/>
        </w:rPr>
        <w:t>Rappelant</w:t>
      </w:r>
      <w:r>
        <w:rPr>
          <w:lang w:val="fr-FR"/>
        </w:rPr>
        <w:t xml:space="preserve"> la conclusion de la Cour internationale de Justice, qui a estimé,</w:t>
      </w:r>
      <w:r w:rsidR="00473616">
        <w:rPr>
          <w:lang w:val="fr-FR"/>
        </w:rPr>
        <w:t xml:space="preserve"> dans son avis consultatif du 9 </w:t>
      </w:r>
      <w:r>
        <w:rPr>
          <w:lang w:val="fr-FR"/>
        </w:rPr>
        <w:t xml:space="preserve">juillet 2004, que l’exercice du droit à l’autodétermination du peuple palestinien, qui est un droit </w:t>
      </w:r>
      <w:r w:rsidRPr="009D7B1C">
        <w:rPr>
          <w:i/>
          <w:lang w:val="fr-FR"/>
        </w:rPr>
        <w:t>erga omnes</w:t>
      </w:r>
      <w:r>
        <w:rPr>
          <w:lang w:val="fr-FR"/>
        </w:rPr>
        <w:t>, est gravement entravé par Israël, Puissance occupante, du fait de la construction du mur dans le T</w:t>
      </w:r>
      <w:r w:rsidR="00F142B2">
        <w:rPr>
          <w:lang w:val="fr-FR"/>
        </w:rPr>
        <w:t>erritoire palestinien occupé, y </w:t>
      </w:r>
      <w:r>
        <w:rPr>
          <w:lang w:val="fr-FR"/>
        </w:rPr>
        <w:t>compris Jérusalem</w:t>
      </w:r>
      <w:r w:rsidR="0064474C">
        <w:rPr>
          <w:lang w:val="fr-FR"/>
        </w:rPr>
        <w:noBreakHyphen/>
      </w:r>
      <w:r>
        <w:rPr>
          <w:lang w:val="fr-FR"/>
        </w:rPr>
        <w:t xml:space="preserve">Est, ce qui, ajouté aux activités de colonisation israéliennes et aux mesures prises antérieurement, entraîne des violations graves du droit international humanitaire et du droit international des droits de l’homme, </w:t>
      </w:r>
      <w:r w:rsidR="00793167">
        <w:rPr>
          <w:lang w:val="fr-FR"/>
        </w:rPr>
        <w:t>notamment le transfert forcé de </w:t>
      </w:r>
      <w:r>
        <w:rPr>
          <w:lang w:val="fr-FR"/>
        </w:rPr>
        <w:t>Palestiniens et l’acquisition par Israël de terres palestiniennes,</w:t>
      </w:r>
    </w:p>
    <w:p w:rsidR="00DA133B" w:rsidRPr="00F86F4A" w:rsidRDefault="00DA133B" w:rsidP="00DA133B">
      <w:pPr>
        <w:pStyle w:val="SingleTxtG"/>
        <w:ind w:firstLine="567"/>
      </w:pPr>
      <w:r w:rsidRPr="009D7B1C">
        <w:rPr>
          <w:i/>
          <w:lang w:val="fr-FR"/>
        </w:rPr>
        <w:t>Considérant</w:t>
      </w:r>
      <w:r>
        <w:rPr>
          <w:lang w:val="fr-FR"/>
        </w:rPr>
        <w:t xml:space="preserve"> que le droit à l’autodétermination du peuple palestinien continue d’être violé par Israël du fait de l’existence et de l’extension continue des colonies de peuplement dans le Territoire palestinien occupé, y compris Jérusalem</w:t>
      </w:r>
      <w:r w:rsidR="008B1298">
        <w:rPr>
          <w:lang w:val="fr-FR"/>
        </w:rPr>
        <w:noBreakHyphen/>
      </w:r>
      <w:r>
        <w:rPr>
          <w:lang w:val="fr-FR"/>
        </w:rPr>
        <w:t>Est,</w:t>
      </w:r>
    </w:p>
    <w:p w:rsidR="00DA133B" w:rsidRPr="00F86F4A" w:rsidRDefault="00DA133B" w:rsidP="00DA133B">
      <w:pPr>
        <w:pStyle w:val="SingleTxtG"/>
        <w:ind w:firstLine="567"/>
      </w:pPr>
      <w:r w:rsidRPr="009D7B1C">
        <w:rPr>
          <w:i/>
          <w:lang w:val="fr-FR"/>
        </w:rPr>
        <w:t>Notant</w:t>
      </w:r>
      <w:r>
        <w:rPr>
          <w:lang w:val="fr-FR"/>
        </w:rPr>
        <w:t xml:space="preserve"> que le fait de ne pas avoir mis fin à l’</w:t>
      </w:r>
      <w:r w:rsidR="0053680C">
        <w:rPr>
          <w:lang w:val="fr-FR"/>
        </w:rPr>
        <w:t xml:space="preserve">occupation </w:t>
      </w:r>
      <w:r w:rsidR="00A2565F">
        <w:rPr>
          <w:lang w:val="fr-FR"/>
        </w:rPr>
        <w:t xml:space="preserve">après </w:t>
      </w:r>
      <w:r w:rsidR="005E69B6">
        <w:rPr>
          <w:lang w:val="fr-FR"/>
        </w:rPr>
        <w:t>cinquante </w:t>
      </w:r>
      <w:r>
        <w:rPr>
          <w:lang w:val="fr-FR"/>
        </w:rPr>
        <w:t xml:space="preserve">ans accroît la responsabilité internationale de protéger les droits de l’homme du peuple palestinien, et déplorant vivement que la question de </w:t>
      </w:r>
      <w:r w:rsidR="0095521D">
        <w:rPr>
          <w:lang w:val="fr-FR"/>
        </w:rPr>
        <w:t xml:space="preserve">la </w:t>
      </w:r>
      <w:r>
        <w:rPr>
          <w:lang w:val="fr-FR"/>
        </w:rPr>
        <w:t xml:space="preserve">Palestine ne soit toujours pas réglée </w:t>
      </w:r>
      <w:r w:rsidR="00114026">
        <w:rPr>
          <w:lang w:val="fr-FR"/>
        </w:rPr>
        <w:t>soixante</w:t>
      </w:r>
      <w:r w:rsidR="00114026">
        <w:rPr>
          <w:lang w:val="fr-FR"/>
        </w:rPr>
        <w:noBreakHyphen/>
        <w:t>dix </w:t>
      </w:r>
      <w:r>
        <w:rPr>
          <w:lang w:val="fr-FR"/>
        </w:rPr>
        <w:t>ans après le plan de partage,</w:t>
      </w:r>
    </w:p>
    <w:p w:rsidR="00DA133B" w:rsidRDefault="00DA133B" w:rsidP="00DA133B">
      <w:pPr>
        <w:pStyle w:val="SingleTxtG"/>
        <w:ind w:firstLine="567"/>
        <w:rPr>
          <w:lang w:val="fr-FR"/>
        </w:rPr>
      </w:pPr>
      <w:r w:rsidRPr="009D7B1C">
        <w:rPr>
          <w:i/>
          <w:lang w:val="fr-FR"/>
        </w:rPr>
        <w:t>Réaffirmant</w:t>
      </w:r>
      <w:r>
        <w:rPr>
          <w:lang w:val="fr-FR"/>
        </w:rPr>
        <w:t xml:space="preserve"> que l’Organisation des Nations Unies demeurera mobilisée sur la question de la Palestine jusqu’à ce que celle-ci soit réglée sous tous ses aspects et dans le respect du droit international,</w:t>
      </w:r>
    </w:p>
    <w:p w:rsidR="009D5906" w:rsidRPr="00F86F4A" w:rsidRDefault="009D5906" w:rsidP="00352E00">
      <w:pPr>
        <w:pStyle w:val="SingleTxtG"/>
        <w:ind w:firstLine="567"/>
      </w:pPr>
      <w:r w:rsidRPr="009D5906">
        <w:t>1</w:t>
      </w:r>
      <w:r w:rsidR="00352E00">
        <w:t>.</w:t>
      </w:r>
      <w:r>
        <w:rPr>
          <w:i/>
          <w:lang w:val="fr-FR"/>
        </w:rPr>
        <w:tab/>
      </w:r>
      <w:r w:rsidR="00E87022" w:rsidRPr="009D7B1C">
        <w:rPr>
          <w:i/>
          <w:lang w:val="fr-FR"/>
        </w:rPr>
        <w:t>Réaffirme</w:t>
      </w:r>
      <w:r w:rsidR="00E87022">
        <w:rPr>
          <w:lang w:val="fr-FR"/>
        </w:rPr>
        <w:t xml:space="preserve"> le droit inaliénable, permanent et absolu du peuple palestinien à disposer de lui</w:t>
      </w:r>
      <w:r w:rsidR="00466EFD">
        <w:rPr>
          <w:lang w:val="fr-FR"/>
        </w:rPr>
        <w:noBreakHyphen/>
      </w:r>
      <w:r w:rsidR="00E87022">
        <w:rPr>
          <w:lang w:val="fr-FR"/>
        </w:rPr>
        <w:t>même, y compris son droit de vivre dans la liberté, la justice et la dignité, et son droit à l’</w:t>
      </w:r>
      <w:r w:rsidR="00281EB0">
        <w:rPr>
          <w:lang w:val="fr-FR"/>
        </w:rPr>
        <w:t>État indépendant de Palestine </w:t>
      </w:r>
      <w:r w:rsidR="00E87022">
        <w:rPr>
          <w:lang w:val="fr-FR"/>
        </w:rPr>
        <w:t>;</w:t>
      </w:r>
    </w:p>
    <w:p w:rsidR="00E87022" w:rsidRPr="00F86F4A" w:rsidRDefault="009D5906" w:rsidP="00352E00">
      <w:pPr>
        <w:pStyle w:val="SingleTxtG"/>
        <w:ind w:firstLine="567"/>
      </w:pPr>
      <w:r>
        <w:rPr>
          <w:lang w:val="fr-FR"/>
        </w:rPr>
        <w:t>2</w:t>
      </w:r>
      <w:r w:rsidR="00352E00">
        <w:rPr>
          <w:lang w:val="fr-FR"/>
        </w:rPr>
        <w:t>.</w:t>
      </w:r>
      <w:r w:rsidRPr="009D5906">
        <w:rPr>
          <w:i/>
          <w:lang w:val="fr-FR"/>
        </w:rPr>
        <w:tab/>
      </w:r>
      <w:r w:rsidR="00E87022" w:rsidRPr="009D7B1C">
        <w:rPr>
          <w:i/>
          <w:lang w:val="fr-FR"/>
        </w:rPr>
        <w:t>Regrette vivement</w:t>
      </w:r>
      <w:r w:rsidR="00E87022">
        <w:rPr>
          <w:lang w:val="fr-FR"/>
        </w:rPr>
        <w:t xml:space="preserve"> que l’occupation israélienne soit entrée dans sa </w:t>
      </w:r>
      <w:r w:rsidR="00E61F29">
        <w:rPr>
          <w:lang w:val="fr-FR"/>
        </w:rPr>
        <w:t>cinquantième</w:t>
      </w:r>
      <w:r w:rsidR="00231373">
        <w:rPr>
          <w:lang w:val="fr-FR"/>
        </w:rPr>
        <w:t> </w:t>
      </w:r>
      <w:r w:rsidR="00E87022">
        <w:rPr>
          <w:lang w:val="fr-FR"/>
        </w:rPr>
        <w:t>année, engage Israël, Puissance occupante, à mettre fin immédiatement à son occupation du Territoire palestinien occupé, y compris Jérusalem</w:t>
      </w:r>
      <w:r w:rsidR="006F67FB">
        <w:rPr>
          <w:lang w:val="fr-FR"/>
        </w:rPr>
        <w:noBreakHyphen/>
      </w:r>
      <w:r w:rsidR="00E87022">
        <w:rPr>
          <w:lang w:val="fr-FR"/>
        </w:rPr>
        <w:t>Est, et réaffirme son soutien à la solution consistant à avoir deux États, la Palestine et Israël, vivant côte à c</w:t>
      </w:r>
      <w:r w:rsidR="000E3A64">
        <w:rPr>
          <w:lang w:val="fr-FR"/>
        </w:rPr>
        <w:t>ôte dans la paix et la sécurité </w:t>
      </w:r>
      <w:r w:rsidR="00E87022">
        <w:rPr>
          <w:lang w:val="fr-FR"/>
        </w:rPr>
        <w:t>;</w:t>
      </w:r>
    </w:p>
    <w:p w:rsidR="00E87022" w:rsidRPr="00F86F4A" w:rsidRDefault="001701E4" w:rsidP="00352E00">
      <w:pPr>
        <w:pStyle w:val="SingleTxtG"/>
        <w:ind w:firstLine="567"/>
      </w:pPr>
      <w:r w:rsidRPr="001701E4">
        <w:rPr>
          <w:rStyle w:val="SingleTxtGChar"/>
        </w:rPr>
        <w:t>3</w:t>
      </w:r>
      <w:r w:rsidR="00352E00">
        <w:rPr>
          <w:rStyle w:val="SingleTxtGChar"/>
        </w:rPr>
        <w:t>.</w:t>
      </w:r>
      <w:r w:rsidRPr="001701E4">
        <w:rPr>
          <w:rStyle w:val="SingleTxtGChar"/>
        </w:rPr>
        <w:tab/>
      </w:r>
      <w:r w:rsidR="00E87022" w:rsidRPr="009D7B1C">
        <w:rPr>
          <w:i/>
          <w:lang w:val="fr-FR"/>
        </w:rPr>
        <w:t>Se déclare profondément préoccupé</w:t>
      </w:r>
      <w:r w:rsidR="00E87022">
        <w:rPr>
          <w:lang w:val="fr-FR"/>
        </w:rPr>
        <w:t xml:space="preserve"> par la fragmentation et les changements intervenus dans la composition démographique du Territoire palestinien occupé, y compris Jérusalem-Est, qui résultent de la poursuite de la construction et de l’extension des colonies </w:t>
      </w:r>
      <w:r w:rsidR="00E87022">
        <w:rPr>
          <w:lang w:val="fr-FR"/>
        </w:rPr>
        <w:lastRenderedPageBreak/>
        <w:t xml:space="preserve">de peuplement, du transfert forcé de Palestiniens et de la construction du mur par Israël, </w:t>
      </w:r>
      <w:r w:rsidR="00E87022" w:rsidRPr="009D7B1C">
        <w:rPr>
          <w:i/>
          <w:lang w:val="fr-FR"/>
        </w:rPr>
        <w:t>souligne</w:t>
      </w:r>
      <w:r w:rsidR="00E87022">
        <w:rPr>
          <w:lang w:val="fr-FR"/>
        </w:rPr>
        <w:t xml:space="preserve"> que cette fragmentation, qui compromet la possibilité pour le peuple palestinien de réaliser son droit à l’autodétermination, est incompatible avec les buts et principes de la</w:t>
      </w:r>
      <w:r w:rsidR="0019005A">
        <w:rPr>
          <w:lang w:val="fr-FR"/>
        </w:rPr>
        <w:t> </w:t>
      </w:r>
      <w:r w:rsidR="00E87022">
        <w:rPr>
          <w:lang w:val="fr-FR"/>
        </w:rPr>
        <w:t xml:space="preserve">Charte des Nations Unies, et souligne à cet égard la nécessité de respecter et de préserver l’unité territoriale, la continuité territoriale et l’intégrité de tout le Territoire palestinien </w:t>
      </w:r>
      <w:r w:rsidR="00FF6B98">
        <w:rPr>
          <w:lang w:val="fr-FR"/>
        </w:rPr>
        <w:t>occupé, y compris Jérusalem-Est </w:t>
      </w:r>
      <w:r w:rsidR="00E87022">
        <w:rPr>
          <w:lang w:val="fr-FR"/>
        </w:rPr>
        <w:t>;</w:t>
      </w:r>
    </w:p>
    <w:p w:rsidR="00E87022" w:rsidRPr="00F86F4A" w:rsidRDefault="001701E4" w:rsidP="00352E00">
      <w:pPr>
        <w:pStyle w:val="SingleTxtG"/>
        <w:ind w:firstLine="567"/>
      </w:pPr>
      <w:r w:rsidRPr="001701E4">
        <w:rPr>
          <w:lang w:val="fr-FR"/>
        </w:rPr>
        <w:t>4</w:t>
      </w:r>
      <w:r w:rsidR="00352E00">
        <w:rPr>
          <w:lang w:val="fr-FR"/>
        </w:rPr>
        <w:t>.</w:t>
      </w:r>
      <w:r w:rsidRPr="001701E4">
        <w:rPr>
          <w:lang w:val="fr-FR"/>
        </w:rPr>
        <w:tab/>
      </w:r>
      <w:r w:rsidR="00E87022" w:rsidRPr="009D7B1C">
        <w:rPr>
          <w:i/>
          <w:lang w:val="fr-FR"/>
        </w:rPr>
        <w:t>Confirme</w:t>
      </w:r>
      <w:r w:rsidR="00E87022">
        <w:rPr>
          <w:lang w:val="fr-FR"/>
        </w:rPr>
        <w:t xml:space="preserve"> que le droit de souveraineté permanent du peuple palestinien sur ses richesses et ses ressources naturelles doit s’exercer dans l’intérêt du développement national et du bien-être de ce peuple et dans le cadre de la réalisation de </w:t>
      </w:r>
      <w:r w:rsidR="00507B65">
        <w:rPr>
          <w:lang w:val="fr-FR"/>
        </w:rPr>
        <w:t>son droit à l’autodétermination </w:t>
      </w:r>
      <w:r w:rsidR="00E87022">
        <w:rPr>
          <w:lang w:val="fr-FR"/>
        </w:rPr>
        <w:t>;</w:t>
      </w:r>
    </w:p>
    <w:p w:rsidR="00E87022" w:rsidRPr="00F86F4A" w:rsidRDefault="001701E4" w:rsidP="00352E00">
      <w:pPr>
        <w:pStyle w:val="SingleTxtG"/>
        <w:ind w:firstLine="567"/>
      </w:pPr>
      <w:r w:rsidRPr="001701E4">
        <w:rPr>
          <w:lang w:val="fr-FR"/>
        </w:rPr>
        <w:t>5</w:t>
      </w:r>
      <w:r w:rsidR="00352E00">
        <w:rPr>
          <w:lang w:val="fr-FR"/>
        </w:rPr>
        <w:t>.</w:t>
      </w:r>
      <w:r w:rsidRPr="001701E4">
        <w:rPr>
          <w:lang w:val="fr-FR"/>
        </w:rPr>
        <w:tab/>
      </w:r>
      <w:r w:rsidR="00E87022" w:rsidRPr="009D7B1C">
        <w:rPr>
          <w:i/>
          <w:lang w:val="fr-FR"/>
        </w:rPr>
        <w:t>Demande</w:t>
      </w:r>
      <w:r w:rsidR="00E87022">
        <w:rPr>
          <w:lang w:val="fr-FR"/>
        </w:rPr>
        <w:t xml:space="preserve"> à tous les États de s’acquitter de leur obligation de n’accorder ni reconnaissance ni aide ni assistance s’agissant des violations graves de normes impératives de droit international commises par Israël, et leur demande également de coopérer davantage afin de mettre un terme, par des moyens licites, à ces violations graves et aux politiques et pratiques illégales d’Israël</w:t>
      </w:r>
      <w:r w:rsidR="00331FD6">
        <w:rPr>
          <w:lang w:val="fr-FR"/>
        </w:rPr>
        <w:t> </w:t>
      </w:r>
      <w:r w:rsidR="00E87022">
        <w:rPr>
          <w:lang w:val="fr-FR"/>
        </w:rPr>
        <w:t>;</w:t>
      </w:r>
    </w:p>
    <w:p w:rsidR="00E87022" w:rsidRPr="00F86F4A" w:rsidRDefault="00B721F1" w:rsidP="00352E00">
      <w:pPr>
        <w:pStyle w:val="SingleTxtG"/>
        <w:ind w:firstLine="567"/>
      </w:pPr>
      <w:r w:rsidRPr="00B721F1">
        <w:rPr>
          <w:lang w:val="fr-FR"/>
        </w:rPr>
        <w:t>6</w:t>
      </w:r>
      <w:r w:rsidR="00352E00">
        <w:rPr>
          <w:lang w:val="fr-FR"/>
        </w:rPr>
        <w:t>.</w:t>
      </w:r>
      <w:r w:rsidRPr="00B721F1">
        <w:rPr>
          <w:lang w:val="fr-FR"/>
        </w:rPr>
        <w:tab/>
      </w:r>
      <w:r w:rsidR="00E87022" w:rsidRPr="009D7B1C">
        <w:rPr>
          <w:i/>
          <w:lang w:val="fr-FR"/>
        </w:rPr>
        <w:t>Demande instamment</w:t>
      </w:r>
      <w:r w:rsidR="00E87022">
        <w:rPr>
          <w:lang w:val="fr-FR"/>
        </w:rPr>
        <w:t xml:space="preserve"> à tous les États d’adopter les mesures nécessaires pour promouvoir la réalisation du droit à l’autodétermination du peuple palestinien et d’aider l’Organisation des Nations Unies à s’acquitter des responsabilités que lui a conférées la</w:t>
      </w:r>
      <w:r w:rsidR="0019005A">
        <w:rPr>
          <w:lang w:val="fr-FR"/>
        </w:rPr>
        <w:t> </w:t>
      </w:r>
      <w:bookmarkStart w:id="0" w:name="_GoBack"/>
      <w:bookmarkEnd w:id="0"/>
      <w:r w:rsidR="00E87022">
        <w:rPr>
          <w:lang w:val="fr-FR"/>
        </w:rPr>
        <w:t>Charte en ce qui con</w:t>
      </w:r>
      <w:r w:rsidR="00114DCF">
        <w:rPr>
          <w:lang w:val="fr-FR"/>
        </w:rPr>
        <w:t>cerne l’application de ce droit </w:t>
      </w:r>
      <w:r w:rsidR="00E87022">
        <w:rPr>
          <w:lang w:val="fr-FR"/>
        </w:rPr>
        <w:t>;</w:t>
      </w:r>
    </w:p>
    <w:p w:rsidR="00E87022" w:rsidRPr="00E87022" w:rsidRDefault="001A324C" w:rsidP="00352E00">
      <w:pPr>
        <w:pStyle w:val="SingleTxtG"/>
        <w:ind w:firstLine="567"/>
      </w:pPr>
      <w:r w:rsidRPr="001A324C">
        <w:rPr>
          <w:lang w:val="fr-FR"/>
        </w:rPr>
        <w:t>7</w:t>
      </w:r>
      <w:r w:rsidR="00352E00">
        <w:rPr>
          <w:lang w:val="fr-FR"/>
        </w:rPr>
        <w:t>.</w:t>
      </w:r>
      <w:r w:rsidRPr="001A324C">
        <w:rPr>
          <w:lang w:val="fr-FR"/>
        </w:rPr>
        <w:tab/>
      </w:r>
      <w:r w:rsidR="00E87022" w:rsidRPr="009D7B1C">
        <w:rPr>
          <w:i/>
          <w:lang w:val="fr-FR"/>
        </w:rPr>
        <w:t>Décide</w:t>
      </w:r>
      <w:r w:rsidR="00E87022">
        <w:rPr>
          <w:lang w:val="fr-FR"/>
        </w:rPr>
        <w:t xml:space="preserve"> de rester saisi de la question.</w:t>
      </w:r>
    </w:p>
    <w:p w:rsidR="00E87022" w:rsidRPr="00E87022" w:rsidRDefault="00E87022" w:rsidP="00E87022">
      <w:pPr>
        <w:pStyle w:val="SingleTxtG"/>
        <w:spacing w:before="240" w:after="0"/>
        <w:jc w:val="center"/>
        <w:rPr>
          <w:u w:val="single"/>
        </w:rPr>
      </w:pPr>
      <w:r>
        <w:rPr>
          <w:u w:val="single"/>
        </w:rPr>
        <w:tab/>
      </w:r>
      <w:r>
        <w:rPr>
          <w:u w:val="single"/>
        </w:rPr>
        <w:tab/>
      </w:r>
      <w:r>
        <w:rPr>
          <w:u w:val="single"/>
        </w:rPr>
        <w:tab/>
      </w:r>
    </w:p>
    <w:sectPr w:rsidR="00E87022" w:rsidRPr="00E87022" w:rsidSect="006C435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42" w:rsidRPr="00EF7F30" w:rsidRDefault="006C0942" w:rsidP="00EF7F30">
      <w:pPr>
        <w:pStyle w:val="Pieddepage"/>
      </w:pPr>
    </w:p>
  </w:endnote>
  <w:endnote w:type="continuationSeparator" w:id="0">
    <w:p w:rsidR="006C0942" w:rsidRPr="00EF7F30" w:rsidRDefault="006C0942" w:rsidP="00EF7F30">
      <w:pPr>
        <w:pStyle w:val="Pieddepage"/>
      </w:pPr>
    </w:p>
  </w:endnote>
  <w:endnote w:type="continuationNotice" w:id="1">
    <w:p w:rsidR="006C0942" w:rsidRDefault="006C09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6C435B" w:rsidRDefault="006C435B" w:rsidP="006C435B">
    <w:pPr>
      <w:pStyle w:val="Pieddepage"/>
      <w:tabs>
        <w:tab w:val="right" w:pos="9638"/>
      </w:tabs>
    </w:pPr>
    <w:r w:rsidRPr="006C435B">
      <w:rPr>
        <w:b/>
        <w:sz w:val="18"/>
      </w:rPr>
      <w:fldChar w:fldCharType="begin"/>
    </w:r>
    <w:r w:rsidRPr="006C435B">
      <w:rPr>
        <w:b/>
        <w:sz w:val="18"/>
      </w:rPr>
      <w:instrText xml:space="preserve"> PAGE  \* MERGEFORMAT </w:instrText>
    </w:r>
    <w:r w:rsidRPr="006C435B">
      <w:rPr>
        <w:b/>
        <w:sz w:val="18"/>
      </w:rPr>
      <w:fldChar w:fldCharType="separate"/>
    </w:r>
    <w:r w:rsidR="00464AE9">
      <w:rPr>
        <w:b/>
        <w:noProof/>
        <w:sz w:val="18"/>
      </w:rPr>
      <w:t>2</w:t>
    </w:r>
    <w:r w:rsidRPr="006C435B">
      <w:rPr>
        <w:b/>
        <w:sz w:val="18"/>
      </w:rPr>
      <w:fldChar w:fldCharType="end"/>
    </w:r>
    <w:r>
      <w:rPr>
        <w:b/>
        <w:sz w:val="18"/>
      </w:rPr>
      <w:tab/>
    </w:r>
    <w:r>
      <w:t>GE.17-04522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6C435B" w:rsidRDefault="006C435B" w:rsidP="006C435B">
    <w:pPr>
      <w:pStyle w:val="Pieddepage"/>
      <w:tabs>
        <w:tab w:val="right" w:pos="9638"/>
      </w:tabs>
      <w:rPr>
        <w:b/>
        <w:sz w:val="18"/>
      </w:rPr>
    </w:pPr>
    <w:r>
      <w:t>GE.17-04522</w:t>
    </w:r>
    <w:r>
      <w:tab/>
    </w:r>
    <w:r w:rsidRPr="006C435B">
      <w:rPr>
        <w:b/>
        <w:sz w:val="18"/>
      </w:rPr>
      <w:fldChar w:fldCharType="begin"/>
    </w:r>
    <w:r w:rsidRPr="006C435B">
      <w:rPr>
        <w:b/>
        <w:sz w:val="18"/>
      </w:rPr>
      <w:instrText xml:space="preserve"> PAGE  \* MERGEFORMAT </w:instrText>
    </w:r>
    <w:r w:rsidRPr="006C435B">
      <w:rPr>
        <w:b/>
        <w:sz w:val="18"/>
      </w:rPr>
      <w:fldChar w:fldCharType="separate"/>
    </w:r>
    <w:r w:rsidR="00464AE9">
      <w:rPr>
        <w:b/>
        <w:noProof/>
        <w:sz w:val="18"/>
      </w:rPr>
      <w:t>3</w:t>
    </w:r>
    <w:r w:rsidRPr="006C43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6C435B" w:rsidRDefault="006C435B" w:rsidP="006C435B">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4671EBE" wp14:editId="731341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17-04522  (F)</w:t>
    </w:r>
    <w:r w:rsidR="008F2B0A">
      <w:rPr>
        <w:sz w:val="20"/>
      </w:rPr>
      <w:t xml:space="preserve">    210317    220317</w:t>
    </w:r>
    <w:r>
      <w:rPr>
        <w:sz w:val="20"/>
      </w:rPr>
      <w:br/>
    </w:r>
    <w:r w:rsidRPr="006C435B">
      <w:rPr>
        <w:rFonts w:ascii="C39T30Lfz" w:hAnsi="C39T30Lfz"/>
        <w:sz w:val="56"/>
      </w:rPr>
      <w:t></w:t>
    </w:r>
    <w:r w:rsidRPr="006C435B">
      <w:rPr>
        <w:rFonts w:ascii="C39T30Lfz" w:hAnsi="C39T30Lfz"/>
        <w:sz w:val="56"/>
      </w:rPr>
      <w:t></w:t>
    </w:r>
    <w:r w:rsidRPr="006C435B">
      <w:rPr>
        <w:rFonts w:ascii="C39T30Lfz" w:hAnsi="C39T30Lfz"/>
        <w:sz w:val="56"/>
      </w:rPr>
      <w:t></w:t>
    </w:r>
    <w:r w:rsidRPr="006C435B">
      <w:rPr>
        <w:rFonts w:ascii="C39T30Lfz" w:hAnsi="C39T30Lfz"/>
        <w:sz w:val="56"/>
      </w:rPr>
      <w:t></w:t>
    </w:r>
    <w:r w:rsidRPr="006C435B">
      <w:rPr>
        <w:rFonts w:ascii="C39T30Lfz" w:hAnsi="C39T30Lfz"/>
        <w:sz w:val="56"/>
      </w:rPr>
      <w:t></w:t>
    </w:r>
    <w:r w:rsidRPr="006C435B">
      <w:rPr>
        <w:rFonts w:ascii="C39T30Lfz" w:hAnsi="C39T30Lfz"/>
        <w:sz w:val="56"/>
      </w:rPr>
      <w:t></w:t>
    </w:r>
    <w:r w:rsidRPr="006C435B">
      <w:rPr>
        <w:rFonts w:ascii="C39T30Lfz" w:hAnsi="C39T30Lfz"/>
        <w:sz w:val="56"/>
      </w:rPr>
      <w:t></w:t>
    </w:r>
    <w:r w:rsidRPr="006C435B">
      <w:rPr>
        <w:rFonts w:ascii="C39T30Lfz" w:hAnsi="C39T30Lfz"/>
        <w:sz w:val="56"/>
      </w:rPr>
      <w:t></w:t>
    </w:r>
    <w:r w:rsidRPr="006C435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A/HRC/34/L.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42" w:rsidRPr="00EF7F30" w:rsidRDefault="006C094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C0942" w:rsidRPr="00EF7F30" w:rsidRDefault="006C0942" w:rsidP="000E5ADA">
      <w:pPr>
        <w:pStyle w:val="Pieddepage"/>
        <w:tabs>
          <w:tab w:val="right" w:pos="2155"/>
        </w:tabs>
        <w:spacing w:after="80" w:line="240" w:lineRule="atLeast"/>
        <w:ind w:left="680"/>
      </w:pPr>
      <w:r w:rsidRPr="00EF7F30">
        <w:rPr>
          <w:u w:val="single"/>
        </w:rPr>
        <w:tab/>
      </w:r>
    </w:p>
  </w:footnote>
  <w:footnote w:type="continuationNotice" w:id="1">
    <w:p w:rsidR="006C0942" w:rsidRPr="000F2457" w:rsidRDefault="006C0942">
      <w:pPr>
        <w:spacing w:line="240" w:lineRule="auto"/>
        <w:rPr>
          <w:sz w:val="2"/>
          <w:szCs w:val="2"/>
        </w:rPr>
      </w:pPr>
    </w:p>
  </w:footnote>
  <w:footnote w:id="2">
    <w:p w:rsidR="00752753" w:rsidRPr="00F86F4A" w:rsidRDefault="00752753" w:rsidP="00752753">
      <w:pPr>
        <w:pStyle w:val="Notedebasdepage"/>
        <w:rPr>
          <w:szCs w:val="18"/>
        </w:rPr>
      </w:pPr>
      <w:r>
        <w:rPr>
          <w:lang w:val="fr-FR"/>
        </w:rPr>
        <w:tab/>
        <w:t>*</w:t>
      </w:r>
      <w:r>
        <w:rPr>
          <w:lang w:val="fr-FR"/>
        </w:rPr>
        <w:tab/>
        <w:t>État non membre du Conseil des droits de l’homme.</w:t>
      </w:r>
    </w:p>
  </w:footnote>
  <w:footnote w:id="3">
    <w:p w:rsidR="00752753" w:rsidRPr="00F86F4A" w:rsidRDefault="00752753" w:rsidP="00752753">
      <w:pPr>
        <w:pStyle w:val="Notedebasdepage"/>
      </w:pPr>
      <w:r>
        <w:rPr>
          <w:lang w:val="fr-FR"/>
        </w:rPr>
        <w:tab/>
        <w:t>†</w:t>
      </w:r>
      <w:r>
        <w:rPr>
          <w:lang w:val="fr-FR"/>
        </w:rPr>
        <w:tab/>
        <w:t>Au nom des États Membres de l’Organisation des Nations Unies qui sont membres du Conseil de coopération du Golfe.</w:t>
      </w:r>
    </w:p>
  </w:footnote>
  <w:footnote w:id="4">
    <w:p w:rsidR="00752753" w:rsidRPr="00F86F4A" w:rsidRDefault="00752753" w:rsidP="00752753">
      <w:pPr>
        <w:pStyle w:val="Notedebasdepage"/>
      </w:pPr>
      <w:r>
        <w:rPr>
          <w:lang w:val="fr-FR"/>
        </w:rPr>
        <w:tab/>
        <w:t>‡</w:t>
      </w:r>
      <w:r>
        <w:rPr>
          <w:lang w:val="fr-FR"/>
        </w:rPr>
        <w:tab/>
        <w:t>Au nom des États Membres de l’Organisation des Nations Unies</w:t>
      </w:r>
      <w:r w:rsidR="0086653D">
        <w:rPr>
          <w:lang w:val="fr-FR"/>
        </w:rPr>
        <w:t xml:space="preserve"> qui sont membres du Groupe des </w:t>
      </w:r>
      <w:r>
        <w:rPr>
          <w:lang w:val="fr-FR"/>
        </w:rPr>
        <w:t>États arabes.</w:t>
      </w:r>
    </w:p>
  </w:footnote>
  <w:footnote w:id="5">
    <w:p w:rsidR="00752753" w:rsidRPr="00F86F4A" w:rsidRDefault="00752753" w:rsidP="00752753">
      <w:pPr>
        <w:pStyle w:val="Notedebasdepage"/>
      </w:pPr>
      <w:r>
        <w:rPr>
          <w:lang w:val="fr-FR"/>
        </w:rPr>
        <w:tab/>
        <w:t>§</w:t>
      </w:r>
      <w:r>
        <w:rPr>
          <w:lang w:val="fr-FR"/>
        </w:rPr>
        <w:tab/>
        <w:t>Au nom des États Membres de l’Organisation des Nations Unies qui sont membres de l’Organisation de la coopération islamique.</w:t>
      </w:r>
    </w:p>
  </w:footnote>
  <w:footnote w:id="6">
    <w:p w:rsidR="002A3860" w:rsidRPr="00D46B30" w:rsidRDefault="002A3860" w:rsidP="002A3860">
      <w:pPr>
        <w:pStyle w:val="Notedebasdepage"/>
      </w:pPr>
      <w:r w:rsidRPr="00F86F4A">
        <w:rPr>
          <w:lang w:val="fr-FR"/>
        </w:rPr>
        <w:tab/>
      </w:r>
      <w:r w:rsidRPr="00812910">
        <w:rPr>
          <w:rStyle w:val="Appelnotedebasdep"/>
        </w:rPr>
        <w:footnoteRef/>
      </w:r>
      <w:r>
        <w:rPr>
          <w:lang w:val="fr-FR"/>
        </w:rPr>
        <w:tab/>
        <w:t>A/CONF.157/23.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6C435B" w:rsidRDefault="006B41C8">
    <w:pPr>
      <w:pStyle w:val="En-tte"/>
    </w:pPr>
    <w:fldSimple w:instr=" TITLE  \* MERGEFORMAT ">
      <w:r>
        <w:t>A/HRC/34/L.39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6C435B" w:rsidRDefault="006B41C8" w:rsidP="006C435B">
    <w:pPr>
      <w:pStyle w:val="En-tte"/>
      <w:jc w:val="right"/>
    </w:pPr>
    <w:fldSimple w:instr=" TITLE  \* MERGEFORMAT ">
      <w:r>
        <w:t>A/HRC/34/L.39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42"/>
    <w:rsid w:val="00011696"/>
    <w:rsid w:val="0002125D"/>
    <w:rsid w:val="00023842"/>
    <w:rsid w:val="0007796D"/>
    <w:rsid w:val="00081344"/>
    <w:rsid w:val="00090307"/>
    <w:rsid w:val="000E12CE"/>
    <w:rsid w:val="000E3A64"/>
    <w:rsid w:val="000E5ADA"/>
    <w:rsid w:val="000F015B"/>
    <w:rsid w:val="000F2457"/>
    <w:rsid w:val="00104974"/>
    <w:rsid w:val="00111F2F"/>
    <w:rsid w:val="00114026"/>
    <w:rsid w:val="00114DCF"/>
    <w:rsid w:val="00131E73"/>
    <w:rsid w:val="0014365E"/>
    <w:rsid w:val="001701E4"/>
    <w:rsid w:val="00176178"/>
    <w:rsid w:val="0019005A"/>
    <w:rsid w:val="00195F21"/>
    <w:rsid w:val="001A324C"/>
    <w:rsid w:val="001B155B"/>
    <w:rsid w:val="001F525A"/>
    <w:rsid w:val="00210614"/>
    <w:rsid w:val="00212168"/>
    <w:rsid w:val="00224F31"/>
    <w:rsid w:val="00231373"/>
    <w:rsid w:val="00260711"/>
    <w:rsid w:val="00281EB0"/>
    <w:rsid w:val="002A3860"/>
    <w:rsid w:val="002E0D9C"/>
    <w:rsid w:val="002F4743"/>
    <w:rsid w:val="00331FD6"/>
    <w:rsid w:val="00352E00"/>
    <w:rsid w:val="003547BE"/>
    <w:rsid w:val="004313A6"/>
    <w:rsid w:val="004455A6"/>
    <w:rsid w:val="00446FE5"/>
    <w:rsid w:val="00450274"/>
    <w:rsid w:val="00464AE9"/>
    <w:rsid w:val="00466EFD"/>
    <w:rsid w:val="00473616"/>
    <w:rsid w:val="004B64CF"/>
    <w:rsid w:val="00507B65"/>
    <w:rsid w:val="0053680C"/>
    <w:rsid w:val="00552797"/>
    <w:rsid w:val="00573BE5"/>
    <w:rsid w:val="00586ED3"/>
    <w:rsid w:val="00587A52"/>
    <w:rsid w:val="005920A3"/>
    <w:rsid w:val="00593095"/>
    <w:rsid w:val="005B4E23"/>
    <w:rsid w:val="005E69B6"/>
    <w:rsid w:val="00617B29"/>
    <w:rsid w:val="00621711"/>
    <w:rsid w:val="0064474C"/>
    <w:rsid w:val="0065063D"/>
    <w:rsid w:val="0068446C"/>
    <w:rsid w:val="00693A60"/>
    <w:rsid w:val="00695AED"/>
    <w:rsid w:val="006B41C8"/>
    <w:rsid w:val="006C0942"/>
    <w:rsid w:val="006C435B"/>
    <w:rsid w:val="006E5C76"/>
    <w:rsid w:val="006F67FB"/>
    <w:rsid w:val="00710BD6"/>
    <w:rsid w:val="0071601D"/>
    <w:rsid w:val="00721020"/>
    <w:rsid w:val="00731589"/>
    <w:rsid w:val="00744FD5"/>
    <w:rsid w:val="00752753"/>
    <w:rsid w:val="00774580"/>
    <w:rsid w:val="0077480A"/>
    <w:rsid w:val="007866B9"/>
    <w:rsid w:val="00793167"/>
    <w:rsid w:val="007E0B1F"/>
    <w:rsid w:val="007E3960"/>
    <w:rsid w:val="0080684C"/>
    <w:rsid w:val="00835CD7"/>
    <w:rsid w:val="00846F69"/>
    <w:rsid w:val="0086653D"/>
    <w:rsid w:val="00871C75"/>
    <w:rsid w:val="008776DC"/>
    <w:rsid w:val="008B1298"/>
    <w:rsid w:val="008B386A"/>
    <w:rsid w:val="008E41B8"/>
    <w:rsid w:val="008F2B0A"/>
    <w:rsid w:val="009122DA"/>
    <w:rsid w:val="00932886"/>
    <w:rsid w:val="0094352E"/>
    <w:rsid w:val="0095521D"/>
    <w:rsid w:val="00962015"/>
    <w:rsid w:val="009658F6"/>
    <w:rsid w:val="009705C8"/>
    <w:rsid w:val="0098217B"/>
    <w:rsid w:val="009A47AB"/>
    <w:rsid w:val="009B19A8"/>
    <w:rsid w:val="009D5906"/>
    <w:rsid w:val="00A068FB"/>
    <w:rsid w:val="00A12E20"/>
    <w:rsid w:val="00A14565"/>
    <w:rsid w:val="00A2565F"/>
    <w:rsid w:val="00A574E8"/>
    <w:rsid w:val="00A7389C"/>
    <w:rsid w:val="00AC1406"/>
    <w:rsid w:val="00AC7BEB"/>
    <w:rsid w:val="00AE323C"/>
    <w:rsid w:val="00B16AAF"/>
    <w:rsid w:val="00B22A9E"/>
    <w:rsid w:val="00B24C75"/>
    <w:rsid w:val="00B324A7"/>
    <w:rsid w:val="00B41E91"/>
    <w:rsid w:val="00B46F8A"/>
    <w:rsid w:val="00B52720"/>
    <w:rsid w:val="00B528BF"/>
    <w:rsid w:val="00B721F1"/>
    <w:rsid w:val="00BD31E9"/>
    <w:rsid w:val="00BF68EE"/>
    <w:rsid w:val="00C02897"/>
    <w:rsid w:val="00C12613"/>
    <w:rsid w:val="00C138CD"/>
    <w:rsid w:val="00C31E28"/>
    <w:rsid w:val="00CB1D65"/>
    <w:rsid w:val="00CB78AF"/>
    <w:rsid w:val="00CC65DA"/>
    <w:rsid w:val="00D253D8"/>
    <w:rsid w:val="00D45432"/>
    <w:rsid w:val="00D975E7"/>
    <w:rsid w:val="00DA133B"/>
    <w:rsid w:val="00DB1831"/>
    <w:rsid w:val="00DD3BFD"/>
    <w:rsid w:val="00E013CD"/>
    <w:rsid w:val="00E204C6"/>
    <w:rsid w:val="00E228A8"/>
    <w:rsid w:val="00E263B4"/>
    <w:rsid w:val="00E528AD"/>
    <w:rsid w:val="00E61F29"/>
    <w:rsid w:val="00E6618E"/>
    <w:rsid w:val="00E87022"/>
    <w:rsid w:val="00EE72AC"/>
    <w:rsid w:val="00EF7F30"/>
    <w:rsid w:val="00F142B2"/>
    <w:rsid w:val="00F3470B"/>
    <w:rsid w:val="00F56A61"/>
    <w:rsid w:val="00F601A6"/>
    <w:rsid w:val="00F614C0"/>
    <w:rsid w:val="00F660DF"/>
    <w:rsid w:val="00F95C08"/>
    <w:rsid w:val="00FF6B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DA133B"/>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DA133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0E2D-FA99-424E-9078-836FA534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1226</Words>
  <Characters>6624</Characters>
  <Application>Microsoft Office Word</Application>
  <DocSecurity>0</DocSecurity>
  <Lines>106</Lines>
  <Paragraphs>34</Paragraphs>
  <ScaleCrop>false</ScaleCrop>
  <HeadingPairs>
    <vt:vector size="2" baseType="variant">
      <vt:variant>
        <vt:lpstr>Titre</vt:lpstr>
      </vt:variant>
      <vt:variant>
        <vt:i4>1</vt:i4>
      </vt:variant>
    </vt:vector>
  </HeadingPairs>
  <TitlesOfParts>
    <vt:vector size="1" baseType="lpstr">
      <vt:lpstr>A/HRC/34/L.39</vt:lpstr>
    </vt:vector>
  </TitlesOfParts>
  <Company>DCM</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A/HRC/34/L.39</dc:title>
  <dc:subject/>
  <dc:creator>DEVOS</dc:creator>
  <cp:keywords/>
  <cp:lastModifiedBy>Chautagnat</cp:lastModifiedBy>
  <cp:revision>2</cp:revision>
  <cp:lastPrinted>2017-03-22T07:42:00Z</cp:lastPrinted>
  <dcterms:created xsi:type="dcterms:W3CDTF">2017-03-22T08:04:00Z</dcterms:created>
  <dcterms:modified xsi:type="dcterms:W3CDTF">2017-03-22T08:04:00Z</dcterms:modified>
</cp:coreProperties>
</file>