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B02B6B"/>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B02B6B" w:rsidP="00B02B6B">
            <w:pPr>
              <w:jc w:val="right"/>
            </w:pPr>
            <w:r w:rsidRPr="00B02B6B">
              <w:rPr>
                <w:sz w:val="40"/>
              </w:rPr>
              <w:t>A</w:t>
            </w:r>
            <w:r>
              <w:t>/HRC/35/L.19</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B02B6B" w:rsidP="00E6618E">
            <w:pPr>
              <w:spacing w:before="240"/>
            </w:pPr>
            <w:r>
              <w:t>Distr. limitée</w:t>
            </w:r>
          </w:p>
          <w:p w:rsidR="00B02B6B" w:rsidRDefault="00B02B6B" w:rsidP="00B02B6B">
            <w:pPr>
              <w:spacing w:line="240" w:lineRule="exact"/>
            </w:pPr>
            <w:r>
              <w:t>19 juin</w:t>
            </w:r>
            <w:r w:rsidR="00447570">
              <w:t xml:space="preserve"> </w:t>
            </w:r>
            <w:r>
              <w:t>2017</w:t>
            </w:r>
          </w:p>
          <w:p w:rsidR="00B02B6B" w:rsidRDefault="00B02B6B" w:rsidP="00B02B6B">
            <w:pPr>
              <w:spacing w:line="240" w:lineRule="exact"/>
            </w:pPr>
            <w:r>
              <w:t>Français</w:t>
            </w:r>
          </w:p>
          <w:p w:rsidR="00B02B6B" w:rsidRPr="00DB58B5" w:rsidRDefault="00B02B6B" w:rsidP="00B02B6B">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ED772B" w:rsidRDefault="00ED772B" w:rsidP="002E0D9C">
      <w:pPr>
        <w:rPr>
          <w:b/>
        </w:rPr>
      </w:pPr>
      <w:r>
        <w:rPr>
          <w:b/>
        </w:rPr>
        <w:t xml:space="preserve">Trente-cinquième </w:t>
      </w:r>
      <w:r w:rsidRPr="00251849">
        <w:rPr>
          <w:b/>
        </w:rPr>
        <w:t>session</w:t>
      </w:r>
    </w:p>
    <w:p w:rsidR="00ED772B" w:rsidRDefault="00ED772B" w:rsidP="002E0D9C">
      <w:r>
        <w:t>6-23 juin 2017</w:t>
      </w:r>
    </w:p>
    <w:p w:rsidR="00ED772B" w:rsidRDefault="00ED772B" w:rsidP="002E0D9C">
      <w:r>
        <w:t>Point 3 de l’ordre du jour</w:t>
      </w:r>
    </w:p>
    <w:p w:rsidR="00ED772B" w:rsidRPr="00E81131" w:rsidRDefault="00ED772B" w:rsidP="00ED772B">
      <w:pPr>
        <w:rPr>
          <w:b/>
        </w:rPr>
      </w:pPr>
      <w:r w:rsidRPr="00E81131">
        <w:rPr>
          <w:b/>
          <w:lang w:val="fr-FR"/>
        </w:rPr>
        <w:t>Promotion et protection de tous les droits de l</w:t>
      </w:r>
      <w:r>
        <w:rPr>
          <w:b/>
          <w:lang w:val="fr-FR"/>
        </w:rPr>
        <w:t>’</w:t>
      </w:r>
      <w:r w:rsidRPr="00E81131">
        <w:rPr>
          <w:b/>
          <w:lang w:val="fr-FR"/>
        </w:rPr>
        <w:t xml:space="preserve">homme, </w:t>
      </w:r>
      <w:r w:rsidR="000E29D6">
        <w:rPr>
          <w:b/>
          <w:lang w:val="fr-FR"/>
        </w:rPr>
        <w:br/>
      </w:r>
      <w:r w:rsidRPr="00E81131">
        <w:rPr>
          <w:b/>
          <w:lang w:val="fr-FR"/>
        </w:rPr>
        <w:t xml:space="preserve">civils, politiques, économiques, sociaux et culturels, </w:t>
      </w:r>
      <w:r w:rsidR="000E29D6">
        <w:rPr>
          <w:b/>
          <w:lang w:val="fr-FR"/>
        </w:rPr>
        <w:br/>
      </w:r>
      <w:r w:rsidRPr="00E81131">
        <w:rPr>
          <w:b/>
          <w:lang w:val="fr-FR"/>
        </w:rPr>
        <w:t>y</w:t>
      </w:r>
      <w:r w:rsidR="000E29D6">
        <w:rPr>
          <w:b/>
          <w:lang w:val="fr-FR"/>
        </w:rPr>
        <w:t> </w:t>
      </w:r>
      <w:r w:rsidRPr="00E81131">
        <w:rPr>
          <w:b/>
          <w:lang w:val="fr-FR"/>
        </w:rPr>
        <w:t>compris le droit au développement</w:t>
      </w:r>
    </w:p>
    <w:p w:rsidR="00ED772B" w:rsidRDefault="00ED772B" w:rsidP="000E29D6">
      <w:pPr>
        <w:pStyle w:val="H23G"/>
        <w:rPr>
          <w:lang w:val="fr-FR"/>
        </w:rPr>
      </w:pPr>
      <w:r>
        <w:tab/>
      </w:r>
      <w:r>
        <w:tab/>
      </w:r>
      <w:r w:rsidRPr="00E81131">
        <w:rPr>
          <w:lang w:val="fr-FR"/>
        </w:rPr>
        <w:t>Algérie</w:t>
      </w:r>
      <w:r w:rsidR="008A28C4" w:rsidRPr="008A28C4">
        <w:rPr>
          <w:rStyle w:val="Appelnotedebasdep"/>
          <w:b w:val="0"/>
          <w:sz w:val="20"/>
          <w:vertAlign w:val="baseline"/>
        </w:rPr>
        <w:footnoteReference w:customMarkFollows="1" w:id="2"/>
        <w:t>*</w:t>
      </w:r>
      <w:r w:rsidRPr="00E81131">
        <w:rPr>
          <w:lang w:val="fr-FR"/>
        </w:rPr>
        <w:t xml:space="preserve">, </w:t>
      </w:r>
      <w:r w:rsidR="00906445" w:rsidRPr="00E81131">
        <w:rPr>
          <w:lang w:val="fr-FR"/>
        </w:rPr>
        <w:t>Allemagne, Argentine</w:t>
      </w:r>
      <w:r w:rsidR="00906445" w:rsidRPr="00814ADB">
        <w:rPr>
          <w:b w:val="0"/>
          <w:lang w:val="fr-FR"/>
        </w:rPr>
        <w:t>*</w:t>
      </w:r>
      <w:r w:rsidR="00906445">
        <w:rPr>
          <w:lang w:val="fr-FR"/>
        </w:rPr>
        <w:t>,</w:t>
      </w:r>
      <w:r w:rsidR="00906445" w:rsidRPr="00E81131">
        <w:rPr>
          <w:lang w:val="fr-FR"/>
        </w:rPr>
        <w:t xml:space="preserve"> </w:t>
      </w:r>
      <w:r w:rsidRPr="00E81131">
        <w:rPr>
          <w:lang w:val="fr-FR"/>
        </w:rPr>
        <w:t>Australie</w:t>
      </w:r>
      <w:r w:rsidR="00814ADB" w:rsidRPr="00814ADB">
        <w:rPr>
          <w:b w:val="0"/>
          <w:lang w:val="fr-FR"/>
        </w:rPr>
        <w:t>*</w:t>
      </w:r>
      <w:r w:rsidRPr="00E81131">
        <w:rPr>
          <w:lang w:val="fr-FR"/>
        </w:rPr>
        <w:t>, Belgique, Bosnie-Herzégovine</w:t>
      </w:r>
      <w:r w:rsidR="00814ADB" w:rsidRPr="00814ADB">
        <w:rPr>
          <w:b w:val="0"/>
          <w:lang w:val="fr-FR"/>
        </w:rPr>
        <w:t>*</w:t>
      </w:r>
      <w:r w:rsidRPr="00E81131">
        <w:rPr>
          <w:lang w:val="fr-FR"/>
        </w:rPr>
        <w:t>, Botswana, Brésil, Canada</w:t>
      </w:r>
      <w:r w:rsidR="00814ADB" w:rsidRPr="00814ADB">
        <w:rPr>
          <w:b w:val="0"/>
          <w:lang w:val="fr-FR"/>
        </w:rPr>
        <w:t>*</w:t>
      </w:r>
      <w:r w:rsidR="00B137C9">
        <w:rPr>
          <w:lang w:val="fr-FR"/>
        </w:rPr>
        <w:t>,</w:t>
      </w:r>
      <w:r w:rsidRPr="00E81131">
        <w:rPr>
          <w:lang w:val="fr-FR"/>
        </w:rPr>
        <w:t xml:space="preserve"> </w:t>
      </w:r>
      <w:r w:rsidR="00906445" w:rsidRPr="00E81131">
        <w:rPr>
          <w:lang w:val="fr-FR"/>
        </w:rPr>
        <w:t>Chypre</w:t>
      </w:r>
      <w:r w:rsidR="00906445" w:rsidRPr="00814ADB">
        <w:rPr>
          <w:b w:val="0"/>
          <w:lang w:val="fr-FR"/>
        </w:rPr>
        <w:t>*</w:t>
      </w:r>
      <w:r w:rsidR="00906445">
        <w:rPr>
          <w:lang w:val="fr-FR"/>
        </w:rPr>
        <w:t>,</w:t>
      </w:r>
      <w:r w:rsidR="00906445" w:rsidRPr="00E81131">
        <w:rPr>
          <w:lang w:val="fr-FR"/>
        </w:rPr>
        <w:t xml:space="preserve"> </w:t>
      </w:r>
      <w:r w:rsidRPr="00E81131">
        <w:rPr>
          <w:lang w:val="fr-FR"/>
        </w:rPr>
        <w:t>Côte d</w:t>
      </w:r>
      <w:r>
        <w:rPr>
          <w:lang w:val="fr-FR"/>
        </w:rPr>
        <w:t>’</w:t>
      </w:r>
      <w:r w:rsidRPr="00E81131">
        <w:rPr>
          <w:lang w:val="fr-FR"/>
        </w:rPr>
        <w:t>Ivoire, Croatie, Danemark</w:t>
      </w:r>
      <w:r w:rsidR="00814ADB" w:rsidRPr="00814ADB">
        <w:rPr>
          <w:b w:val="0"/>
          <w:lang w:val="fr-FR"/>
        </w:rPr>
        <w:t>*</w:t>
      </w:r>
      <w:r w:rsidRPr="00E81131">
        <w:rPr>
          <w:lang w:val="fr-FR"/>
        </w:rPr>
        <w:t xml:space="preserve">, </w:t>
      </w:r>
      <w:r w:rsidR="00A641F3">
        <w:rPr>
          <w:lang w:val="fr-FR"/>
        </w:rPr>
        <w:br/>
      </w:r>
      <w:r w:rsidR="00826276" w:rsidRPr="00A641F3">
        <w:rPr>
          <w:spacing w:val="2"/>
          <w:lang w:val="fr-FR"/>
        </w:rPr>
        <w:t>Espagne</w:t>
      </w:r>
      <w:r w:rsidR="00826276" w:rsidRPr="00A641F3">
        <w:rPr>
          <w:b w:val="0"/>
          <w:spacing w:val="2"/>
          <w:lang w:val="fr-FR"/>
        </w:rPr>
        <w:t>*</w:t>
      </w:r>
      <w:r w:rsidR="00826276" w:rsidRPr="00A641F3">
        <w:rPr>
          <w:spacing w:val="2"/>
          <w:lang w:val="fr-FR"/>
        </w:rPr>
        <w:t xml:space="preserve">, </w:t>
      </w:r>
      <w:r w:rsidRPr="00A641F3">
        <w:rPr>
          <w:spacing w:val="2"/>
          <w:lang w:val="fr-FR"/>
        </w:rPr>
        <w:t>Estonie</w:t>
      </w:r>
      <w:r w:rsidR="00814ADB" w:rsidRPr="00A641F3">
        <w:rPr>
          <w:b w:val="0"/>
          <w:spacing w:val="2"/>
          <w:lang w:val="fr-FR"/>
        </w:rPr>
        <w:t>*</w:t>
      </w:r>
      <w:r w:rsidRPr="00A641F3">
        <w:rPr>
          <w:spacing w:val="2"/>
          <w:lang w:val="fr-FR"/>
        </w:rPr>
        <w:t xml:space="preserve">, </w:t>
      </w:r>
      <w:r w:rsidR="00906445" w:rsidRPr="00A641F3">
        <w:rPr>
          <w:spacing w:val="2"/>
          <w:lang w:val="fr-FR"/>
        </w:rPr>
        <w:t>États-Unis d’Amérique</w:t>
      </w:r>
      <w:r w:rsidR="00906445" w:rsidRPr="00A641F3">
        <w:rPr>
          <w:spacing w:val="2"/>
          <w:lang w:val="fr-FR"/>
        </w:rPr>
        <w:t xml:space="preserve">, </w:t>
      </w:r>
      <w:r w:rsidR="006209F5">
        <w:rPr>
          <w:spacing w:val="2"/>
          <w:lang w:val="fr-FR"/>
        </w:rPr>
        <w:t>e</w:t>
      </w:r>
      <w:r w:rsidR="00826276" w:rsidRPr="00A641F3">
        <w:rPr>
          <w:spacing w:val="2"/>
          <w:lang w:val="fr-FR"/>
        </w:rPr>
        <w:t>x-République yougoslave de Macédoine</w:t>
      </w:r>
      <w:r w:rsidR="00826276" w:rsidRPr="00A641F3">
        <w:rPr>
          <w:b w:val="0"/>
          <w:spacing w:val="2"/>
          <w:lang w:val="fr-FR"/>
        </w:rPr>
        <w:t>*</w:t>
      </w:r>
      <w:r w:rsidR="00826276" w:rsidRPr="00A641F3">
        <w:rPr>
          <w:spacing w:val="2"/>
          <w:lang w:val="fr-FR"/>
        </w:rPr>
        <w:t xml:space="preserve">, </w:t>
      </w:r>
      <w:r w:rsidRPr="00A641F3">
        <w:rPr>
          <w:spacing w:val="2"/>
          <w:lang w:val="fr-FR"/>
        </w:rPr>
        <w:t>Finlande</w:t>
      </w:r>
      <w:r w:rsidR="00814ADB" w:rsidRPr="00A641F3">
        <w:rPr>
          <w:b w:val="0"/>
          <w:spacing w:val="2"/>
          <w:lang w:val="fr-FR"/>
        </w:rPr>
        <w:t>*</w:t>
      </w:r>
      <w:r w:rsidR="00B137C9" w:rsidRPr="00A641F3">
        <w:rPr>
          <w:spacing w:val="2"/>
          <w:lang w:val="fr-FR"/>
        </w:rPr>
        <w:t>,</w:t>
      </w:r>
      <w:r w:rsidRPr="00A641F3">
        <w:rPr>
          <w:spacing w:val="2"/>
          <w:lang w:val="fr-FR"/>
        </w:rPr>
        <w:t xml:space="preserve"> Géorgie, Ghana, Guinée</w:t>
      </w:r>
      <w:r w:rsidR="00814ADB" w:rsidRPr="00A641F3">
        <w:rPr>
          <w:b w:val="0"/>
          <w:spacing w:val="2"/>
          <w:lang w:val="fr-FR"/>
        </w:rPr>
        <w:t>*</w:t>
      </w:r>
      <w:r w:rsidRPr="00A641F3">
        <w:rPr>
          <w:spacing w:val="2"/>
          <w:lang w:val="fr-FR"/>
        </w:rPr>
        <w:t>, Honduras</w:t>
      </w:r>
      <w:r w:rsidR="00814ADB" w:rsidRPr="00A641F3">
        <w:rPr>
          <w:b w:val="0"/>
          <w:spacing w:val="2"/>
          <w:lang w:val="fr-FR"/>
        </w:rPr>
        <w:t>*</w:t>
      </w:r>
      <w:r w:rsidR="00B137C9" w:rsidRPr="00A641F3">
        <w:rPr>
          <w:spacing w:val="2"/>
          <w:lang w:val="fr-FR"/>
        </w:rPr>
        <w:t>,</w:t>
      </w:r>
      <w:r w:rsidRPr="00A641F3">
        <w:rPr>
          <w:spacing w:val="2"/>
          <w:lang w:val="fr-FR"/>
        </w:rPr>
        <w:t xml:space="preserve"> Hongrie, </w:t>
      </w:r>
      <w:r w:rsidR="00A641F3" w:rsidRPr="00A641F3">
        <w:rPr>
          <w:spacing w:val="2"/>
          <w:lang w:val="fr-FR"/>
        </w:rPr>
        <w:br/>
      </w:r>
      <w:r w:rsidRPr="00A641F3">
        <w:rPr>
          <w:spacing w:val="2"/>
          <w:lang w:val="fr-FR"/>
        </w:rPr>
        <w:t>Irlande</w:t>
      </w:r>
      <w:r w:rsidR="00814ADB" w:rsidRPr="00A641F3">
        <w:rPr>
          <w:b w:val="0"/>
          <w:spacing w:val="2"/>
          <w:lang w:val="fr-FR"/>
        </w:rPr>
        <w:t>*</w:t>
      </w:r>
      <w:r w:rsidRPr="00A641F3">
        <w:rPr>
          <w:spacing w:val="2"/>
          <w:lang w:val="fr-FR"/>
        </w:rPr>
        <w:t xml:space="preserve">, </w:t>
      </w:r>
      <w:r w:rsidR="00906445" w:rsidRPr="00A641F3">
        <w:rPr>
          <w:spacing w:val="2"/>
          <w:lang w:val="fr-FR"/>
        </w:rPr>
        <w:t>Islande</w:t>
      </w:r>
      <w:r w:rsidR="00906445" w:rsidRPr="00A641F3">
        <w:rPr>
          <w:b w:val="0"/>
          <w:spacing w:val="2"/>
          <w:lang w:val="fr-FR"/>
        </w:rPr>
        <w:t>*</w:t>
      </w:r>
      <w:r w:rsidR="00906445" w:rsidRPr="00A641F3">
        <w:rPr>
          <w:spacing w:val="2"/>
          <w:lang w:val="fr-FR"/>
        </w:rPr>
        <w:t xml:space="preserve">, </w:t>
      </w:r>
      <w:r w:rsidRPr="00A641F3">
        <w:rPr>
          <w:spacing w:val="2"/>
          <w:lang w:val="fr-FR"/>
        </w:rPr>
        <w:t>Israël</w:t>
      </w:r>
      <w:r w:rsidR="00814ADB" w:rsidRPr="00A641F3">
        <w:rPr>
          <w:b w:val="0"/>
          <w:spacing w:val="2"/>
          <w:lang w:val="fr-FR"/>
        </w:rPr>
        <w:t>*</w:t>
      </w:r>
      <w:r w:rsidRPr="00A641F3">
        <w:rPr>
          <w:spacing w:val="2"/>
          <w:lang w:val="fr-FR"/>
        </w:rPr>
        <w:t>, Japon, Lettonie, Liechtenstein</w:t>
      </w:r>
      <w:r w:rsidR="00814ADB" w:rsidRPr="00A641F3">
        <w:rPr>
          <w:b w:val="0"/>
          <w:spacing w:val="2"/>
          <w:lang w:val="fr-FR"/>
        </w:rPr>
        <w:t>*</w:t>
      </w:r>
      <w:r w:rsidRPr="00A641F3">
        <w:rPr>
          <w:spacing w:val="2"/>
          <w:lang w:val="fr-FR"/>
        </w:rPr>
        <w:t>, Luxembourg</w:t>
      </w:r>
      <w:r w:rsidR="00814ADB" w:rsidRPr="00A641F3">
        <w:rPr>
          <w:b w:val="0"/>
          <w:spacing w:val="2"/>
          <w:lang w:val="fr-FR"/>
        </w:rPr>
        <w:t>*</w:t>
      </w:r>
      <w:r w:rsidRPr="00A641F3">
        <w:rPr>
          <w:spacing w:val="2"/>
          <w:lang w:val="fr-FR"/>
        </w:rPr>
        <w:t xml:space="preserve">, </w:t>
      </w:r>
      <w:r w:rsidR="00A641F3" w:rsidRPr="00A641F3">
        <w:rPr>
          <w:spacing w:val="2"/>
          <w:lang w:val="fr-FR"/>
        </w:rPr>
        <w:br/>
      </w:r>
      <w:r w:rsidRPr="00E81131">
        <w:rPr>
          <w:lang w:val="fr-FR"/>
        </w:rPr>
        <w:t>Maldives</w:t>
      </w:r>
      <w:r w:rsidR="00814ADB" w:rsidRPr="00814ADB">
        <w:rPr>
          <w:b w:val="0"/>
          <w:lang w:val="fr-FR"/>
        </w:rPr>
        <w:t>*</w:t>
      </w:r>
      <w:r w:rsidR="00B137C9">
        <w:rPr>
          <w:lang w:val="fr-FR"/>
        </w:rPr>
        <w:t>,</w:t>
      </w:r>
      <w:r w:rsidRPr="00E81131">
        <w:rPr>
          <w:lang w:val="fr-FR"/>
        </w:rPr>
        <w:t xml:space="preserve"> Malte</w:t>
      </w:r>
      <w:r w:rsidR="00814ADB" w:rsidRPr="00814ADB">
        <w:rPr>
          <w:b w:val="0"/>
          <w:lang w:val="fr-FR"/>
        </w:rPr>
        <w:t>*</w:t>
      </w:r>
      <w:r w:rsidR="00B137C9">
        <w:rPr>
          <w:lang w:val="fr-FR"/>
        </w:rPr>
        <w:t>,</w:t>
      </w:r>
      <w:r w:rsidRPr="00E81131">
        <w:rPr>
          <w:lang w:val="fr-FR"/>
        </w:rPr>
        <w:t xml:space="preserve"> Mexique</w:t>
      </w:r>
      <w:r w:rsidR="00814ADB" w:rsidRPr="00814ADB">
        <w:rPr>
          <w:b w:val="0"/>
          <w:lang w:val="fr-FR"/>
        </w:rPr>
        <w:t>*</w:t>
      </w:r>
      <w:r w:rsidRPr="00E81131">
        <w:rPr>
          <w:lang w:val="fr-FR"/>
        </w:rPr>
        <w:t>, Monténégro</w:t>
      </w:r>
      <w:r w:rsidR="00814ADB" w:rsidRPr="00814ADB">
        <w:rPr>
          <w:b w:val="0"/>
          <w:lang w:val="fr-FR"/>
        </w:rPr>
        <w:t>*</w:t>
      </w:r>
      <w:r w:rsidR="00B137C9">
        <w:rPr>
          <w:lang w:val="fr-FR"/>
        </w:rPr>
        <w:t>,</w:t>
      </w:r>
      <w:r w:rsidRPr="00E81131">
        <w:rPr>
          <w:lang w:val="fr-FR"/>
        </w:rPr>
        <w:t xml:space="preserve"> Panama, Paraguay, </w:t>
      </w:r>
      <w:r w:rsidR="00826276" w:rsidRPr="00E81131">
        <w:rPr>
          <w:lang w:val="fr-FR"/>
        </w:rPr>
        <w:t xml:space="preserve">Pays-Bas, </w:t>
      </w:r>
      <w:r w:rsidR="00A641F3">
        <w:rPr>
          <w:lang w:val="fr-FR"/>
        </w:rPr>
        <w:br/>
      </w:r>
      <w:r w:rsidRPr="00E81131">
        <w:rPr>
          <w:lang w:val="fr-FR"/>
        </w:rPr>
        <w:t>Pérou</w:t>
      </w:r>
      <w:r w:rsidR="00814ADB" w:rsidRPr="00814ADB">
        <w:rPr>
          <w:b w:val="0"/>
          <w:lang w:val="fr-FR"/>
        </w:rPr>
        <w:t>*</w:t>
      </w:r>
      <w:r w:rsidRPr="00E81131">
        <w:rPr>
          <w:lang w:val="fr-FR"/>
        </w:rPr>
        <w:t>, Pologne</w:t>
      </w:r>
      <w:r w:rsidR="00814ADB" w:rsidRPr="00814ADB">
        <w:rPr>
          <w:b w:val="0"/>
          <w:lang w:val="fr-FR"/>
        </w:rPr>
        <w:t>*</w:t>
      </w:r>
      <w:r w:rsidRPr="00E81131">
        <w:rPr>
          <w:lang w:val="fr-FR"/>
        </w:rPr>
        <w:t>, Portugal, République de Corée, République de Moldova</w:t>
      </w:r>
      <w:r w:rsidR="00814ADB" w:rsidRPr="00814ADB">
        <w:rPr>
          <w:b w:val="0"/>
          <w:lang w:val="fr-FR"/>
        </w:rPr>
        <w:t>*</w:t>
      </w:r>
      <w:r w:rsidRPr="00E81131">
        <w:rPr>
          <w:lang w:val="fr-FR"/>
        </w:rPr>
        <w:t xml:space="preserve">, </w:t>
      </w:r>
      <w:r w:rsidRPr="00A641F3">
        <w:rPr>
          <w:spacing w:val="-2"/>
          <w:lang w:val="fr-FR"/>
        </w:rPr>
        <w:t>Roumanie</w:t>
      </w:r>
      <w:r w:rsidR="00814ADB" w:rsidRPr="00A641F3">
        <w:rPr>
          <w:b w:val="0"/>
          <w:spacing w:val="-2"/>
          <w:lang w:val="fr-FR"/>
        </w:rPr>
        <w:t>*</w:t>
      </w:r>
      <w:r w:rsidRPr="00A641F3">
        <w:rPr>
          <w:spacing w:val="-2"/>
          <w:lang w:val="fr-FR"/>
        </w:rPr>
        <w:t xml:space="preserve">, </w:t>
      </w:r>
      <w:r w:rsidR="00826276" w:rsidRPr="00A641F3">
        <w:rPr>
          <w:spacing w:val="-2"/>
          <w:lang w:val="fr-FR"/>
        </w:rPr>
        <w:t xml:space="preserve">Royaume-Uni de Grande-Bretagne et d’Irlande du Nord, </w:t>
      </w:r>
      <w:r w:rsidRPr="00A641F3">
        <w:rPr>
          <w:spacing w:val="-2"/>
          <w:lang w:val="fr-FR"/>
        </w:rPr>
        <w:t>Serbie</w:t>
      </w:r>
      <w:r w:rsidR="00814ADB" w:rsidRPr="00A641F3">
        <w:rPr>
          <w:b w:val="0"/>
          <w:spacing w:val="-2"/>
          <w:lang w:val="fr-FR"/>
        </w:rPr>
        <w:t>*</w:t>
      </w:r>
      <w:r w:rsidRPr="00A641F3">
        <w:rPr>
          <w:spacing w:val="-2"/>
          <w:lang w:val="fr-FR"/>
        </w:rPr>
        <w:t>,</w:t>
      </w:r>
      <w:r w:rsidRPr="00E81131">
        <w:rPr>
          <w:lang w:val="fr-FR"/>
        </w:rPr>
        <w:t xml:space="preserve"> Slovaquie</w:t>
      </w:r>
      <w:r w:rsidR="00814ADB" w:rsidRPr="00814ADB">
        <w:rPr>
          <w:b w:val="0"/>
          <w:lang w:val="fr-FR"/>
        </w:rPr>
        <w:t>*</w:t>
      </w:r>
      <w:r w:rsidR="00B137C9">
        <w:rPr>
          <w:lang w:val="fr-FR"/>
        </w:rPr>
        <w:t>,</w:t>
      </w:r>
      <w:r w:rsidRPr="00E81131">
        <w:rPr>
          <w:lang w:val="fr-FR"/>
        </w:rPr>
        <w:t xml:space="preserve"> Slovénie, Suède</w:t>
      </w:r>
      <w:r w:rsidR="00814ADB" w:rsidRPr="00814ADB">
        <w:rPr>
          <w:b w:val="0"/>
          <w:lang w:val="fr-FR"/>
        </w:rPr>
        <w:t>*</w:t>
      </w:r>
      <w:r w:rsidRPr="00E81131">
        <w:rPr>
          <w:lang w:val="fr-FR"/>
        </w:rPr>
        <w:t xml:space="preserve">, Suisse, </w:t>
      </w:r>
      <w:r w:rsidR="00A641F3" w:rsidRPr="00E81131">
        <w:rPr>
          <w:lang w:val="fr-FR"/>
        </w:rPr>
        <w:t>Tchéquie</w:t>
      </w:r>
      <w:r w:rsidR="00A641F3" w:rsidRPr="00814ADB">
        <w:rPr>
          <w:b w:val="0"/>
          <w:lang w:val="fr-FR"/>
        </w:rPr>
        <w:t>*</w:t>
      </w:r>
      <w:r w:rsidR="00A641F3">
        <w:rPr>
          <w:lang w:val="fr-FR"/>
        </w:rPr>
        <w:t>,</w:t>
      </w:r>
      <w:r w:rsidR="00A641F3">
        <w:rPr>
          <w:lang w:val="fr-FR"/>
        </w:rPr>
        <w:t xml:space="preserve"> </w:t>
      </w:r>
      <w:r w:rsidR="00A641F3" w:rsidRPr="00E81131">
        <w:rPr>
          <w:lang w:val="fr-FR"/>
        </w:rPr>
        <w:t>Thaïlande</w:t>
      </w:r>
      <w:r w:rsidR="00A641F3" w:rsidRPr="00814ADB">
        <w:rPr>
          <w:b w:val="0"/>
          <w:lang w:val="fr-FR"/>
        </w:rPr>
        <w:t>*</w:t>
      </w:r>
      <w:r w:rsidR="00A641F3" w:rsidRPr="00E81131">
        <w:rPr>
          <w:lang w:val="fr-FR"/>
        </w:rPr>
        <w:t xml:space="preserve">, </w:t>
      </w:r>
      <w:r w:rsidRPr="00E81131">
        <w:rPr>
          <w:lang w:val="fr-FR"/>
        </w:rPr>
        <w:t>Ukraine</w:t>
      </w:r>
      <w:r w:rsidR="00814ADB" w:rsidRPr="00814ADB">
        <w:rPr>
          <w:b w:val="0"/>
          <w:lang w:val="fr-FR"/>
        </w:rPr>
        <w:t>*</w:t>
      </w:r>
      <w:r w:rsidR="00A641F3">
        <w:rPr>
          <w:lang w:val="fr-FR"/>
        </w:rPr>
        <w:t> </w:t>
      </w:r>
      <w:r w:rsidRPr="00E81131">
        <w:rPr>
          <w:lang w:val="fr-FR"/>
        </w:rPr>
        <w:t xml:space="preserve">: </w:t>
      </w:r>
      <w:r w:rsidR="00A641F3">
        <w:rPr>
          <w:lang w:val="fr-FR"/>
        </w:rPr>
        <w:br/>
      </w:r>
      <w:r w:rsidRPr="00E81131">
        <w:rPr>
          <w:lang w:val="fr-FR"/>
        </w:rPr>
        <w:t>projet de résolution</w:t>
      </w:r>
    </w:p>
    <w:p w:rsidR="00ED772B" w:rsidRPr="005B14E8" w:rsidRDefault="00ED772B" w:rsidP="00E53B34">
      <w:pPr>
        <w:pStyle w:val="H1G"/>
        <w:ind w:left="1701" w:hanging="567"/>
        <w:rPr>
          <w:bCs/>
        </w:rPr>
      </w:pPr>
      <w:r>
        <w:rPr>
          <w:lang w:val="fr-FR"/>
        </w:rPr>
        <w:t>35/…</w:t>
      </w:r>
      <w:r>
        <w:rPr>
          <w:lang w:val="fr-FR"/>
        </w:rPr>
        <w:tab/>
        <w:t>Mandat du Rapporteur spécial</w:t>
      </w:r>
      <w:r w:rsidR="00814ADB" w:rsidRPr="00814ADB">
        <w:rPr>
          <w:rStyle w:val="Appelnotedebasdep"/>
          <w:b w:val="0"/>
          <w:sz w:val="20"/>
          <w:vertAlign w:val="baseline"/>
        </w:rPr>
        <w:footnoteReference w:customMarkFollows="1" w:id="3"/>
        <w:t>**</w:t>
      </w:r>
      <w:r w:rsidR="00814ADB" w:rsidRPr="00814ADB">
        <w:rPr>
          <w:b w:val="0"/>
          <w:sz w:val="20"/>
        </w:rPr>
        <w:t xml:space="preserve"> </w:t>
      </w:r>
      <w:r>
        <w:rPr>
          <w:lang w:val="fr-FR"/>
        </w:rPr>
        <w:t xml:space="preserve">sur l’indépendance des juges </w:t>
      </w:r>
      <w:r w:rsidR="000E29D6">
        <w:rPr>
          <w:lang w:val="fr-FR"/>
        </w:rPr>
        <w:br/>
      </w:r>
      <w:r>
        <w:rPr>
          <w:lang w:val="fr-FR"/>
        </w:rPr>
        <w:t>et des avocats</w:t>
      </w:r>
    </w:p>
    <w:p w:rsidR="00ED772B" w:rsidRPr="00FD2E92" w:rsidRDefault="00ED772B" w:rsidP="000E29D6">
      <w:pPr>
        <w:pStyle w:val="SingleTxtG"/>
        <w:ind w:firstLine="567"/>
      </w:pPr>
      <w:r w:rsidRPr="008A28C4">
        <w:rPr>
          <w:i/>
          <w:lang w:val="fr-FR"/>
        </w:rPr>
        <w:t>Le Conseil des droits de l’homm</w:t>
      </w:r>
      <w:r w:rsidRPr="008A28C4">
        <w:rPr>
          <w:lang w:val="fr-FR"/>
        </w:rPr>
        <w:t>e,</w:t>
      </w:r>
    </w:p>
    <w:p w:rsidR="00ED772B" w:rsidRPr="00E81131" w:rsidRDefault="00ED772B" w:rsidP="000E29D6">
      <w:pPr>
        <w:pStyle w:val="SingleTxtG"/>
        <w:ind w:firstLine="567"/>
      </w:pPr>
      <w:r w:rsidRPr="00FD2E92">
        <w:rPr>
          <w:i/>
          <w:lang w:val="fr-FR"/>
        </w:rPr>
        <w:t>Rappelant</w:t>
      </w:r>
      <w:r w:rsidRPr="00E81131">
        <w:rPr>
          <w:lang w:val="fr-FR"/>
        </w:rPr>
        <w:t xml:space="preserve"> toutes ses résolutions et décisions antérieures</w:t>
      </w:r>
      <w:r w:rsidRPr="00BF1F1F">
        <w:t xml:space="preserve"> </w:t>
      </w:r>
      <w:r w:rsidRPr="00BF1F1F">
        <w:rPr>
          <w:lang w:val="fr-FR"/>
        </w:rPr>
        <w:t>portant sur l</w:t>
      </w:r>
      <w:r>
        <w:rPr>
          <w:lang w:val="fr-FR"/>
        </w:rPr>
        <w:t>’</w:t>
      </w:r>
      <w:r w:rsidRPr="00BF1F1F">
        <w:rPr>
          <w:lang w:val="fr-FR"/>
        </w:rPr>
        <w:t xml:space="preserve">indépendance </w:t>
      </w:r>
      <w:r w:rsidRPr="008A28C4">
        <w:rPr>
          <w:spacing w:val="-1"/>
          <w:lang w:val="fr-FR"/>
        </w:rPr>
        <w:t>du pouvoir judiciaire et l’intégrité de l’appareil judiciaire</w:t>
      </w:r>
      <w:r w:rsidR="008A28C4" w:rsidRPr="008A28C4">
        <w:rPr>
          <w:spacing w:val="-1"/>
          <w:lang w:val="fr-FR"/>
        </w:rPr>
        <w:t xml:space="preserve">, ainsi que celles de la </w:t>
      </w:r>
      <w:r w:rsidRPr="008A28C4">
        <w:rPr>
          <w:spacing w:val="-1"/>
          <w:lang w:val="fr-FR"/>
        </w:rPr>
        <w:t>Commission</w:t>
      </w:r>
      <w:r w:rsidRPr="00E81131">
        <w:rPr>
          <w:lang w:val="fr-FR"/>
        </w:rPr>
        <w:t xml:space="preserve"> des droits de l</w:t>
      </w:r>
      <w:r>
        <w:rPr>
          <w:lang w:val="fr-FR"/>
        </w:rPr>
        <w:t>’</w:t>
      </w:r>
      <w:r w:rsidRPr="00E81131">
        <w:rPr>
          <w:lang w:val="fr-FR"/>
        </w:rPr>
        <w:t>homme et de l</w:t>
      </w:r>
      <w:r>
        <w:rPr>
          <w:lang w:val="fr-FR"/>
        </w:rPr>
        <w:t>’</w:t>
      </w:r>
      <w:r w:rsidRPr="00E81131">
        <w:rPr>
          <w:lang w:val="fr-FR"/>
        </w:rPr>
        <w:t>Assemblée générale,</w:t>
      </w:r>
    </w:p>
    <w:p w:rsidR="00ED772B" w:rsidRPr="00E81131" w:rsidRDefault="00ED772B" w:rsidP="000E29D6">
      <w:pPr>
        <w:pStyle w:val="SingleTxtG"/>
        <w:ind w:firstLine="567"/>
      </w:pPr>
      <w:r w:rsidRPr="00FD2E92">
        <w:rPr>
          <w:i/>
          <w:lang w:val="fr-FR"/>
        </w:rPr>
        <w:t>Convaincu</w:t>
      </w:r>
      <w:r w:rsidRPr="00E81131">
        <w:rPr>
          <w:lang w:val="fr-FR"/>
        </w:rPr>
        <w:t xml:space="preserve"> qu</w:t>
      </w:r>
      <w:r>
        <w:rPr>
          <w:lang w:val="fr-FR"/>
        </w:rPr>
        <w:t>’</w:t>
      </w:r>
      <w:r w:rsidRPr="00E81131">
        <w:rPr>
          <w:lang w:val="fr-FR"/>
        </w:rPr>
        <w:t>un pouvoir judiciaire indépendant et impartial, un barreau indépendant</w:t>
      </w:r>
      <w:r>
        <w:rPr>
          <w:lang w:val="fr-FR"/>
        </w:rPr>
        <w:t>,</w:t>
      </w:r>
      <w:r w:rsidRPr="00E81131">
        <w:rPr>
          <w:lang w:val="fr-FR"/>
        </w:rPr>
        <w:t xml:space="preserve"> un parquet objectif et impartial capable d</w:t>
      </w:r>
      <w:r>
        <w:rPr>
          <w:lang w:val="fr-FR"/>
        </w:rPr>
        <w:t>’</w:t>
      </w:r>
      <w:r w:rsidRPr="00E81131">
        <w:rPr>
          <w:lang w:val="fr-FR"/>
        </w:rPr>
        <w:t xml:space="preserve">exercer ses fonctions en conséquence </w:t>
      </w:r>
      <w:r>
        <w:rPr>
          <w:lang w:val="fr-FR"/>
        </w:rPr>
        <w:t>et un</w:t>
      </w:r>
      <w:r w:rsidRPr="00E81131">
        <w:rPr>
          <w:lang w:val="fr-FR"/>
        </w:rPr>
        <w:t xml:space="preserve"> système judiciaire </w:t>
      </w:r>
      <w:r>
        <w:rPr>
          <w:lang w:val="fr-FR"/>
        </w:rPr>
        <w:t xml:space="preserve">intègre </w:t>
      </w:r>
      <w:r w:rsidRPr="00E81131">
        <w:rPr>
          <w:lang w:val="fr-FR"/>
        </w:rPr>
        <w:t>sont des préalables indispensables à la protection des droits de l</w:t>
      </w:r>
      <w:r>
        <w:rPr>
          <w:lang w:val="fr-FR"/>
        </w:rPr>
        <w:t>’</w:t>
      </w:r>
      <w:r w:rsidRPr="00E81131">
        <w:rPr>
          <w:lang w:val="fr-FR"/>
        </w:rPr>
        <w:t>homme</w:t>
      </w:r>
      <w:r>
        <w:rPr>
          <w:lang w:val="fr-FR"/>
        </w:rPr>
        <w:t xml:space="preserve"> et des libertés fondamentales</w:t>
      </w:r>
      <w:r w:rsidRPr="00E81131">
        <w:rPr>
          <w:lang w:val="fr-FR"/>
        </w:rPr>
        <w:t xml:space="preserve">, à la primauté du droit et à la garantie de procès équitables </w:t>
      </w:r>
      <w:r>
        <w:rPr>
          <w:lang w:val="fr-FR"/>
        </w:rPr>
        <w:t>sans</w:t>
      </w:r>
      <w:r w:rsidRPr="00E81131">
        <w:rPr>
          <w:lang w:val="fr-FR"/>
        </w:rPr>
        <w:t xml:space="preserve"> discrimination</w:t>
      </w:r>
      <w:r>
        <w:rPr>
          <w:lang w:val="fr-FR"/>
        </w:rPr>
        <w:t xml:space="preserve"> aucune</w:t>
      </w:r>
      <w:r w:rsidRPr="00E81131">
        <w:rPr>
          <w:lang w:val="fr-FR"/>
        </w:rPr>
        <w:t>,</w:t>
      </w:r>
    </w:p>
    <w:p w:rsidR="00ED772B" w:rsidRPr="00E81131" w:rsidRDefault="00ED772B" w:rsidP="000E29D6">
      <w:pPr>
        <w:pStyle w:val="SingleTxtG"/>
        <w:ind w:firstLine="567"/>
      </w:pPr>
      <w:r w:rsidRPr="00EF2A9F">
        <w:rPr>
          <w:i/>
          <w:lang w:val="fr-FR"/>
        </w:rPr>
        <w:t>Condamnant</w:t>
      </w:r>
      <w:r w:rsidRPr="00E81131">
        <w:rPr>
          <w:lang w:val="fr-FR"/>
        </w:rPr>
        <w:t xml:space="preserve"> les atteintes de plus en plus fréquentes à l</w:t>
      </w:r>
      <w:r>
        <w:rPr>
          <w:lang w:val="fr-FR"/>
        </w:rPr>
        <w:t>’</w:t>
      </w:r>
      <w:r w:rsidRPr="00E81131">
        <w:rPr>
          <w:lang w:val="fr-FR"/>
        </w:rPr>
        <w:t xml:space="preserve">indépendance des juges, des avocats, des procureurs et des personnels de justice, en particulier les menaces, </w:t>
      </w:r>
      <w:r w:rsidR="008A28C4">
        <w:rPr>
          <w:lang w:val="fr-FR"/>
        </w:rPr>
        <w:t>les </w:t>
      </w:r>
      <w:r w:rsidRPr="00E81131">
        <w:rPr>
          <w:lang w:val="fr-FR"/>
        </w:rPr>
        <w:t>manœuvres d</w:t>
      </w:r>
      <w:r>
        <w:rPr>
          <w:lang w:val="fr-FR"/>
        </w:rPr>
        <w:t>’</w:t>
      </w:r>
      <w:r w:rsidRPr="00E81131">
        <w:rPr>
          <w:lang w:val="fr-FR"/>
        </w:rPr>
        <w:t xml:space="preserve">intimidation et </w:t>
      </w:r>
      <w:r>
        <w:rPr>
          <w:lang w:val="fr-FR"/>
        </w:rPr>
        <w:t xml:space="preserve">les </w:t>
      </w:r>
      <w:r w:rsidRPr="00E81131">
        <w:rPr>
          <w:lang w:val="fr-FR"/>
        </w:rPr>
        <w:t>ingérences dont ils sont victimes dans l</w:t>
      </w:r>
      <w:r>
        <w:rPr>
          <w:lang w:val="fr-FR"/>
        </w:rPr>
        <w:t>’</w:t>
      </w:r>
      <w:r w:rsidR="008A28C4">
        <w:rPr>
          <w:lang w:val="fr-FR"/>
        </w:rPr>
        <w:t>exercice de leurs </w:t>
      </w:r>
      <w:r w:rsidRPr="00E81131">
        <w:rPr>
          <w:lang w:val="fr-FR"/>
        </w:rPr>
        <w:t>fonctions,</w:t>
      </w:r>
    </w:p>
    <w:p w:rsidR="00ED772B" w:rsidRPr="00E81131" w:rsidRDefault="00ED772B" w:rsidP="000E29D6">
      <w:pPr>
        <w:pStyle w:val="SingleTxtG"/>
        <w:ind w:firstLine="567"/>
      </w:pPr>
      <w:r w:rsidRPr="00EF2A9F">
        <w:rPr>
          <w:i/>
          <w:lang w:val="fr-FR"/>
        </w:rPr>
        <w:t>Rappelant</w:t>
      </w:r>
      <w:r w:rsidR="008A28C4">
        <w:rPr>
          <w:lang w:val="fr-FR"/>
        </w:rPr>
        <w:t xml:space="preserve"> ses résolutions </w:t>
      </w:r>
      <w:r w:rsidRPr="00E81131">
        <w:rPr>
          <w:lang w:val="fr-FR"/>
        </w:rPr>
        <w:t>5/1</w:t>
      </w:r>
      <w:r>
        <w:rPr>
          <w:lang w:val="fr-FR"/>
        </w:rPr>
        <w:t>,</w:t>
      </w:r>
      <w:r w:rsidRPr="00E81131">
        <w:rPr>
          <w:lang w:val="fr-FR"/>
        </w:rPr>
        <w:t xml:space="preserve"> sur la mise en place des institutions du Conseil</w:t>
      </w:r>
      <w:r>
        <w:rPr>
          <w:lang w:val="fr-FR"/>
        </w:rPr>
        <w:t>,</w:t>
      </w:r>
      <w:r w:rsidRPr="00E81131">
        <w:rPr>
          <w:lang w:val="fr-FR"/>
        </w:rPr>
        <w:t xml:space="preserve"> et 5/2</w:t>
      </w:r>
      <w:r>
        <w:rPr>
          <w:lang w:val="fr-FR"/>
        </w:rPr>
        <w:t>,</w:t>
      </w:r>
      <w:r w:rsidRPr="00E81131">
        <w:rPr>
          <w:lang w:val="fr-FR"/>
        </w:rPr>
        <w:t xml:space="preserve"> sur le Code de conduite pour les titulaires de mandat au titre des procédures spéciales du Conseil, en date du 18 juin 2007, et soulignant que le titulaire de mandat doit s</w:t>
      </w:r>
      <w:r>
        <w:rPr>
          <w:lang w:val="fr-FR"/>
        </w:rPr>
        <w:t>’</w:t>
      </w:r>
      <w:r w:rsidRPr="00E81131">
        <w:rPr>
          <w:lang w:val="fr-FR"/>
        </w:rPr>
        <w:t>acquitter de ses fonctions conformément à ces résolutions et à leurs annexes,</w:t>
      </w:r>
    </w:p>
    <w:p w:rsidR="00ED772B" w:rsidRPr="0045151E" w:rsidRDefault="00ED772B" w:rsidP="000E29D6">
      <w:pPr>
        <w:pStyle w:val="SingleTxtG"/>
        <w:ind w:firstLine="567"/>
      </w:pPr>
      <w:r w:rsidRPr="0045151E">
        <w:lastRenderedPageBreak/>
        <w:t>1.</w:t>
      </w:r>
      <w:r w:rsidRPr="0045151E">
        <w:tab/>
      </w:r>
      <w:r w:rsidRPr="00EF2A9F">
        <w:rPr>
          <w:i/>
        </w:rPr>
        <w:t>Félicite</w:t>
      </w:r>
      <w:r w:rsidRPr="00EF2A9F">
        <w:t xml:space="preserve"> </w:t>
      </w:r>
      <w:r>
        <w:t>le</w:t>
      </w:r>
      <w:r w:rsidRPr="00EF2A9F">
        <w:t xml:space="preserve"> Rapporteu</w:t>
      </w:r>
      <w:r>
        <w:t>r</w:t>
      </w:r>
      <w:r w:rsidRPr="00EF2A9F">
        <w:t xml:space="preserve"> spécial sur l</w:t>
      </w:r>
      <w:r>
        <w:t>’</w:t>
      </w:r>
      <w:r w:rsidRPr="00EF2A9F">
        <w:t>indépendance des juges et des avocats pour le travail important entrepris dans le cadre de son mandat</w:t>
      </w:r>
      <w:r w:rsidR="008A28C4">
        <w:t> </w:t>
      </w:r>
      <w:r w:rsidRPr="0045151E">
        <w:t>;</w:t>
      </w:r>
    </w:p>
    <w:p w:rsidR="00ED772B" w:rsidRPr="00E81131" w:rsidRDefault="00ED772B" w:rsidP="000E29D6">
      <w:pPr>
        <w:pStyle w:val="SingleTxtG"/>
        <w:ind w:firstLine="567"/>
      </w:pPr>
      <w:r w:rsidRPr="00E81131">
        <w:rPr>
          <w:lang w:val="fr-FR"/>
        </w:rPr>
        <w:t>2.</w:t>
      </w:r>
      <w:r w:rsidRPr="00E81131">
        <w:rPr>
          <w:lang w:val="fr-FR"/>
        </w:rPr>
        <w:tab/>
      </w:r>
      <w:r w:rsidRPr="00EF2A9F">
        <w:rPr>
          <w:i/>
          <w:lang w:val="fr-FR"/>
        </w:rPr>
        <w:t>Décide</w:t>
      </w:r>
      <w:r w:rsidRPr="00E81131">
        <w:rPr>
          <w:lang w:val="fr-FR"/>
        </w:rPr>
        <w:t xml:space="preserve"> de </w:t>
      </w:r>
      <w:r>
        <w:rPr>
          <w:lang w:val="fr-FR"/>
        </w:rPr>
        <w:t>proroger</w:t>
      </w:r>
      <w:r w:rsidRPr="00E81131">
        <w:rPr>
          <w:lang w:val="fr-FR"/>
        </w:rPr>
        <w:t xml:space="preserve"> </w:t>
      </w:r>
      <w:r>
        <w:rPr>
          <w:lang w:val="fr-FR"/>
        </w:rPr>
        <w:t xml:space="preserve">de trois ans </w:t>
      </w:r>
      <w:r w:rsidRPr="00E81131">
        <w:rPr>
          <w:lang w:val="fr-FR"/>
        </w:rPr>
        <w:t xml:space="preserve">le mandat du Rapporteur spécial </w:t>
      </w:r>
      <w:r w:rsidRPr="00EF2A9F">
        <w:rPr>
          <w:lang w:val="fr-FR"/>
        </w:rPr>
        <w:t>sur l</w:t>
      </w:r>
      <w:r>
        <w:rPr>
          <w:lang w:val="fr-FR"/>
        </w:rPr>
        <w:t>’</w:t>
      </w:r>
      <w:r w:rsidRPr="00EF2A9F">
        <w:rPr>
          <w:lang w:val="fr-FR"/>
        </w:rPr>
        <w:t>indépendance des juges</w:t>
      </w:r>
      <w:bookmarkStart w:id="0" w:name="_GoBack"/>
      <w:bookmarkEnd w:id="0"/>
      <w:r w:rsidRPr="00EF2A9F">
        <w:rPr>
          <w:lang w:val="fr-FR"/>
        </w:rPr>
        <w:t xml:space="preserve"> et des avocats</w:t>
      </w:r>
      <w:r w:rsidRPr="00E81131">
        <w:rPr>
          <w:lang w:val="fr-FR"/>
        </w:rPr>
        <w:t>, dans les conditions prévues par le Conseil des droits de l</w:t>
      </w:r>
      <w:r>
        <w:rPr>
          <w:lang w:val="fr-FR"/>
        </w:rPr>
        <w:t>’</w:t>
      </w:r>
      <w:r w:rsidR="008A28C4">
        <w:rPr>
          <w:lang w:val="fr-FR"/>
        </w:rPr>
        <w:t>homme dans sa résolution </w:t>
      </w:r>
      <w:r>
        <w:rPr>
          <w:lang w:val="fr-FR"/>
        </w:rPr>
        <w:t>26/7 en date du 26</w:t>
      </w:r>
      <w:r w:rsidR="008A28C4">
        <w:rPr>
          <w:lang w:val="fr-FR"/>
        </w:rPr>
        <w:t> </w:t>
      </w:r>
      <w:r>
        <w:rPr>
          <w:lang w:val="fr-FR"/>
        </w:rPr>
        <w:t>juin 2014</w:t>
      </w:r>
      <w:r w:rsidR="008A28C4">
        <w:rPr>
          <w:lang w:val="fr-FR"/>
        </w:rPr>
        <w:t> </w:t>
      </w:r>
      <w:r w:rsidRPr="00E81131">
        <w:rPr>
          <w:lang w:val="fr-FR"/>
        </w:rPr>
        <w:t>;</w:t>
      </w:r>
    </w:p>
    <w:p w:rsidR="00ED772B" w:rsidRPr="00E81131" w:rsidRDefault="00ED772B" w:rsidP="000E29D6">
      <w:pPr>
        <w:pStyle w:val="SingleTxtG"/>
        <w:ind w:firstLine="567"/>
      </w:pPr>
      <w:r w:rsidRPr="00E81131">
        <w:rPr>
          <w:lang w:val="fr-FR"/>
        </w:rPr>
        <w:t>3.</w:t>
      </w:r>
      <w:r w:rsidRPr="00E81131">
        <w:rPr>
          <w:lang w:val="fr-FR"/>
        </w:rPr>
        <w:tab/>
      </w:r>
      <w:r w:rsidRPr="00747FA0">
        <w:rPr>
          <w:i/>
          <w:lang w:val="fr-FR"/>
        </w:rPr>
        <w:t>Engage</w:t>
      </w:r>
      <w:r w:rsidRPr="00E81131">
        <w:rPr>
          <w:lang w:val="fr-FR"/>
        </w:rPr>
        <w:t xml:space="preserve"> tous les États à apporter leur coopération et leur aide au Rapporteur spécial dans l</w:t>
      </w:r>
      <w:r>
        <w:rPr>
          <w:lang w:val="fr-FR"/>
        </w:rPr>
        <w:t>’</w:t>
      </w:r>
      <w:r w:rsidRPr="00E81131">
        <w:rPr>
          <w:lang w:val="fr-FR"/>
        </w:rPr>
        <w:t>exercice de ses fonctions, à lui fournir tous les renseignements nécessaires qu</w:t>
      </w:r>
      <w:r>
        <w:rPr>
          <w:lang w:val="fr-FR"/>
        </w:rPr>
        <w:t>’</w:t>
      </w:r>
      <w:r w:rsidRPr="00E81131">
        <w:rPr>
          <w:lang w:val="fr-FR"/>
        </w:rPr>
        <w:t>il demande</w:t>
      </w:r>
      <w:r>
        <w:rPr>
          <w:lang w:val="fr-FR"/>
        </w:rPr>
        <w:t>, à répondre sans retard aux communications qu’il leur transmet,</w:t>
      </w:r>
      <w:r w:rsidRPr="00E81131">
        <w:rPr>
          <w:lang w:val="fr-FR"/>
        </w:rPr>
        <w:t xml:space="preserve"> à envisager favorablement </w:t>
      </w:r>
      <w:r>
        <w:rPr>
          <w:lang w:val="fr-FR"/>
        </w:rPr>
        <w:t>ses</w:t>
      </w:r>
      <w:r w:rsidRPr="00E81131">
        <w:rPr>
          <w:lang w:val="fr-FR"/>
        </w:rPr>
        <w:t xml:space="preserve"> demandes de visite et </w:t>
      </w:r>
      <w:r>
        <w:rPr>
          <w:lang w:val="fr-FR"/>
        </w:rPr>
        <w:t xml:space="preserve">à envisager de mettre </w:t>
      </w:r>
      <w:r w:rsidRPr="00E81131">
        <w:rPr>
          <w:lang w:val="fr-FR"/>
        </w:rPr>
        <w:t xml:space="preserve">en application </w:t>
      </w:r>
      <w:r>
        <w:rPr>
          <w:lang w:val="fr-FR"/>
        </w:rPr>
        <w:t>ses</w:t>
      </w:r>
      <w:r w:rsidRPr="00E81131">
        <w:rPr>
          <w:lang w:val="fr-FR"/>
        </w:rPr>
        <w:t xml:space="preserve"> recommandations</w:t>
      </w:r>
      <w:r w:rsidR="008A28C4">
        <w:rPr>
          <w:lang w:val="fr-FR"/>
        </w:rPr>
        <w:t> </w:t>
      </w:r>
      <w:r w:rsidRPr="00E81131">
        <w:rPr>
          <w:lang w:val="fr-FR"/>
        </w:rPr>
        <w:t>;</w:t>
      </w:r>
    </w:p>
    <w:p w:rsidR="00ED772B" w:rsidRPr="00E81131" w:rsidRDefault="00ED772B" w:rsidP="000E29D6">
      <w:pPr>
        <w:pStyle w:val="SingleTxtG"/>
        <w:ind w:firstLine="567"/>
      </w:pPr>
      <w:r w:rsidRPr="000E29D6">
        <w:rPr>
          <w:lang w:val="fr-FR"/>
        </w:rPr>
        <w:t>4.</w:t>
      </w:r>
      <w:r w:rsidRPr="000E29D6">
        <w:rPr>
          <w:lang w:val="fr-FR"/>
        </w:rPr>
        <w:tab/>
      </w:r>
      <w:r w:rsidRPr="00E25947">
        <w:rPr>
          <w:i/>
          <w:lang w:val="fr-FR"/>
        </w:rPr>
        <w:t>Encourage</w:t>
      </w:r>
      <w:r w:rsidRPr="000E29D6">
        <w:rPr>
          <w:i/>
          <w:lang w:val="fr-FR"/>
        </w:rPr>
        <w:t xml:space="preserve"> </w:t>
      </w:r>
      <w:r w:rsidRPr="006209F5">
        <w:rPr>
          <w:lang w:val="fr-FR"/>
        </w:rPr>
        <w:t>l’Organisation des Nations Unies, notamment ses institutions spécialisées, ainsi que les organisations régionales, les institutions nationales des droits de</w:t>
      </w:r>
      <w:r w:rsidRPr="00E81131">
        <w:rPr>
          <w:lang w:val="fr-FR"/>
        </w:rPr>
        <w:t xml:space="preserve"> l</w:t>
      </w:r>
      <w:r>
        <w:rPr>
          <w:lang w:val="fr-FR"/>
        </w:rPr>
        <w:t>’</w:t>
      </w:r>
      <w:r w:rsidRPr="00E81131">
        <w:rPr>
          <w:lang w:val="fr-FR"/>
        </w:rPr>
        <w:t>homme</w:t>
      </w:r>
      <w:r>
        <w:rPr>
          <w:lang w:val="fr-FR"/>
        </w:rPr>
        <w:t>,</w:t>
      </w:r>
      <w:r w:rsidRPr="00E25947">
        <w:t xml:space="preserve"> </w:t>
      </w:r>
      <w:r w:rsidRPr="00E25947">
        <w:rPr>
          <w:lang w:val="fr-FR"/>
        </w:rPr>
        <w:t xml:space="preserve">les experts indépendants, </w:t>
      </w:r>
      <w:r>
        <w:rPr>
          <w:lang w:val="fr-FR"/>
        </w:rPr>
        <w:t>les barreaux,</w:t>
      </w:r>
      <w:r w:rsidRPr="00E81131">
        <w:rPr>
          <w:lang w:val="fr-FR"/>
        </w:rPr>
        <w:t xml:space="preserve"> les </w:t>
      </w:r>
      <w:r>
        <w:rPr>
          <w:lang w:val="fr-FR"/>
        </w:rPr>
        <w:t xml:space="preserve">associations professionnelles de juges et de procureurs, </w:t>
      </w:r>
      <w:r w:rsidRPr="00E81131">
        <w:rPr>
          <w:lang w:val="fr-FR"/>
        </w:rPr>
        <w:t>les organisations non gouvernementales et</w:t>
      </w:r>
      <w:r>
        <w:rPr>
          <w:lang w:val="fr-FR"/>
        </w:rPr>
        <w:t xml:space="preserve"> le</w:t>
      </w:r>
      <w:r w:rsidR="00FF3CC5">
        <w:rPr>
          <w:lang w:val="fr-FR"/>
        </w:rPr>
        <w:t>s</w:t>
      </w:r>
      <w:r>
        <w:rPr>
          <w:lang w:val="fr-FR"/>
        </w:rPr>
        <w:t xml:space="preserve"> autres parties intéressées </w:t>
      </w:r>
      <w:r w:rsidR="008A28C4">
        <w:rPr>
          <w:lang w:val="fr-FR"/>
        </w:rPr>
        <w:t>à </w:t>
      </w:r>
      <w:r w:rsidRPr="00E81131">
        <w:rPr>
          <w:lang w:val="fr-FR"/>
        </w:rPr>
        <w:t>collaborer autant que possible avec le Rapporteur spécial aux fins de l</w:t>
      </w:r>
      <w:r>
        <w:rPr>
          <w:lang w:val="fr-FR"/>
        </w:rPr>
        <w:t>’</w:t>
      </w:r>
      <w:r w:rsidR="008A28C4">
        <w:rPr>
          <w:lang w:val="fr-FR"/>
        </w:rPr>
        <w:t>exécution de son mandat </w:t>
      </w:r>
      <w:r w:rsidRPr="00E81131">
        <w:rPr>
          <w:lang w:val="fr-FR"/>
        </w:rPr>
        <w:t>;</w:t>
      </w:r>
    </w:p>
    <w:p w:rsidR="00ED772B" w:rsidRPr="00E81131" w:rsidRDefault="00ED772B" w:rsidP="000E29D6">
      <w:pPr>
        <w:pStyle w:val="SingleTxtG"/>
        <w:ind w:firstLine="567"/>
      </w:pPr>
      <w:r w:rsidRPr="00E81131">
        <w:rPr>
          <w:lang w:val="fr-FR"/>
        </w:rPr>
        <w:t>5.</w:t>
      </w:r>
      <w:r w:rsidRPr="00E81131">
        <w:rPr>
          <w:lang w:val="fr-FR"/>
        </w:rPr>
        <w:tab/>
      </w:r>
      <w:r w:rsidRPr="00E25947">
        <w:rPr>
          <w:i/>
          <w:lang w:val="fr-FR"/>
        </w:rPr>
        <w:t>Prie</w:t>
      </w:r>
      <w:r w:rsidRPr="00E81131">
        <w:rPr>
          <w:lang w:val="fr-FR"/>
        </w:rPr>
        <w:t xml:space="preserve"> le Secrétaire général et </w:t>
      </w:r>
      <w:r w:rsidR="008A28C4">
        <w:rPr>
          <w:lang w:val="fr-FR"/>
        </w:rPr>
        <w:t xml:space="preserve">le Haut-Commissaire des </w:t>
      </w:r>
      <w:r w:rsidR="008A28C4" w:rsidRPr="008A28C4">
        <w:t>Nations</w:t>
      </w:r>
      <w:r w:rsidR="008A28C4">
        <w:t> </w:t>
      </w:r>
      <w:r w:rsidRPr="008A28C4">
        <w:t>Unies</w:t>
      </w:r>
      <w:r w:rsidRPr="00E81131">
        <w:rPr>
          <w:lang w:val="fr-FR"/>
        </w:rPr>
        <w:t xml:space="preserve"> aux droits de l</w:t>
      </w:r>
      <w:r>
        <w:rPr>
          <w:lang w:val="fr-FR"/>
        </w:rPr>
        <w:t>’</w:t>
      </w:r>
      <w:r w:rsidRPr="00E81131">
        <w:rPr>
          <w:lang w:val="fr-FR"/>
        </w:rPr>
        <w:t xml:space="preserve">homme de fournir au Rapporteur spécial </w:t>
      </w:r>
      <w:r>
        <w:rPr>
          <w:lang w:val="fr-FR"/>
        </w:rPr>
        <w:t>toutes les ressources humaines et financières</w:t>
      </w:r>
      <w:r w:rsidRPr="00E81131">
        <w:rPr>
          <w:lang w:val="fr-FR"/>
        </w:rPr>
        <w:t xml:space="preserve"> nécessaire</w:t>
      </w:r>
      <w:r>
        <w:rPr>
          <w:lang w:val="fr-FR"/>
        </w:rPr>
        <w:t>s</w:t>
      </w:r>
      <w:r w:rsidRPr="00E81131">
        <w:rPr>
          <w:lang w:val="fr-FR"/>
        </w:rPr>
        <w:t xml:space="preserve"> pour qu</w:t>
      </w:r>
      <w:r>
        <w:rPr>
          <w:lang w:val="fr-FR"/>
        </w:rPr>
        <w:t>’</w:t>
      </w:r>
      <w:r w:rsidRPr="00E81131">
        <w:rPr>
          <w:lang w:val="fr-FR"/>
        </w:rPr>
        <w:t>il puisse s</w:t>
      </w:r>
      <w:r>
        <w:rPr>
          <w:lang w:val="fr-FR"/>
        </w:rPr>
        <w:t>’</w:t>
      </w:r>
      <w:r w:rsidRPr="00E81131">
        <w:rPr>
          <w:lang w:val="fr-FR"/>
        </w:rPr>
        <w:t>acqui</w:t>
      </w:r>
      <w:r w:rsidR="008A28C4">
        <w:rPr>
          <w:lang w:val="fr-FR"/>
        </w:rPr>
        <w:t>tter efficacement de son mandat </w:t>
      </w:r>
      <w:r w:rsidRPr="00E81131">
        <w:rPr>
          <w:lang w:val="fr-FR"/>
        </w:rPr>
        <w:t>;</w:t>
      </w:r>
    </w:p>
    <w:p w:rsidR="00552797" w:rsidRDefault="00ED772B" w:rsidP="000E29D6">
      <w:pPr>
        <w:pStyle w:val="SingleTxtG"/>
        <w:ind w:firstLine="567"/>
        <w:rPr>
          <w:lang w:val="fr-FR"/>
        </w:rPr>
      </w:pPr>
      <w:r w:rsidRPr="00E81131">
        <w:rPr>
          <w:lang w:val="fr-FR"/>
        </w:rPr>
        <w:t>6.</w:t>
      </w:r>
      <w:r w:rsidRPr="00E81131">
        <w:rPr>
          <w:lang w:val="fr-FR"/>
        </w:rPr>
        <w:tab/>
      </w:r>
      <w:r w:rsidRPr="00E25947">
        <w:rPr>
          <w:i/>
          <w:lang w:val="fr-FR"/>
        </w:rPr>
        <w:t>Décide</w:t>
      </w:r>
      <w:r w:rsidRPr="00E81131">
        <w:rPr>
          <w:lang w:val="fr-FR"/>
        </w:rPr>
        <w:t xml:space="preserve"> de poursuivre l</w:t>
      </w:r>
      <w:r>
        <w:rPr>
          <w:lang w:val="fr-FR"/>
        </w:rPr>
        <w:t>’</w:t>
      </w:r>
      <w:r w:rsidRPr="00E81131">
        <w:rPr>
          <w:lang w:val="fr-FR"/>
        </w:rPr>
        <w:t xml:space="preserve">examen de cette question conformément </w:t>
      </w:r>
      <w:r>
        <w:rPr>
          <w:lang w:val="fr-FR"/>
        </w:rPr>
        <w:t>à son</w:t>
      </w:r>
      <w:r w:rsidRPr="00E81131">
        <w:rPr>
          <w:lang w:val="fr-FR"/>
        </w:rPr>
        <w:t xml:space="preserve"> programme de travail annuel.</w:t>
      </w:r>
    </w:p>
    <w:p w:rsidR="00ED772B" w:rsidRPr="00ED772B" w:rsidRDefault="00ED772B" w:rsidP="00ED772B">
      <w:pPr>
        <w:pStyle w:val="SingleTxtG"/>
        <w:spacing w:before="240" w:after="0"/>
        <w:jc w:val="center"/>
        <w:rPr>
          <w:u w:val="single"/>
        </w:rPr>
      </w:pPr>
      <w:r>
        <w:rPr>
          <w:u w:val="single"/>
        </w:rPr>
        <w:tab/>
      </w:r>
      <w:r>
        <w:rPr>
          <w:u w:val="single"/>
        </w:rPr>
        <w:tab/>
      </w:r>
      <w:r>
        <w:rPr>
          <w:u w:val="single"/>
        </w:rPr>
        <w:tab/>
      </w:r>
    </w:p>
    <w:sectPr w:rsidR="00ED772B" w:rsidRPr="00ED772B" w:rsidSect="00B02B6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74" w:rsidRPr="00EF7F30" w:rsidRDefault="006B2274" w:rsidP="00EF7F30">
      <w:pPr>
        <w:pStyle w:val="Pieddepage"/>
      </w:pPr>
    </w:p>
  </w:endnote>
  <w:endnote w:type="continuationSeparator" w:id="0">
    <w:p w:rsidR="006B2274" w:rsidRPr="00EF7F30" w:rsidRDefault="006B2274" w:rsidP="00EF7F30">
      <w:pPr>
        <w:pStyle w:val="Pieddepage"/>
      </w:pPr>
    </w:p>
  </w:endnote>
  <w:endnote w:type="continuationNotice" w:id="1">
    <w:p w:rsidR="006B2274" w:rsidRDefault="006B22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B" w:rsidRPr="00B02B6B" w:rsidRDefault="00B02B6B" w:rsidP="00B02B6B">
    <w:pPr>
      <w:pStyle w:val="Pieddepage"/>
      <w:tabs>
        <w:tab w:val="right" w:pos="9638"/>
      </w:tabs>
    </w:pPr>
    <w:r w:rsidRPr="00B02B6B">
      <w:rPr>
        <w:b/>
        <w:sz w:val="18"/>
      </w:rPr>
      <w:fldChar w:fldCharType="begin"/>
    </w:r>
    <w:r w:rsidRPr="00B02B6B">
      <w:rPr>
        <w:b/>
        <w:sz w:val="18"/>
      </w:rPr>
      <w:instrText xml:space="preserve"> PAGE  \* MERGEFORMAT </w:instrText>
    </w:r>
    <w:r w:rsidRPr="00B02B6B">
      <w:rPr>
        <w:b/>
        <w:sz w:val="18"/>
      </w:rPr>
      <w:fldChar w:fldCharType="separate"/>
    </w:r>
    <w:r w:rsidR="00991518">
      <w:rPr>
        <w:b/>
        <w:noProof/>
        <w:sz w:val="18"/>
      </w:rPr>
      <w:t>2</w:t>
    </w:r>
    <w:r w:rsidRPr="00B02B6B">
      <w:rPr>
        <w:b/>
        <w:sz w:val="18"/>
      </w:rPr>
      <w:fldChar w:fldCharType="end"/>
    </w:r>
    <w:r>
      <w:rPr>
        <w:b/>
        <w:sz w:val="18"/>
      </w:rPr>
      <w:tab/>
    </w:r>
    <w:r>
      <w:t>GE.17-10046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B" w:rsidRPr="00B02B6B" w:rsidRDefault="00B02B6B" w:rsidP="00B02B6B">
    <w:pPr>
      <w:pStyle w:val="Pieddepage"/>
      <w:tabs>
        <w:tab w:val="right" w:pos="9638"/>
      </w:tabs>
      <w:rPr>
        <w:b/>
        <w:sz w:val="18"/>
      </w:rPr>
    </w:pPr>
    <w:r>
      <w:t>GE.17-10046</w:t>
    </w:r>
    <w:r>
      <w:tab/>
    </w:r>
    <w:r w:rsidRPr="00B02B6B">
      <w:rPr>
        <w:b/>
        <w:sz w:val="18"/>
      </w:rPr>
      <w:fldChar w:fldCharType="begin"/>
    </w:r>
    <w:r w:rsidRPr="00B02B6B">
      <w:rPr>
        <w:b/>
        <w:sz w:val="18"/>
      </w:rPr>
      <w:instrText xml:space="preserve"> PAGE  \* MERGEFORMAT </w:instrText>
    </w:r>
    <w:r w:rsidRPr="00B02B6B">
      <w:rPr>
        <w:b/>
        <w:sz w:val="18"/>
      </w:rPr>
      <w:fldChar w:fldCharType="separate"/>
    </w:r>
    <w:r w:rsidR="006209F5">
      <w:rPr>
        <w:b/>
        <w:noProof/>
        <w:sz w:val="18"/>
      </w:rPr>
      <w:t>2</w:t>
    </w:r>
    <w:r w:rsidRPr="00B02B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B02B6B" w:rsidRDefault="00B02B6B" w:rsidP="00B02B6B">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17-10046  (F)    190617    200617</w:t>
    </w:r>
    <w:r>
      <w:rPr>
        <w:sz w:val="20"/>
      </w:rPr>
      <w:br/>
    </w:r>
    <w:r w:rsidRPr="00B02B6B">
      <w:rPr>
        <w:rFonts w:ascii="C39T30Lfz" w:hAnsi="C39T30Lfz"/>
        <w:sz w:val="56"/>
      </w:rPr>
      <w:t></w:t>
    </w:r>
    <w:r w:rsidRPr="00B02B6B">
      <w:rPr>
        <w:rFonts w:ascii="C39T30Lfz" w:hAnsi="C39T30Lfz"/>
        <w:sz w:val="56"/>
      </w:rPr>
      <w:t></w:t>
    </w:r>
    <w:r w:rsidRPr="00B02B6B">
      <w:rPr>
        <w:rFonts w:ascii="C39T30Lfz" w:hAnsi="C39T30Lfz"/>
        <w:sz w:val="56"/>
      </w:rPr>
      <w:t></w:t>
    </w:r>
    <w:r w:rsidRPr="00B02B6B">
      <w:rPr>
        <w:rFonts w:ascii="C39T30Lfz" w:hAnsi="C39T30Lfz"/>
        <w:sz w:val="56"/>
      </w:rPr>
      <w:t></w:t>
    </w:r>
    <w:r w:rsidRPr="00B02B6B">
      <w:rPr>
        <w:rFonts w:ascii="C39T30Lfz" w:hAnsi="C39T30Lfz"/>
        <w:sz w:val="56"/>
      </w:rPr>
      <w:t></w:t>
    </w:r>
    <w:r w:rsidRPr="00B02B6B">
      <w:rPr>
        <w:rFonts w:ascii="C39T30Lfz" w:hAnsi="C39T30Lfz"/>
        <w:sz w:val="56"/>
      </w:rPr>
      <w:t></w:t>
    </w:r>
    <w:r w:rsidRPr="00B02B6B">
      <w:rPr>
        <w:rFonts w:ascii="C39T30Lfz" w:hAnsi="C39T30Lfz"/>
        <w:sz w:val="56"/>
      </w:rPr>
      <w:t></w:t>
    </w:r>
    <w:r w:rsidRPr="00B02B6B">
      <w:rPr>
        <w:rFonts w:ascii="C39T30Lfz" w:hAnsi="C39T30Lfz"/>
        <w:sz w:val="56"/>
      </w:rPr>
      <w:t></w:t>
    </w:r>
    <w:r w:rsidRPr="00B02B6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35/L.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74" w:rsidRPr="00EF7F30" w:rsidRDefault="006B2274"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6B2274" w:rsidRPr="00EF7F30" w:rsidRDefault="006B2274" w:rsidP="000E5ADA">
      <w:pPr>
        <w:pStyle w:val="Pieddepage"/>
        <w:tabs>
          <w:tab w:val="right" w:pos="2155"/>
        </w:tabs>
        <w:spacing w:after="80" w:line="240" w:lineRule="atLeast"/>
        <w:ind w:left="680"/>
      </w:pPr>
      <w:r w:rsidRPr="00EF7F30">
        <w:rPr>
          <w:u w:val="single"/>
        </w:rPr>
        <w:tab/>
      </w:r>
    </w:p>
  </w:footnote>
  <w:footnote w:type="continuationNotice" w:id="1">
    <w:p w:rsidR="006B2274" w:rsidRPr="000F2457" w:rsidRDefault="006B2274">
      <w:pPr>
        <w:spacing w:line="240" w:lineRule="auto"/>
        <w:rPr>
          <w:sz w:val="2"/>
          <w:szCs w:val="2"/>
        </w:rPr>
      </w:pPr>
    </w:p>
  </w:footnote>
  <w:footnote w:id="2">
    <w:p w:rsidR="008A28C4" w:rsidRPr="008A28C4" w:rsidRDefault="008A28C4">
      <w:pPr>
        <w:pStyle w:val="Notedebasdepage"/>
      </w:pPr>
      <w:r>
        <w:rPr>
          <w:rStyle w:val="Appelnotedebasdep"/>
        </w:rPr>
        <w:tab/>
      </w:r>
      <w:r w:rsidRPr="008A28C4">
        <w:rPr>
          <w:rStyle w:val="Appelnotedebasdep"/>
          <w:sz w:val="20"/>
          <w:vertAlign w:val="baseline"/>
        </w:rPr>
        <w:t>*</w:t>
      </w:r>
      <w:r>
        <w:rPr>
          <w:rStyle w:val="Appelnotedebasdep"/>
          <w:sz w:val="20"/>
          <w:vertAlign w:val="baseline"/>
        </w:rPr>
        <w:tab/>
      </w:r>
      <w:r>
        <w:rPr>
          <w:lang w:val="fr-FR"/>
        </w:rPr>
        <w:t>État non membre du Conseil des droits de l’homme.</w:t>
      </w:r>
    </w:p>
  </w:footnote>
  <w:footnote w:id="3">
    <w:p w:rsidR="00814ADB" w:rsidRPr="00814ADB" w:rsidRDefault="00814ADB">
      <w:pPr>
        <w:pStyle w:val="Notedebasdepage"/>
      </w:pPr>
      <w:r>
        <w:rPr>
          <w:rStyle w:val="Appelnotedebasdep"/>
        </w:rPr>
        <w:tab/>
      </w:r>
      <w:r w:rsidRPr="00814ADB">
        <w:rPr>
          <w:rStyle w:val="Appelnotedebasdep"/>
          <w:sz w:val="20"/>
          <w:vertAlign w:val="baseline"/>
        </w:rPr>
        <w:t>**</w:t>
      </w:r>
      <w:r>
        <w:rPr>
          <w:rStyle w:val="Appelnotedebasdep"/>
          <w:sz w:val="20"/>
          <w:vertAlign w:val="baseline"/>
        </w:rPr>
        <w:tab/>
      </w:r>
      <w:r w:rsidRPr="008A28C4">
        <w:rPr>
          <w:rStyle w:val="Appelnotedebasdep"/>
          <w:vertAlign w:val="baseline"/>
        </w:rPr>
        <w:t>Le titre de Rapporteur spécial employé dans le présent document peut désigner indifféremment une femme ou un homme.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B" w:rsidRPr="00B02B6B" w:rsidRDefault="00B02B6B">
    <w:pPr>
      <w:pStyle w:val="En-tte"/>
    </w:pPr>
    <w:fldSimple w:instr=" TITLE  \* MERGEFORMAT ">
      <w:r w:rsidR="00991518">
        <w:t>A/HRC/35/L.19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B" w:rsidRPr="00B02B6B" w:rsidRDefault="00B02B6B" w:rsidP="00B02B6B">
    <w:pPr>
      <w:pStyle w:val="En-tte"/>
      <w:jc w:val="right"/>
    </w:pPr>
    <w:fldSimple w:instr=" TITLE  \* MERGEFORMAT ">
      <w:r w:rsidR="00991518">
        <w:t>A/HRC/35/L.19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74"/>
    <w:rsid w:val="00023842"/>
    <w:rsid w:val="0007796D"/>
    <w:rsid w:val="000E29D6"/>
    <w:rsid w:val="000E5ADA"/>
    <w:rsid w:val="000F2457"/>
    <w:rsid w:val="00111F2F"/>
    <w:rsid w:val="00131E73"/>
    <w:rsid w:val="0014365E"/>
    <w:rsid w:val="00176178"/>
    <w:rsid w:val="001F525A"/>
    <w:rsid w:val="00212168"/>
    <w:rsid w:val="00260711"/>
    <w:rsid w:val="002E0D9C"/>
    <w:rsid w:val="003547BE"/>
    <w:rsid w:val="0042052A"/>
    <w:rsid w:val="00446FE5"/>
    <w:rsid w:val="00447570"/>
    <w:rsid w:val="005463DA"/>
    <w:rsid w:val="00552797"/>
    <w:rsid w:val="00573BE5"/>
    <w:rsid w:val="00586ED3"/>
    <w:rsid w:val="00587A52"/>
    <w:rsid w:val="005B4E23"/>
    <w:rsid w:val="00617B29"/>
    <w:rsid w:val="006209F5"/>
    <w:rsid w:val="0068446C"/>
    <w:rsid w:val="00695AED"/>
    <w:rsid w:val="006B2274"/>
    <w:rsid w:val="006F6AC6"/>
    <w:rsid w:val="00710BD6"/>
    <w:rsid w:val="0071601D"/>
    <w:rsid w:val="00721020"/>
    <w:rsid w:val="00731589"/>
    <w:rsid w:val="00731700"/>
    <w:rsid w:val="0080684C"/>
    <w:rsid w:val="00814ADB"/>
    <w:rsid w:val="00826276"/>
    <w:rsid w:val="00871C75"/>
    <w:rsid w:val="008776DC"/>
    <w:rsid w:val="008A28C4"/>
    <w:rsid w:val="008B386A"/>
    <w:rsid w:val="00906445"/>
    <w:rsid w:val="0094352E"/>
    <w:rsid w:val="00962015"/>
    <w:rsid w:val="009705C8"/>
    <w:rsid w:val="00991518"/>
    <w:rsid w:val="009A47AB"/>
    <w:rsid w:val="00A12E20"/>
    <w:rsid w:val="00A641F3"/>
    <w:rsid w:val="00AC7BEB"/>
    <w:rsid w:val="00AE323C"/>
    <w:rsid w:val="00B02B6B"/>
    <w:rsid w:val="00B137C9"/>
    <w:rsid w:val="00B16AAF"/>
    <w:rsid w:val="00B22A9E"/>
    <w:rsid w:val="00B24C75"/>
    <w:rsid w:val="00B528BF"/>
    <w:rsid w:val="00C02897"/>
    <w:rsid w:val="00C12613"/>
    <w:rsid w:val="00D45432"/>
    <w:rsid w:val="00DB1831"/>
    <w:rsid w:val="00DD3BFD"/>
    <w:rsid w:val="00E228A8"/>
    <w:rsid w:val="00E42035"/>
    <w:rsid w:val="00E53B34"/>
    <w:rsid w:val="00E6618E"/>
    <w:rsid w:val="00ED772B"/>
    <w:rsid w:val="00EF7F30"/>
    <w:rsid w:val="00F660DF"/>
    <w:rsid w:val="00F95C08"/>
    <w:rsid w:val="00FF3C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A9796"/>
  <w15:docId w15:val="{C2783D75-CB23-4752-A7C7-33CE0565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217D-BBD8-4538-BD03-135C386A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2</Pages>
  <Words>558</Words>
  <Characters>3353</Characters>
  <Application>Microsoft Office Word</Application>
  <DocSecurity>0</DocSecurity>
  <Lines>479</Lines>
  <Paragraphs>205</Paragraphs>
  <ScaleCrop>false</ScaleCrop>
  <HeadingPairs>
    <vt:vector size="2" baseType="variant">
      <vt:variant>
        <vt:lpstr>Titre</vt:lpstr>
      </vt:variant>
      <vt:variant>
        <vt:i4>1</vt:i4>
      </vt:variant>
    </vt:vector>
  </HeadingPairs>
  <TitlesOfParts>
    <vt:vector size="1" baseType="lpstr">
      <vt:lpstr>A/HRC/35/L.19</vt:lpstr>
    </vt:vector>
  </TitlesOfParts>
  <Company>DCM</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A/HRC/35/L.19</dc:title>
  <dc:subject/>
  <dc:creator>Marie DESCHAMPS</dc:creator>
  <cp:keywords/>
  <cp:lastModifiedBy>Marie DESCHAMPS</cp:lastModifiedBy>
  <cp:revision>3</cp:revision>
  <cp:lastPrinted>2017-06-20T05:38:00Z</cp:lastPrinted>
  <dcterms:created xsi:type="dcterms:W3CDTF">2017-06-20T05:38:00Z</dcterms:created>
  <dcterms:modified xsi:type="dcterms:W3CDTF">2017-06-20T05:39:00Z</dcterms:modified>
</cp:coreProperties>
</file>