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446DE4" w:rsidRPr="00DE3EC0" w:rsidRDefault="00E97EED" w:rsidP="001A4B43">
            <w:pPr>
              <w:jc w:val="right"/>
            </w:pPr>
            <w:r w:rsidRPr="00E97EED">
              <w:rPr>
                <w:sz w:val="40"/>
              </w:rPr>
              <w:t>A</w:t>
            </w:r>
            <w:r>
              <w:t>/HRC/41/G/</w:t>
            </w:r>
            <w:r w:rsidR="00BA3546">
              <w:t>1</w:t>
            </w:r>
            <w:r w:rsidR="001A4B43">
              <w:t>5</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065A45" w:rsidP="00562621">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3107FA" w:rsidRDefault="00E97EED" w:rsidP="00E97EED">
            <w:pPr>
              <w:spacing w:before="240" w:line="240" w:lineRule="exact"/>
            </w:pPr>
            <w:r>
              <w:t>Distr.: General</w:t>
            </w:r>
          </w:p>
          <w:p w:rsidR="00E97EED" w:rsidRDefault="00AB1BD8" w:rsidP="00E97EED">
            <w:pPr>
              <w:spacing w:line="240" w:lineRule="exact"/>
            </w:pPr>
            <w:r>
              <w:t>26 August</w:t>
            </w:r>
            <w:r w:rsidR="00E97EED">
              <w:t xml:space="preserve"> 2019</w:t>
            </w:r>
          </w:p>
          <w:p w:rsidR="00E97EED" w:rsidRDefault="00E97EED" w:rsidP="00E97EED">
            <w:pPr>
              <w:spacing w:line="240" w:lineRule="exact"/>
            </w:pPr>
          </w:p>
          <w:p w:rsidR="00E97EED" w:rsidRDefault="00E97EED" w:rsidP="00E97EED">
            <w:pPr>
              <w:spacing w:line="240" w:lineRule="exact"/>
            </w:pPr>
            <w:r>
              <w:t>Original: English</w:t>
            </w:r>
          </w:p>
        </w:tc>
      </w:tr>
    </w:tbl>
    <w:p w:rsidR="00E97EED" w:rsidRPr="0052714B" w:rsidRDefault="00E97EED" w:rsidP="00E97EED">
      <w:pPr>
        <w:spacing w:before="120"/>
        <w:rPr>
          <w:sz w:val="24"/>
          <w:szCs w:val="24"/>
        </w:rPr>
      </w:pPr>
      <w:r w:rsidRPr="00EB7723">
        <w:rPr>
          <w:b/>
          <w:sz w:val="24"/>
          <w:szCs w:val="24"/>
        </w:rPr>
        <w:t>H</w:t>
      </w:r>
      <w:r>
        <w:rPr>
          <w:b/>
          <w:sz w:val="24"/>
          <w:szCs w:val="24"/>
        </w:rPr>
        <w:t>uman Rights Council</w:t>
      </w:r>
    </w:p>
    <w:p w:rsidR="00E97EED" w:rsidRDefault="00E97EED" w:rsidP="00E97EED">
      <w:pPr>
        <w:rPr>
          <w:b/>
        </w:rPr>
      </w:pPr>
      <w:r>
        <w:rPr>
          <w:b/>
        </w:rPr>
        <w:t>Forty-first</w:t>
      </w:r>
      <w:r w:rsidRPr="00EB7723">
        <w:rPr>
          <w:b/>
        </w:rPr>
        <w:t xml:space="preserve"> session</w:t>
      </w:r>
    </w:p>
    <w:p w:rsidR="00E97EED" w:rsidRDefault="00E97EED" w:rsidP="00E97EED">
      <w:r>
        <w:t>24 June–1</w:t>
      </w:r>
      <w:r w:rsidRPr="00BD2D22">
        <w:t xml:space="preserve">2 </w:t>
      </w:r>
      <w:r>
        <w:t>July</w:t>
      </w:r>
      <w:r w:rsidRPr="00BD2D22">
        <w:t xml:space="preserve"> 2019</w:t>
      </w:r>
    </w:p>
    <w:p w:rsidR="00E97EED" w:rsidRDefault="00E97EED" w:rsidP="00E97EED">
      <w:r w:rsidRPr="00E55A5A">
        <w:t xml:space="preserve">Agenda item </w:t>
      </w:r>
      <w:r w:rsidR="008A6141">
        <w:t>4</w:t>
      </w:r>
    </w:p>
    <w:p w:rsidR="00E97EED" w:rsidRDefault="008A6141" w:rsidP="00E97EED">
      <w:r w:rsidRPr="00D140F7">
        <w:rPr>
          <w:b/>
        </w:rPr>
        <w:t>Human rights situations that require the Council</w:t>
      </w:r>
      <w:r>
        <w:rPr>
          <w:b/>
        </w:rPr>
        <w:t>’</w:t>
      </w:r>
      <w:r w:rsidRPr="00D140F7">
        <w:rPr>
          <w:b/>
        </w:rPr>
        <w:t>s attention</w:t>
      </w:r>
      <w:r w:rsidRPr="004011B8">
        <w:rPr>
          <w:b/>
        </w:rPr>
        <w:t xml:space="preserve"> </w:t>
      </w:r>
    </w:p>
    <w:p w:rsidR="00E97EED" w:rsidRDefault="00E97EED" w:rsidP="00E97EED">
      <w:pPr>
        <w:pStyle w:val="H1G"/>
        <w:tabs>
          <w:tab w:val="left" w:pos="1701"/>
        </w:tabs>
      </w:pPr>
      <w:r>
        <w:tab/>
      </w:r>
      <w:r>
        <w:tab/>
      </w:r>
      <w:r w:rsidR="0055531D">
        <w:t xml:space="preserve">Note </w:t>
      </w:r>
      <w:proofErr w:type="spellStart"/>
      <w:r w:rsidR="0055531D">
        <w:t>verbale</w:t>
      </w:r>
      <w:proofErr w:type="spellEnd"/>
      <w:r w:rsidRPr="00100AC1">
        <w:t xml:space="preserve"> dated </w:t>
      </w:r>
      <w:r w:rsidR="00BA3546">
        <w:t>1</w:t>
      </w:r>
      <w:r w:rsidR="0055531D">
        <w:t>2 July</w:t>
      </w:r>
      <w:r>
        <w:t xml:space="preserve"> 2019 from the </w:t>
      </w:r>
      <w:r w:rsidR="00C219FA">
        <w:t xml:space="preserve">Permanent </w:t>
      </w:r>
      <w:r w:rsidR="0055531D" w:rsidRPr="0055531D">
        <w:t>Mission of Azerbaijan</w:t>
      </w:r>
      <w:r w:rsidR="008A6141" w:rsidRPr="008A6141">
        <w:t xml:space="preserve"> to the United Nations Office </w:t>
      </w:r>
      <w:r w:rsidR="008A6141">
        <w:t>at</w:t>
      </w:r>
      <w:r w:rsidR="008A6141" w:rsidRPr="008A6141">
        <w:t xml:space="preserve"> Geneva addressed to the </w:t>
      </w:r>
      <w:r w:rsidR="0055531D" w:rsidRPr="0055531D">
        <w:t>Office of the United Nations High Commissioner for Human Rights</w:t>
      </w:r>
    </w:p>
    <w:p w:rsidR="00C42EEB" w:rsidRPr="00C42EEB" w:rsidRDefault="00C42EEB" w:rsidP="00C42EEB">
      <w:pPr>
        <w:pStyle w:val="SingleTxtG"/>
        <w:ind w:firstLine="567"/>
        <w:rPr>
          <w:rFonts w:eastAsia="Calibri"/>
        </w:rPr>
      </w:pPr>
      <w:r w:rsidRPr="00C42EEB">
        <w:rPr>
          <w:rFonts w:eastAsia="Calibri"/>
        </w:rPr>
        <w:t xml:space="preserve">The Permanent Mission of the Republic of Azerbaijan to the United Nations Office and other </w:t>
      </w:r>
      <w:r w:rsidR="009D35D3">
        <w:rPr>
          <w:rFonts w:eastAsia="Calibri"/>
        </w:rPr>
        <w:t>i</w:t>
      </w:r>
      <w:r w:rsidRPr="00C42EEB">
        <w:rPr>
          <w:rFonts w:eastAsia="Calibri"/>
        </w:rPr>
        <w:t xml:space="preserve">nternational </w:t>
      </w:r>
      <w:r w:rsidR="009D35D3">
        <w:rPr>
          <w:rFonts w:eastAsia="Calibri"/>
        </w:rPr>
        <w:t>o</w:t>
      </w:r>
      <w:r w:rsidRPr="00C42EEB">
        <w:rPr>
          <w:rFonts w:eastAsia="Calibri"/>
        </w:rPr>
        <w:t>rganizations in Geneva presents its compliments to the Office of the United Nations High Commissioner for Human Rights</w:t>
      </w:r>
      <w:r w:rsidR="009D35D3">
        <w:rPr>
          <w:rFonts w:eastAsia="Calibri"/>
        </w:rPr>
        <w:t>,</w:t>
      </w:r>
      <w:r w:rsidRPr="00C42EEB">
        <w:rPr>
          <w:rFonts w:eastAsia="Calibri"/>
        </w:rPr>
        <w:t xml:space="preserve"> and has the honour to draw attention to the settlement activities that are carried out by the Republic of Armenia in the occupied Nagorno-Karabakh region of the Republic of Azerbaijan and its seven districts surrounding that region.</w:t>
      </w:r>
    </w:p>
    <w:p w:rsidR="00C42EEB" w:rsidRPr="00C42EEB" w:rsidRDefault="00C42EEB" w:rsidP="00C42EEB">
      <w:pPr>
        <w:pStyle w:val="SingleTxtG"/>
        <w:ind w:firstLine="567"/>
        <w:rPr>
          <w:rFonts w:eastAsia="Calibri"/>
        </w:rPr>
      </w:pPr>
      <w:r w:rsidRPr="00C42EEB">
        <w:rPr>
          <w:rFonts w:eastAsia="Calibri"/>
        </w:rPr>
        <w:t xml:space="preserve">Over the past years, the transfer of Armenian settlers from the Republic of Armenia and from elsewhere into the occupied territories of the Republic of Azerbaijan, including the districts surrounding the occupied Nagorno-Karabakh region of the Republic of Azerbaijan, in particular the occupied districts of </w:t>
      </w:r>
      <w:proofErr w:type="spellStart"/>
      <w:r w:rsidRPr="00C42EEB">
        <w:rPr>
          <w:rFonts w:eastAsia="Calibri"/>
        </w:rPr>
        <w:t>Lachyn</w:t>
      </w:r>
      <w:proofErr w:type="spellEnd"/>
      <w:r w:rsidRPr="00C42EEB">
        <w:rPr>
          <w:rFonts w:eastAsia="Calibri"/>
        </w:rPr>
        <w:t xml:space="preserve">, </w:t>
      </w:r>
      <w:proofErr w:type="spellStart"/>
      <w:r w:rsidRPr="00C42EEB">
        <w:rPr>
          <w:rFonts w:eastAsia="Calibri"/>
        </w:rPr>
        <w:t>Kalbajar</w:t>
      </w:r>
      <w:proofErr w:type="spellEnd"/>
      <w:r w:rsidRPr="00C42EEB">
        <w:rPr>
          <w:rFonts w:eastAsia="Calibri"/>
        </w:rPr>
        <w:t xml:space="preserve">, </w:t>
      </w:r>
      <w:proofErr w:type="spellStart"/>
      <w:r w:rsidRPr="00C42EEB">
        <w:rPr>
          <w:rFonts w:eastAsia="Calibri"/>
        </w:rPr>
        <w:t>Gubadly</w:t>
      </w:r>
      <w:proofErr w:type="spellEnd"/>
      <w:r w:rsidRPr="00C42EEB">
        <w:rPr>
          <w:rFonts w:eastAsia="Calibri"/>
        </w:rPr>
        <w:t xml:space="preserve">, </w:t>
      </w:r>
      <w:proofErr w:type="spellStart"/>
      <w:r w:rsidRPr="00C42EEB">
        <w:rPr>
          <w:rFonts w:eastAsia="Calibri"/>
        </w:rPr>
        <w:t>Zangilan</w:t>
      </w:r>
      <w:proofErr w:type="spellEnd"/>
      <w:r w:rsidRPr="00C42EEB">
        <w:rPr>
          <w:rFonts w:eastAsia="Calibri"/>
        </w:rPr>
        <w:t xml:space="preserve"> and </w:t>
      </w:r>
      <w:proofErr w:type="spellStart"/>
      <w:r w:rsidRPr="00C42EEB">
        <w:rPr>
          <w:rFonts w:eastAsia="Calibri"/>
        </w:rPr>
        <w:t>Jabrayil</w:t>
      </w:r>
      <w:proofErr w:type="spellEnd"/>
      <w:r w:rsidRPr="00C42EEB">
        <w:rPr>
          <w:rFonts w:eastAsia="Calibri"/>
        </w:rPr>
        <w:t xml:space="preserve">, has continued with </w:t>
      </w:r>
      <w:r w:rsidR="009D35D3">
        <w:rPr>
          <w:rFonts w:eastAsia="Calibri"/>
        </w:rPr>
        <w:t xml:space="preserve">an </w:t>
      </w:r>
      <w:r w:rsidRPr="00C42EEB">
        <w:rPr>
          <w:rFonts w:eastAsia="Calibri"/>
        </w:rPr>
        <w:t>accelerat</w:t>
      </w:r>
      <w:r w:rsidR="009D35D3">
        <w:rPr>
          <w:rFonts w:eastAsia="Calibri"/>
        </w:rPr>
        <w:t>ing</w:t>
      </w:r>
      <w:r w:rsidRPr="00C42EEB">
        <w:rPr>
          <w:rFonts w:eastAsia="Calibri"/>
        </w:rPr>
        <w:t xml:space="preserve"> pace. The settlement activities in the occupied territories are carried out in a pre-planned and organized manner.</w:t>
      </w:r>
    </w:p>
    <w:p w:rsidR="00C42EEB" w:rsidRPr="00C42EEB" w:rsidRDefault="00C42EEB" w:rsidP="00C42EEB">
      <w:pPr>
        <w:pStyle w:val="SingleTxtG"/>
        <w:ind w:firstLine="567"/>
        <w:rPr>
          <w:rFonts w:eastAsia="Calibri"/>
        </w:rPr>
      </w:pPr>
      <w:r w:rsidRPr="00C42EEB">
        <w:rPr>
          <w:rFonts w:eastAsia="Calibri"/>
        </w:rPr>
        <w:t xml:space="preserve">As a result of the settlement activities that have been carried out by the Republic of Armenia after the occupation and ethnic cleansing of the territories of the Republic of Azerbaijan, </w:t>
      </w:r>
      <w:r w:rsidR="009D35D3">
        <w:rPr>
          <w:rFonts w:eastAsia="Calibri"/>
        </w:rPr>
        <w:t xml:space="preserve">the </w:t>
      </w:r>
      <w:r w:rsidRPr="00C42EEB">
        <w:rPr>
          <w:rFonts w:eastAsia="Calibri"/>
        </w:rPr>
        <w:t>economic, social and cultural rights</w:t>
      </w:r>
      <w:r w:rsidR="009D35D3">
        <w:rPr>
          <w:rFonts w:eastAsia="Calibri"/>
        </w:rPr>
        <w:t>,</w:t>
      </w:r>
      <w:r w:rsidRPr="00C42EEB">
        <w:rPr>
          <w:rFonts w:eastAsia="Calibri"/>
        </w:rPr>
        <w:t xml:space="preserve"> </w:t>
      </w:r>
      <w:r w:rsidR="009D35D3" w:rsidRPr="00C42EEB">
        <w:rPr>
          <w:rFonts w:eastAsia="Calibri"/>
        </w:rPr>
        <w:t xml:space="preserve">among others, </w:t>
      </w:r>
      <w:r w:rsidRPr="00C42EEB">
        <w:rPr>
          <w:rFonts w:eastAsia="Calibri"/>
        </w:rPr>
        <w:t>of the Azerbaijani population expelled from their homes and properties have been violated.</w:t>
      </w:r>
    </w:p>
    <w:p w:rsidR="00C42EEB" w:rsidRPr="00C42EEB" w:rsidRDefault="00C42EEB" w:rsidP="00C42EEB">
      <w:pPr>
        <w:pStyle w:val="SingleTxtG"/>
        <w:ind w:firstLine="567"/>
        <w:rPr>
          <w:rFonts w:eastAsia="Calibri"/>
        </w:rPr>
      </w:pPr>
      <w:r w:rsidRPr="00C42EEB">
        <w:rPr>
          <w:rFonts w:eastAsia="Calibri"/>
        </w:rPr>
        <w:t>A scheme of subsidies and incentives ha</w:t>
      </w:r>
      <w:r w:rsidR="009D35D3">
        <w:rPr>
          <w:rFonts w:eastAsia="Calibri"/>
        </w:rPr>
        <w:t>s</w:t>
      </w:r>
      <w:r w:rsidRPr="00C42EEB">
        <w:rPr>
          <w:rFonts w:eastAsia="Calibri"/>
        </w:rPr>
        <w:t xml:space="preserve"> been put in place by the Republic of Armenia to encourage Armenian settlers to move to the occupied territories of the Republic of Azerbaijan.</w:t>
      </w:r>
    </w:p>
    <w:p w:rsidR="00C42EEB" w:rsidRPr="00C42EEB" w:rsidRDefault="00C42EEB" w:rsidP="00C42EEB">
      <w:pPr>
        <w:pStyle w:val="SingleTxtG"/>
        <w:ind w:firstLine="567"/>
        <w:rPr>
          <w:rFonts w:eastAsia="Calibri"/>
        </w:rPr>
      </w:pPr>
      <w:r w:rsidRPr="00C42EEB">
        <w:rPr>
          <w:rFonts w:eastAsia="Calibri"/>
        </w:rPr>
        <w:t>Armenian sources state that the number of settlers in the occupied territories of the Republic of Azerbaijan has increased progressively as a result of the settlement activities carried out by the Republic of Armenia.</w:t>
      </w:r>
    </w:p>
    <w:p w:rsidR="00BA3546" w:rsidRDefault="00C42EEB" w:rsidP="00C42EEB">
      <w:pPr>
        <w:pStyle w:val="SingleTxtG"/>
        <w:ind w:firstLine="567"/>
        <w:rPr>
          <w:rFonts w:eastAsia="Calibri"/>
        </w:rPr>
      </w:pPr>
      <w:r w:rsidRPr="00C42EEB">
        <w:rPr>
          <w:rFonts w:eastAsia="Calibri"/>
        </w:rPr>
        <w:t xml:space="preserve">According to </w:t>
      </w:r>
      <w:r w:rsidR="009D35D3">
        <w:rPr>
          <w:rFonts w:eastAsia="Calibri"/>
        </w:rPr>
        <w:t>a</w:t>
      </w:r>
      <w:r w:rsidRPr="00C42EEB">
        <w:rPr>
          <w:rFonts w:eastAsia="Calibri"/>
        </w:rPr>
        <w:t>rticle 49 of the Geneva Convention (IV) relative to the Protection of Civilian Persons in Time of War</w:t>
      </w:r>
      <w:r w:rsidR="009D35D3">
        <w:rPr>
          <w:rFonts w:eastAsia="Calibri"/>
        </w:rPr>
        <w:t>,</w:t>
      </w:r>
      <w:r w:rsidRPr="00C42EEB">
        <w:rPr>
          <w:rFonts w:eastAsia="Calibri"/>
        </w:rPr>
        <w:t xml:space="preserve"> </w:t>
      </w:r>
      <w:r w:rsidR="009D35D3">
        <w:rPr>
          <w:rFonts w:eastAsia="Calibri"/>
        </w:rPr>
        <w:t>“</w:t>
      </w:r>
      <w:r w:rsidRPr="00C42EEB">
        <w:rPr>
          <w:rFonts w:eastAsia="Calibri"/>
        </w:rPr>
        <w:t xml:space="preserve">the </w:t>
      </w:r>
      <w:r w:rsidR="009D35D3">
        <w:rPr>
          <w:rFonts w:eastAsia="Calibri"/>
        </w:rPr>
        <w:t>O</w:t>
      </w:r>
      <w:r w:rsidRPr="00C42EEB">
        <w:rPr>
          <w:rFonts w:eastAsia="Calibri"/>
        </w:rPr>
        <w:t xml:space="preserve">ccupying </w:t>
      </w:r>
      <w:r w:rsidR="009D35D3">
        <w:rPr>
          <w:rFonts w:eastAsia="Calibri"/>
        </w:rPr>
        <w:t>P</w:t>
      </w:r>
      <w:r w:rsidRPr="00C42EEB">
        <w:rPr>
          <w:rFonts w:eastAsia="Calibri"/>
        </w:rPr>
        <w:t>ower shall not deport or transfer parts of its own civilian population into the territory it occupies</w:t>
      </w:r>
      <w:r w:rsidR="009D35D3">
        <w:rPr>
          <w:rFonts w:eastAsia="Calibri"/>
        </w:rPr>
        <w:t>”</w:t>
      </w:r>
      <w:r w:rsidRPr="00C42EEB">
        <w:rPr>
          <w:rFonts w:eastAsia="Calibri"/>
        </w:rPr>
        <w:t>.</w:t>
      </w:r>
    </w:p>
    <w:p w:rsidR="00C42EEB" w:rsidRPr="00C42EEB" w:rsidRDefault="00C42EEB" w:rsidP="00C42EEB">
      <w:pPr>
        <w:pStyle w:val="SingleTxtG"/>
        <w:ind w:firstLine="567"/>
        <w:rPr>
          <w:rFonts w:eastAsia="Calibri"/>
        </w:rPr>
      </w:pPr>
      <w:r w:rsidRPr="00C42EEB">
        <w:rPr>
          <w:rFonts w:eastAsia="Calibri"/>
        </w:rPr>
        <w:t>This constitutes the basis and expression of a rule of law prohibiting the establishment of settlements in the occupied territories consisting of the population of the occupying power or of persons encouraged in any way by this power, directly or indirectly, to settle in these territories with the intention, expressed or otherwise, of changing the demographic balance.</w:t>
      </w:r>
    </w:p>
    <w:p w:rsidR="00C42EEB" w:rsidRPr="00C42EEB" w:rsidRDefault="00C42EEB" w:rsidP="00C42EEB">
      <w:pPr>
        <w:pStyle w:val="SingleTxtG"/>
        <w:ind w:firstLine="567"/>
        <w:rPr>
          <w:rFonts w:eastAsia="Calibri"/>
        </w:rPr>
      </w:pPr>
      <w:r w:rsidRPr="00C42EEB">
        <w:rPr>
          <w:rFonts w:eastAsia="Calibri"/>
        </w:rPr>
        <w:t>Moreover, the authoritative International Committee of Re</w:t>
      </w:r>
      <w:r>
        <w:rPr>
          <w:rFonts w:eastAsia="Calibri"/>
        </w:rPr>
        <w:t>d Cross commentary states that</w:t>
      </w:r>
      <w:r w:rsidR="009D35D3">
        <w:rPr>
          <w:rFonts w:eastAsia="Calibri"/>
        </w:rPr>
        <w:t>”</w:t>
      </w:r>
      <w:r w:rsidRPr="00C42EEB">
        <w:rPr>
          <w:rFonts w:eastAsia="Calibri"/>
        </w:rPr>
        <w:t>[</w:t>
      </w:r>
      <w:r w:rsidR="00E7143A">
        <w:rPr>
          <w:rFonts w:eastAsia="Calibri"/>
        </w:rPr>
        <w:t>a</w:t>
      </w:r>
      <w:r w:rsidRPr="00C42EEB">
        <w:rPr>
          <w:rFonts w:eastAsia="Calibri"/>
        </w:rPr>
        <w:t>rticle 49</w:t>
      </w:r>
      <w:r w:rsidR="0026478F">
        <w:rPr>
          <w:rFonts w:eastAsia="Calibri"/>
        </w:rPr>
        <w:t xml:space="preserve"> </w:t>
      </w:r>
      <w:r w:rsidRPr="00C42EEB">
        <w:rPr>
          <w:rFonts w:eastAsia="Calibri"/>
        </w:rPr>
        <w:t>(6)] is intended to prevent a practice adopted during the Second World War by certain Powers, which transferred portions of their own population to occupied territory for political and racial reasons or in order, as they claimed, to colonize those territories</w:t>
      </w:r>
      <w:r w:rsidR="009D35D3">
        <w:rPr>
          <w:rFonts w:eastAsia="Calibri"/>
        </w:rPr>
        <w:t>”</w:t>
      </w:r>
      <w:r w:rsidRPr="00C42EEB">
        <w:rPr>
          <w:rFonts w:eastAsia="Calibri"/>
        </w:rPr>
        <w:t>.</w:t>
      </w:r>
    </w:p>
    <w:p w:rsidR="00C42EEB" w:rsidRPr="00C42EEB" w:rsidRDefault="00C42EEB" w:rsidP="00C42EEB">
      <w:pPr>
        <w:pStyle w:val="SingleTxtG"/>
        <w:ind w:firstLine="567"/>
        <w:rPr>
          <w:rFonts w:eastAsia="Calibri"/>
        </w:rPr>
      </w:pPr>
      <w:r w:rsidRPr="00C42EEB">
        <w:rPr>
          <w:rFonts w:eastAsia="Calibri"/>
        </w:rPr>
        <w:lastRenderedPageBreak/>
        <w:t xml:space="preserve">In </w:t>
      </w:r>
      <w:r w:rsidR="000B6BB3">
        <w:rPr>
          <w:rFonts w:eastAsia="Calibri"/>
        </w:rPr>
        <w:t xml:space="preserve">paragraph 120 of </w:t>
      </w:r>
      <w:r w:rsidRPr="00C42EEB">
        <w:rPr>
          <w:rFonts w:eastAsia="Calibri"/>
        </w:rPr>
        <w:t xml:space="preserve">its advisory opinion on the </w:t>
      </w:r>
      <w:r w:rsidR="000B6BB3">
        <w:rPr>
          <w:rFonts w:eastAsia="Calibri"/>
        </w:rPr>
        <w:t xml:space="preserve">Legal Consequences of the </w:t>
      </w:r>
      <w:r w:rsidRPr="000B6BB3">
        <w:rPr>
          <w:rFonts w:eastAsia="Calibri"/>
        </w:rPr>
        <w:t>Construction of a Wall</w:t>
      </w:r>
      <w:r w:rsidR="000B6BB3">
        <w:rPr>
          <w:rFonts w:eastAsia="Calibri"/>
        </w:rPr>
        <w:t xml:space="preserve"> in the Occupied Palestinian Territory</w:t>
      </w:r>
      <w:r w:rsidRPr="00C42EEB">
        <w:rPr>
          <w:rFonts w:eastAsia="Calibri"/>
        </w:rPr>
        <w:t xml:space="preserve">, the International Court of Justice noted that the above-mentioned provision </w:t>
      </w:r>
      <w:r w:rsidR="000B6BB3">
        <w:rPr>
          <w:rFonts w:eastAsia="Calibri"/>
        </w:rPr>
        <w:t>“</w:t>
      </w:r>
      <w:r w:rsidRPr="00C42EEB">
        <w:rPr>
          <w:rFonts w:eastAsia="Calibri"/>
        </w:rPr>
        <w:t xml:space="preserve">prohibits not only deportations or forced transfer of population such as those carried out during the Second World War, but also any measures taken by an occupying </w:t>
      </w:r>
      <w:r w:rsidR="000B6BB3">
        <w:rPr>
          <w:rFonts w:eastAsia="Calibri"/>
        </w:rPr>
        <w:t>P</w:t>
      </w:r>
      <w:r w:rsidRPr="00C42EEB">
        <w:rPr>
          <w:rFonts w:eastAsia="Calibri"/>
        </w:rPr>
        <w:t>ower in order to organize or encourage transfers or parts of its own populat</w:t>
      </w:r>
      <w:r>
        <w:rPr>
          <w:rFonts w:eastAsia="Calibri"/>
        </w:rPr>
        <w:t>ion into the occupied territory</w:t>
      </w:r>
      <w:r w:rsidR="000B6BB3">
        <w:rPr>
          <w:rFonts w:eastAsia="Calibri"/>
        </w:rPr>
        <w:t>”.</w:t>
      </w:r>
    </w:p>
    <w:p w:rsidR="00C42EEB" w:rsidRPr="00C42EEB" w:rsidRDefault="00C42EEB" w:rsidP="00C42EEB">
      <w:pPr>
        <w:pStyle w:val="SingleTxtG"/>
        <w:ind w:firstLine="567"/>
        <w:rPr>
          <w:rFonts w:eastAsia="Calibri"/>
        </w:rPr>
      </w:pPr>
      <w:r w:rsidRPr="00C42EEB">
        <w:rPr>
          <w:rFonts w:eastAsia="Calibri"/>
        </w:rPr>
        <w:t>The Republic of Armenia violates its obligations under international law by conducting a policy and developing practices to establish settlements in the occupied territories of the Republic of Azerbaijan. Over the period since the beginning of the conflict, significant numbers of Armenian settlers have been encouraged to move to the occupied areas depopulated of their Azerbaijani inhabitants.</w:t>
      </w:r>
    </w:p>
    <w:p w:rsidR="00C42EEB" w:rsidRPr="00C42EEB" w:rsidRDefault="00C42EEB" w:rsidP="00C42EEB">
      <w:pPr>
        <w:pStyle w:val="SingleTxtG"/>
        <w:ind w:firstLine="567"/>
        <w:rPr>
          <w:rFonts w:eastAsia="Calibri"/>
        </w:rPr>
      </w:pPr>
      <w:r w:rsidRPr="00C42EEB">
        <w:rPr>
          <w:rFonts w:eastAsia="Calibri"/>
        </w:rPr>
        <w:t xml:space="preserve">Plainly, settlements established in the occupied territories of the Republic of Azerbaijan are illegal because </w:t>
      </w:r>
      <w:r w:rsidR="000B6BB3">
        <w:rPr>
          <w:rFonts w:eastAsia="Calibri"/>
        </w:rPr>
        <w:t>the</w:t>
      </w:r>
      <w:r w:rsidR="000B6BB3" w:rsidRPr="00C42EEB">
        <w:rPr>
          <w:rFonts w:eastAsia="Calibri"/>
        </w:rPr>
        <w:t xml:space="preserve"> </w:t>
      </w:r>
      <w:r w:rsidRPr="00C42EEB">
        <w:rPr>
          <w:rFonts w:eastAsia="Calibri"/>
        </w:rPr>
        <w:t>designation to expand the economic and political penetration of the Republic of Armenia in those territories prevent</w:t>
      </w:r>
      <w:r w:rsidR="000B6BB3">
        <w:rPr>
          <w:rFonts w:eastAsia="Calibri"/>
        </w:rPr>
        <w:t>s</w:t>
      </w:r>
      <w:r w:rsidRPr="00C42EEB">
        <w:rPr>
          <w:rFonts w:eastAsia="Calibri"/>
        </w:rPr>
        <w:t xml:space="preserve"> the expelled Azerbaijani population from returning to their homes and thus impose</w:t>
      </w:r>
      <w:r w:rsidR="000B6BB3">
        <w:rPr>
          <w:rFonts w:eastAsia="Calibri"/>
        </w:rPr>
        <w:t>s</w:t>
      </w:r>
      <w:r w:rsidRPr="00C42EEB">
        <w:rPr>
          <w:rFonts w:eastAsia="Calibri"/>
        </w:rPr>
        <w:t xml:space="preserve"> the results of the unlawful use of force.</w:t>
      </w:r>
    </w:p>
    <w:p w:rsidR="00C42EEB" w:rsidRDefault="00C42EEB" w:rsidP="00C42EEB">
      <w:pPr>
        <w:pStyle w:val="SingleTxtG"/>
        <w:ind w:firstLine="567"/>
        <w:rPr>
          <w:rFonts w:eastAsia="Calibri"/>
        </w:rPr>
      </w:pPr>
      <w:r w:rsidRPr="00C42EEB">
        <w:rPr>
          <w:rFonts w:eastAsia="Calibri"/>
        </w:rPr>
        <w:t>The Permanent Mission of the Republic of Azerbaijan to the U</w:t>
      </w:r>
      <w:r w:rsidR="00BD1F38">
        <w:rPr>
          <w:rFonts w:eastAsia="Calibri"/>
        </w:rPr>
        <w:t>nited Nations Office and other international o</w:t>
      </w:r>
      <w:r w:rsidRPr="00C42EEB">
        <w:rPr>
          <w:rFonts w:eastAsia="Calibri"/>
        </w:rPr>
        <w:t>rganizations in Geneva kindly requests the Office of the United Nations High Commissioner for Human R</w:t>
      </w:r>
      <w:r w:rsidR="00457B2D">
        <w:rPr>
          <w:rFonts w:eastAsia="Calibri"/>
        </w:rPr>
        <w:t>ights to circulate the present n</w:t>
      </w:r>
      <w:r w:rsidRPr="00C42EEB">
        <w:rPr>
          <w:rFonts w:eastAsia="Calibri"/>
        </w:rPr>
        <w:t>o</w:t>
      </w:r>
      <w:r w:rsidR="00457B2D">
        <w:rPr>
          <w:rFonts w:eastAsia="Calibri"/>
        </w:rPr>
        <w:t xml:space="preserve">te </w:t>
      </w:r>
      <w:proofErr w:type="spellStart"/>
      <w:r w:rsidR="00457B2D">
        <w:rPr>
          <w:rFonts w:eastAsia="Calibri"/>
        </w:rPr>
        <w:t>v</w:t>
      </w:r>
      <w:r w:rsidRPr="00C42EEB">
        <w:rPr>
          <w:rFonts w:eastAsia="Calibri"/>
        </w:rPr>
        <w:t>erbale</w:t>
      </w:r>
      <w:proofErr w:type="spellEnd"/>
      <w:r w:rsidRPr="00C42EEB">
        <w:rPr>
          <w:rFonts w:eastAsia="Calibri"/>
        </w:rPr>
        <w:t xml:space="preserve"> as a document of the forty-first session of the Human Rights Council, under agenda item 4.</w:t>
      </w:r>
    </w:p>
    <w:p w:rsidR="00C42EEB" w:rsidRPr="00C42EEB" w:rsidRDefault="00C42EEB" w:rsidP="00C42EEB">
      <w:pPr>
        <w:pStyle w:val="SingleTxtG"/>
        <w:spacing w:before="240" w:after="0"/>
        <w:jc w:val="center"/>
        <w:rPr>
          <w:rFonts w:eastAsia="Calibri"/>
          <w:u w:val="single"/>
        </w:rPr>
      </w:pPr>
      <w:r>
        <w:rPr>
          <w:rFonts w:eastAsia="Calibri"/>
          <w:u w:val="single"/>
        </w:rPr>
        <w:tab/>
      </w:r>
      <w:r>
        <w:rPr>
          <w:rFonts w:eastAsia="Calibri"/>
          <w:u w:val="single"/>
        </w:rPr>
        <w:tab/>
      </w:r>
      <w:r>
        <w:rPr>
          <w:rFonts w:eastAsia="Calibri"/>
          <w:u w:val="single"/>
        </w:rPr>
        <w:tab/>
      </w:r>
      <w:r w:rsidR="00C72716">
        <w:rPr>
          <w:rFonts w:eastAsia="Calibri"/>
          <w:u w:val="single"/>
        </w:rPr>
        <w:tab/>
      </w:r>
    </w:p>
    <w:sectPr w:rsidR="00C42EEB" w:rsidRPr="00C42EEB" w:rsidSect="00E97EED">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B00" w:rsidRDefault="008C5B00"/>
  </w:endnote>
  <w:endnote w:type="continuationSeparator" w:id="0">
    <w:p w:rsidR="008C5B00" w:rsidRDefault="008C5B00"/>
  </w:endnote>
  <w:endnote w:type="continuationNotice" w:id="1">
    <w:p w:rsidR="008C5B00" w:rsidRDefault="008C5B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0" w:rsidRPr="00E97EED" w:rsidRDefault="008C5B00" w:rsidP="00E97EED">
    <w:pPr>
      <w:pStyle w:val="Footer"/>
      <w:tabs>
        <w:tab w:val="right" w:pos="9638"/>
      </w:tabs>
      <w:rPr>
        <w:sz w:val="18"/>
      </w:rPr>
    </w:pPr>
    <w:r w:rsidRPr="00E97EED">
      <w:rPr>
        <w:b/>
        <w:sz w:val="18"/>
      </w:rPr>
      <w:fldChar w:fldCharType="begin"/>
    </w:r>
    <w:r w:rsidRPr="00E97EED">
      <w:rPr>
        <w:b/>
        <w:sz w:val="18"/>
      </w:rPr>
      <w:instrText xml:space="preserve"> PAGE  \* MERGEFORMAT </w:instrText>
    </w:r>
    <w:r w:rsidRPr="00E97EED">
      <w:rPr>
        <w:b/>
        <w:sz w:val="18"/>
      </w:rPr>
      <w:fldChar w:fldCharType="separate"/>
    </w:r>
    <w:r w:rsidR="00065A45">
      <w:rPr>
        <w:b/>
        <w:noProof/>
        <w:sz w:val="18"/>
      </w:rPr>
      <w:t>2</w:t>
    </w:r>
    <w:r w:rsidRPr="00E97EE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0" w:rsidRPr="00E97EED" w:rsidRDefault="008C5B00" w:rsidP="00E97EED">
    <w:pPr>
      <w:pStyle w:val="Footer"/>
      <w:tabs>
        <w:tab w:val="right" w:pos="9638"/>
      </w:tabs>
      <w:rPr>
        <w:b/>
        <w:sz w:val="18"/>
      </w:rPr>
    </w:pPr>
    <w:r>
      <w:tab/>
    </w:r>
    <w:r w:rsidRPr="00E97EED">
      <w:rPr>
        <w:b/>
        <w:sz w:val="18"/>
      </w:rPr>
      <w:fldChar w:fldCharType="begin"/>
    </w:r>
    <w:r w:rsidRPr="00E97EED">
      <w:rPr>
        <w:b/>
        <w:sz w:val="18"/>
      </w:rPr>
      <w:instrText xml:space="preserve"> PAGE  \* MERGEFORMAT </w:instrText>
    </w:r>
    <w:r w:rsidRPr="00E97EED">
      <w:rPr>
        <w:b/>
        <w:sz w:val="18"/>
      </w:rPr>
      <w:fldChar w:fldCharType="separate"/>
    </w:r>
    <w:r w:rsidR="00C42EEB">
      <w:rPr>
        <w:b/>
        <w:noProof/>
        <w:sz w:val="18"/>
      </w:rPr>
      <w:t>3</w:t>
    </w:r>
    <w:r w:rsidRPr="00E97EE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B00" w:rsidRPr="000B175B" w:rsidRDefault="008C5B00" w:rsidP="000B175B">
      <w:pPr>
        <w:tabs>
          <w:tab w:val="right" w:pos="2155"/>
        </w:tabs>
        <w:spacing w:after="80"/>
        <w:ind w:left="680"/>
        <w:rPr>
          <w:u w:val="single"/>
        </w:rPr>
      </w:pPr>
      <w:r>
        <w:rPr>
          <w:u w:val="single"/>
        </w:rPr>
        <w:tab/>
      </w:r>
    </w:p>
  </w:footnote>
  <w:footnote w:type="continuationSeparator" w:id="0">
    <w:p w:rsidR="008C5B00" w:rsidRPr="00FC68B7" w:rsidRDefault="008C5B00" w:rsidP="00FC68B7">
      <w:pPr>
        <w:tabs>
          <w:tab w:val="left" w:pos="2155"/>
        </w:tabs>
        <w:spacing w:after="80"/>
        <w:ind w:left="680"/>
        <w:rPr>
          <w:u w:val="single"/>
        </w:rPr>
      </w:pPr>
      <w:r>
        <w:rPr>
          <w:u w:val="single"/>
        </w:rPr>
        <w:tab/>
      </w:r>
    </w:p>
  </w:footnote>
  <w:footnote w:type="continuationNotice" w:id="1">
    <w:p w:rsidR="008C5B00" w:rsidRDefault="008C5B0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0" w:rsidRPr="00E97EED" w:rsidRDefault="00167F00">
    <w:pPr>
      <w:pStyle w:val="Header"/>
    </w:pPr>
    <w:r>
      <w:t>A/HRC/41/G/</w:t>
    </w:r>
    <w:r w:rsidR="00BA3546">
      <w:t>1</w:t>
    </w:r>
    <w:r w:rsidR="001A4B43">
      <w:t>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0" w:rsidRPr="00E97EED" w:rsidRDefault="00247FF9" w:rsidP="00E97EED">
    <w:pPr>
      <w:pStyle w:val="Header"/>
      <w:jc w:val="right"/>
    </w:pPr>
    <w:r>
      <w:t>A/HRC/41/G/</w:t>
    </w:r>
    <w:r w:rsidR="00210DAA">
      <w:t>1</w:t>
    </w:r>
    <w:r w:rsidR="001A4B43">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201EFB"/>
    <w:multiLevelType w:val="hybridMultilevel"/>
    <w:tmpl w:val="E6481FC2"/>
    <w:lvl w:ilvl="0" w:tplc="A41C5C26">
      <w:start w:val="1"/>
      <w:numFmt w:val="upperRoman"/>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6"/>
  </w:num>
  <w:num w:numId="2">
    <w:abstractNumId w:val="4"/>
  </w:num>
  <w:num w:numId="3">
    <w:abstractNumId w:val="8"/>
  </w:num>
  <w:num w:numId="4">
    <w:abstractNumId w:val="3"/>
  </w:num>
  <w:num w:numId="5">
    <w:abstractNumId w:val="0"/>
  </w:num>
  <w:num w:numId="6">
    <w:abstractNumId w:val="1"/>
  </w:num>
  <w:num w:numId="7">
    <w:abstractNumId w:val="7"/>
  </w:num>
  <w:num w:numId="8">
    <w:abstractNumId w:val="2"/>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ZA"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EED"/>
    <w:rsid w:val="00007F7F"/>
    <w:rsid w:val="00022DB5"/>
    <w:rsid w:val="0002336C"/>
    <w:rsid w:val="000403D1"/>
    <w:rsid w:val="00041D88"/>
    <w:rsid w:val="000449AA"/>
    <w:rsid w:val="00050F6B"/>
    <w:rsid w:val="0005662A"/>
    <w:rsid w:val="00065A45"/>
    <w:rsid w:val="00072C8C"/>
    <w:rsid w:val="00073E70"/>
    <w:rsid w:val="0008548D"/>
    <w:rsid w:val="00086832"/>
    <w:rsid w:val="000876EB"/>
    <w:rsid w:val="00091419"/>
    <w:rsid w:val="000931C0"/>
    <w:rsid w:val="000A11F7"/>
    <w:rsid w:val="000B175B"/>
    <w:rsid w:val="000B2851"/>
    <w:rsid w:val="000B3A0F"/>
    <w:rsid w:val="000B4A3B"/>
    <w:rsid w:val="000B6BB3"/>
    <w:rsid w:val="000C59D8"/>
    <w:rsid w:val="000D1851"/>
    <w:rsid w:val="000E0415"/>
    <w:rsid w:val="000F183A"/>
    <w:rsid w:val="001129EB"/>
    <w:rsid w:val="00146D32"/>
    <w:rsid w:val="001509BA"/>
    <w:rsid w:val="00167F00"/>
    <w:rsid w:val="001A4B43"/>
    <w:rsid w:val="001B4B04"/>
    <w:rsid w:val="001C6663"/>
    <w:rsid w:val="001C7895"/>
    <w:rsid w:val="001D26DF"/>
    <w:rsid w:val="001D739E"/>
    <w:rsid w:val="001E2790"/>
    <w:rsid w:val="00210DAA"/>
    <w:rsid w:val="00211E0B"/>
    <w:rsid w:val="00211E72"/>
    <w:rsid w:val="00214047"/>
    <w:rsid w:val="0022130F"/>
    <w:rsid w:val="00237785"/>
    <w:rsid w:val="002410DD"/>
    <w:rsid w:val="002412C5"/>
    <w:rsid w:val="00241466"/>
    <w:rsid w:val="00247FF9"/>
    <w:rsid w:val="00253D58"/>
    <w:rsid w:val="00262CBC"/>
    <w:rsid w:val="0026478F"/>
    <w:rsid w:val="0027725F"/>
    <w:rsid w:val="00286124"/>
    <w:rsid w:val="00293F28"/>
    <w:rsid w:val="002A3185"/>
    <w:rsid w:val="002A7BAB"/>
    <w:rsid w:val="002C21F0"/>
    <w:rsid w:val="002E6596"/>
    <w:rsid w:val="003107FA"/>
    <w:rsid w:val="003155DC"/>
    <w:rsid w:val="003229D8"/>
    <w:rsid w:val="00325C39"/>
    <w:rsid w:val="003314D1"/>
    <w:rsid w:val="00335A2F"/>
    <w:rsid w:val="00341937"/>
    <w:rsid w:val="003469B9"/>
    <w:rsid w:val="0035022F"/>
    <w:rsid w:val="0038445F"/>
    <w:rsid w:val="0039277A"/>
    <w:rsid w:val="003953E7"/>
    <w:rsid w:val="003972E0"/>
    <w:rsid w:val="003975ED"/>
    <w:rsid w:val="003C2CC4"/>
    <w:rsid w:val="003D4AFF"/>
    <w:rsid w:val="003D4B23"/>
    <w:rsid w:val="00404F91"/>
    <w:rsid w:val="00424C80"/>
    <w:rsid w:val="004325CB"/>
    <w:rsid w:val="0044503A"/>
    <w:rsid w:val="00446DE4"/>
    <w:rsid w:val="00447761"/>
    <w:rsid w:val="00451EC3"/>
    <w:rsid w:val="00457B2D"/>
    <w:rsid w:val="004606F3"/>
    <w:rsid w:val="004721B1"/>
    <w:rsid w:val="0048212E"/>
    <w:rsid w:val="004855A7"/>
    <w:rsid w:val="004859EC"/>
    <w:rsid w:val="00496A15"/>
    <w:rsid w:val="004B75D2"/>
    <w:rsid w:val="004D1140"/>
    <w:rsid w:val="004F088F"/>
    <w:rsid w:val="004F55ED"/>
    <w:rsid w:val="0052176C"/>
    <w:rsid w:val="00524700"/>
    <w:rsid w:val="005261E5"/>
    <w:rsid w:val="005420F2"/>
    <w:rsid w:val="00542574"/>
    <w:rsid w:val="005436AB"/>
    <w:rsid w:val="00546924"/>
    <w:rsid w:val="00546DBF"/>
    <w:rsid w:val="00553D76"/>
    <w:rsid w:val="005552B5"/>
    <w:rsid w:val="0055531D"/>
    <w:rsid w:val="0056117B"/>
    <w:rsid w:val="00562621"/>
    <w:rsid w:val="00571365"/>
    <w:rsid w:val="005A0E16"/>
    <w:rsid w:val="005B3DB3"/>
    <w:rsid w:val="005B6E48"/>
    <w:rsid w:val="005D53BE"/>
    <w:rsid w:val="005E1712"/>
    <w:rsid w:val="00611FC4"/>
    <w:rsid w:val="006176FB"/>
    <w:rsid w:val="00640B26"/>
    <w:rsid w:val="00655B60"/>
    <w:rsid w:val="006679F0"/>
    <w:rsid w:val="00670741"/>
    <w:rsid w:val="006912F7"/>
    <w:rsid w:val="00696BD6"/>
    <w:rsid w:val="006A6B9D"/>
    <w:rsid w:val="006A7392"/>
    <w:rsid w:val="006B3189"/>
    <w:rsid w:val="006B7D65"/>
    <w:rsid w:val="006C0230"/>
    <w:rsid w:val="006D169A"/>
    <w:rsid w:val="006D5504"/>
    <w:rsid w:val="006D6DA6"/>
    <w:rsid w:val="006E564B"/>
    <w:rsid w:val="006F13F0"/>
    <w:rsid w:val="006F5035"/>
    <w:rsid w:val="007065EB"/>
    <w:rsid w:val="00720183"/>
    <w:rsid w:val="00722568"/>
    <w:rsid w:val="00724228"/>
    <w:rsid w:val="0072632A"/>
    <w:rsid w:val="00726A74"/>
    <w:rsid w:val="0074200B"/>
    <w:rsid w:val="007A1803"/>
    <w:rsid w:val="007A6296"/>
    <w:rsid w:val="007A79E4"/>
    <w:rsid w:val="007B6BA5"/>
    <w:rsid w:val="007C1B62"/>
    <w:rsid w:val="007C2812"/>
    <w:rsid w:val="007C3390"/>
    <w:rsid w:val="007C4F4B"/>
    <w:rsid w:val="007D2CDC"/>
    <w:rsid w:val="007D5327"/>
    <w:rsid w:val="007F6611"/>
    <w:rsid w:val="00813A7C"/>
    <w:rsid w:val="008155C3"/>
    <w:rsid w:val="008175E9"/>
    <w:rsid w:val="0082243E"/>
    <w:rsid w:val="008242D7"/>
    <w:rsid w:val="00856CD2"/>
    <w:rsid w:val="00861BC6"/>
    <w:rsid w:val="00871FD5"/>
    <w:rsid w:val="008847BB"/>
    <w:rsid w:val="008946B0"/>
    <w:rsid w:val="008979B1"/>
    <w:rsid w:val="008A3E56"/>
    <w:rsid w:val="008A6141"/>
    <w:rsid w:val="008A6B25"/>
    <w:rsid w:val="008A6C4F"/>
    <w:rsid w:val="008C1E4D"/>
    <w:rsid w:val="008C5B00"/>
    <w:rsid w:val="008D777F"/>
    <w:rsid w:val="008E0E46"/>
    <w:rsid w:val="008F7742"/>
    <w:rsid w:val="0090452C"/>
    <w:rsid w:val="00907C3F"/>
    <w:rsid w:val="0092237C"/>
    <w:rsid w:val="0093707B"/>
    <w:rsid w:val="009400EB"/>
    <w:rsid w:val="009427E3"/>
    <w:rsid w:val="00946575"/>
    <w:rsid w:val="00956D9B"/>
    <w:rsid w:val="00963CBA"/>
    <w:rsid w:val="009654B7"/>
    <w:rsid w:val="009852B3"/>
    <w:rsid w:val="00991261"/>
    <w:rsid w:val="00993E3B"/>
    <w:rsid w:val="009A0B83"/>
    <w:rsid w:val="009A2E31"/>
    <w:rsid w:val="009A40B9"/>
    <w:rsid w:val="009B3800"/>
    <w:rsid w:val="009D0B06"/>
    <w:rsid w:val="009D22AC"/>
    <w:rsid w:val="009D35D3"/>
    <w:rsid w:val="009D50DB"/>
    <w:rsid w:val="009E1C4E"/>
    <w:rsid w:val="009E7B56"/>
    <w:rsid w:val="009F45B3"/>
    <w:rsid w:val="00A0036A"/>
    <w:rsid w:val="00A05E0B"/>
    <w:rsid w:val="00A06193"/>
    <w:rsid w:val="00A1427D"/>
    <w:rsid w:val="00A43B36"/>
    <w:rsid w:val="00A4634F"/>
    <w:rsid w:val="00A51CF3"/>
    <w:rsid w:val="00A55ACF"/>
    <w:rsid w:val="00A72F22"/>
    <w:rsid w:val="00A73D32"/>
    <w:rsid w:val="00A748A6"/>
    <w:rsid w:val="00A879A4"/>
    <w:rsid w:val="00A87E95"/>
    <w:rsid w:val="00A92E29"/>
    <w:rsid w:val="00AB1BD8"/>
    <w:rsid w:val="00AC5AE2"/>
    <w:rsid w:val="00AD09E9"/>
    <w:rsid w:val="00AF0576"/>
    <w:rsid w:val="00AF3829"/>
    <w:rsid w:val="00B037F0"/>
    <w:rsid w:val="00B124B2"/>
    <w:rsid w:val="00B2327D"/>
    <w:rsid w:val="00B2718F"/>
    <w:rsid w:val="00B27A0C"/>
    <w:rsid w:val="00B30179"/>
    <w:rsid w:val="00B3317B"/>
    <w:rsid w:val="00B334DC"/>
    <w:rsid w:val="00B3631A"/>
    <w:rsid w:val="00B53013"/>
    <w:rsid w:val="00B67F5E"/>
    <w:rsid w:val="00B73E65"/>
    <w:rsid w:val="00B81E12"/>
    <w:rsid w:val="00B85D90"/>
    <w:rsid w:val="00B87110"/>
    <w:rsid w:val="00B97FA8"/>
    <w:rsid w:val="00BA3546"/>
    <w:rsid w:val="00BA569F"/>
    <w:rsid w:val="00BA5D03"/>
    <w:rsid w:val="00BC1385"/>
    <w:rsid w:val="00BC74E9"/>
    <w:rsid w:val="00BD087E"/>
    <w:rsid w:val="00BD1F38"/>
    <w:rsid w:val="00BE618E"/>
    <w:rsid w:val="00BE655C"/>
    <w:rsid w:val="00C2088B"/>
    <w:rsid w:val="00C217E7"/>
    <w:rsid w:val="00C219FA"/>
    <w:rsid w:val="00C24693"/>
    <w:rsid w:val="00C35F0B"/>
    <w:rsid w:val="00C3655E"/>
    <w:rsid w:val="00C42EEB"/>
    <w:rsid w:val="00C463DD"/>
    <w:rsid w:val="00C53BD8"/>
    <w:rsid w:val="00C562B3"/>
    <w:rsid w:val="00C64458"/>
    <w:rsid w:val="00C72716"/>
    <w:rsid w:val="00C745C3"/>
    <w:rsid w:val="00C9594F"/>
    <w:rsid w:val="00CA2A58"/>
    <w:rsid w:val="00CB1352"/>
    <w:rsid w:val="00CB5BF1"/>
    <w:rsid w:val="00CB634E"/>
    <w:rsid w:val="00CC0B55"/>
    <w:rsid w:val="00CD6995"/>
    <w:rsid w:val="00CE40B5"/>
    <w:rsid w:val="00CE4A8F"/>
    <w:rsid w:val="00CF0214"/>
    <w:rsid w:val="00CF36E3"/>
    <w:rsid w:val="00CF586F"/>
    <w:rsid w:val="00CF7D43"/>
    <w:rsid w:val="00D11129"/>
    <w:rsid w:val="00D168CF"/>
    <w:rsid w:val="00D2031B"/>
    <w:rsid w:val="00D22332"/>
    <w:rsid w:val="00D25FE2"/>
    <w:rsid w:val="00D37472"/>
    <w:rsid w:val="00D43252"/>
    <w:rsid w:val="00D43B23"/>
    <w:rsid w:val="00D550F9"/>
    <w:rsid w:val="00D572B0"/>
    <w:rsid w:val="00D62E90"/>
    <w:rsid w:val="00D76BE5"/>
    <w:rsid w:val="00D96278"/>
    <w:rsid w:val="00D978C6"/>
    <w:rsid w:val="00DA67AD"/>
    <w:rsid w:val="00DB18CE"/>
    <w:rsid w:val="00DB5566"/>
    <w:rsid w:val="00DC5600"/>
    <w:rsid w:val="00DE3EC0"/>
    <w:rsid w:val="00DE5B7B"/>
    <w:rsid w:val="00E10D2C"/>
    <w:rsid w:val="00E11593"/>
    <w:rsid w:val="00E12B6B"/>
    <w:rsid w:val="00E130AB"/>
    <w:rsid w:val="00E438D9"/>
    <w:rsid w:val="00E559AB"/>
    <w:rsid w:val="00E5644E"/>
    <w:rsid w:val="00E63CA7"/>
    <w:rsid w:val="00E7143A"/>
    <w:rsid w:val="00E7260F"/>
    <w:rsid w:val="00E806EE"/>
    <w:rsid w:val="00E8211D"/>
    <w:rsid w:val="00E96630"/>
    <w:rsid w:val="00E97EED"/>
    <w:rsid w:val="00EB0FB9"/>
    <w:rsid w:val="00ED0CA9"/>
    <w:rsid w:val="00ED7A2A"/>
    <w:rsid w:val="00EE5B31"/>
    <w:rsid w:val="00EE6B71"/>
    <w:rsid w:val="00EF1D7F"/>
    <w:rsid w:val="00EF5BDB"/>
    <w:rsid w:val="00F02895"/>
    <w:rsid w:val="00F07FD9"/>
    <w:rsid w:val="00F23933"/>
    <w:rsid w:val="00F24119"/>
    <w:rsid w:val="00F40052"/>
    <w:rsid w:val="00F40E75"/>
    <w:rsid w:val="00F42CD9"/>
    <w:rsid w:val="00F4568A"/>
    <w:rsid w:val="00F52936"/>
    <w:rsid w:val="00F54083"/>
    <w:rsid w:val="00F677CB"/>
    <w:rsid w:val="00F67B04"/>
    <w:rsid w:val="00F768C1"/>
    <w:rsid w:val="00FA7DF3"/>
    <w:rsid w:val="00FC0640"/>
    <w:rsid w:val="00FC68B7"/>
    <w:rsid w:val="00FD2CD3"/>
    <w:rsid w:val="00FD304E"/>
    <w:rsid w:val="00FD7C12"/>
    <w:rsid w:val="00FE444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B22C6D1"/>
  <w15:docId w15:val="{A7537E16-3AAB-437E-A64B-AA11A5FD7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styleId="ListParagraph">
    <w:name w:val="List Paragraph"/>
    <w:basedOn w:val="Normal"/>
    <w:uiPriority w:val="34"/>
    <w:semiHidden/>
    <w:qFormat/>
    <w:rsid w:val="00086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DE79C-D0CC-48D4-A7ED-EDCB79FFF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2</Pages>
  <Words>699</Words>
  <Characters>3988</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A/HRC/41/G/8</vt:lpstr>
      <vt:lpstr/>
    </vt:vector>
  </TitlesOfParts>
  <Company>CSD</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A/HRC/41/G/8</dc:title>
  <dc:creator>IHARA Sumiko</dc:creator>
  <cp:lastModifiedBy>LANZ Veronique</cp:lastModifiedBy>
  <cp:revision>2</cp:revision>
  <cp:lastPrinted>2008-01-29T08:30:00Z</cp:lastPrinted>
  <dcterms:created xsi:type="dcterms:W3CDTF">2019-09-12T14:08:00Z</dcterms:created>
  <dcterms:modified xsi:type="dcterms:W3CDTF">2019-09-12T14:08:00Z</dcterms:modified>
</cp:coreProperties>
</file>