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88FAF3A" w14:textId="77777777" w:rsidTr="00562621">
        <w:trPr>
          <w:trHeight w:val="851"/>
        </w:trPr>
        <w:tc>
          <w:tcPr>
            <w:tcW w:w="1259" w:type="dxa"/>
            <w:tcBorders>
              <w:top w:val="nil"/>
              <w:left w:val="nil"/>
              <w:bottom w:val="single" w:sz="4" w:space="0" w:color="auto"/>
              <w:right w:val="nil"/>
            </w:tcBorders>
          </w:tcPr>
          <w:p w14:paraId="5BA59C6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B6DBD6F"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C0936FF" w14:textId="77777777" w:rsidR="00446DE4" w:rsidRPr="00DE3EC0" w:rsidRDefault="00EE06CD" w:rsidP="007333F5">
            <w:pPr>
              <w:jc w:val="right"/>
            </w:pPr>
            <w:r w:rsidRPr="00EE06CD">
              <w:rPr>
                <w:sz w:val="40"/>
              </w:rPr>
              <w:t>A</w:t>
            </w:r>
            <w:r w:rsidR="00C06876">
              <w:t>/HRC/4</w:t>
            </w:r>
            <w:r w:rsidR="007333F5">
              <w:t>2</w:t>
            </w:r>
            <w:r>
              <w:t>/L.</w:t>
            </w:r>
            <w:r w:rsidR="0029216C">
              <w:t>1</w:t>
            </w:r>
          </w:p>
        </w:tc>
      </w:tr>
      <w:tr w:rsidR="003107FA" w14:paraId="5A2DE4B8" w14:textId="77777777" w:rsidTr="00562621">
        <w:trPr>
          <w:trHeight w:val="2835"/>
        </w:trPr>
        <w:tc>
          <w:tcPr>
            <w:tcW w:w="1259" w:type="dxa"/>
            <w:tcBorders>
              <w:top w:val="single" w:sz="4" w:space="0" w:color="auto"/>
              <w:left w:val="nil"/>
              <w:bottom w:val="single" w:sz="12" w:space="0" w:color="auto"/>
              <w:right w:val="nil"/>
            </w:tcBorders>
          </w:tcPr>
          <w:p w14:paraId="4B420EB3" w14:textId="77777777" w:rsidR="003107FA" w:rsidRDefault="001A5074" w:rsidP="00562621">
            <w:pPr>
              <w:spacing w:before="120"/>
              <w:jc w:val="center"/>
            </w:pPr>
            <w:r>
              <w:rPr>
                <w:noProof/>
                <w:lang w:eastAsia="zh-CN"/>
              </w:rPr>
              <w:drawing>
                <wp:inline distT="0" distB="0" distL="0" distR="0" wp14:anchorId="3F85D8FA" wp14:editId="0CE1D374">
                  <wp:extent cx="721995" cy="58801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3ABF92"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8D41603" w14:textId="77777777" w:rsidR="003107FA" w:rsidRDefault="00EE06CD" w:rsidP="00EE06CD">
            <w:pPr>
              <w:spacing w:before="240" w:line="240" w:lineRule="exact"/>
            </w:pPr>
            <w:r>
              <w:t xml:space="preserve">Distr.: </w:t>
            </w:r>
            <w:r w:rsidR="002929B6">
              <w:t>Limited</w:t>
            </w:r>
          </w:p>
          <w:p w14:paraId="6B5D3FFD" w14:textId="65E55327" w:rsidR="00EE06CD" w:rsidRDefault="00123071" w:rsidP="00EE06CD">
            <w:pPr>
              <w:spacing w:line="240" w:lineRule="exact"/>
            </w:pPr>
            <w:r>
              <w:t>20</w:t>
            </w:r>
            <w:r w:rsidR="00EE06CD">
              <w:t xml:space="preserve"> </w:t>
            </w:r>
            <w:r w:rsidR="007333F5">
              <w:t>September</w:t>
            </w:r>
            <w:r w:rsidR="00C06876">
              <w:t xml:space="preserve"> 2019</w:t>
            </w:r>
          </w:p>
          <w:p w14:paraId="736CB103" w14:textId="77777777" w:rsidR="00EE06CD" w:rsidRDefault="00EE06CD" w:rsidP="00EE06CD">
            <w:pPr>
              <w:spacing w:line="240" w:lineRule="exact"/>
            </w:pPr>
          </w:p>
          <w:p w14:paraId="2BCFB3B5" w14:textId="77777777" w:rsidR="00EE06CD" w:rsidRDefault="00EE06CD" w:rsidP="00EE06CD">
            <w:pPr>
              <w:spacing w:line="240" w:lineRule="exact"/>
            </w:pPr>
            <w:r>
              <w:t>Original: English</w:t>
            </w:r>
          </w:p>
        </w:tc>
      </w:tr>
    </w:tbl>
    <w:p w14:paraId="2DAC4900" w14:textId="77777777" w:rsidR="00EE06CD" w:rsidRPr="00EE06CD" w:rsidRDefault="00EE06CD" w:rsidP="00EE06CD">
      <w:pPr>
        <w:spacing w:before="120"/>
        <w:rPr>
          <w:b/>
          <w:sz w:val="24"/>
          <w:szCs w:val="24"/>
        </w:rPr>
      </w:pPr>
      <w:r w:rsidRPr="00EE06CD">
        <w:rPr>
          <w:b/>
          <w:sz w:val="24"/>
          <w:szCs w:val="24"/>
        </w:rPr>
        <w:t>Human Rights Council</w:t>
      </w:r>
    </w:p>
    <w:p w14:paraId="45795CE4" w14:textId="77777777"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14:paraId="5BED7323" w14:textId="77777777" w:rsidR="00EE06CD" w:rsidRPr="00EE06CD" w:rsidRDefault="007333F5" w:rsidP="00EE06CD">
      <w:r>
        <w:t>9</w:t>
      </w:r>
      <w:r w:rsidR="00C06876">
        <w:t>–</w:t>
      </w:r>
      <w:r>
        <w:t>27</w:t>
      </w:r>
      <w:r w:rsidR="00C06876">
        <w:t xml:space="preserve"> </w:t>
      </w:r>
      <w:r>
        <w:t>September</w:t>
      </w:r>
      <w:r w:rsidR="00C06876">
        <w:t xml:space="preserve"> 2019</w:t>
      </w:r>
    </w:p>
    <w:p w14:paraId="3F66FD87" w14:textId="77777777" w:rsidR="00EE06CD" w:rsidRPr="00EE06CD" w:rsidRDefault="00EE06CD" w:rsidP="00EE06CD">
      <w:r w:rsidRPr="00EE06CD">
        <w:t>Agenda item 3</w:t>
      </w:r>
    </w:p>
    <w:p w14:paraId="6D18E886" w14:textId="16134434"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6F9D5DA1" w14:textId="5AE449E9"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B3655C" w:rsidRPr="00B3655C">
        <w:rPr>
          <w:b/>
          <w:lang w:val="en"/>
        </w:rPr>
        <w:t>Albania,</w:t>
      </w:r>
      <w:r w:rsidR="00B3655C" w:rsidRPr="00901F66">
        <w:rPr>
          <w:rStyle w:val="FootnoteReference"/>
          <w:b/>
          <w:sz w:val="20"/>
          <w:vertAlign w:val="baseline"/>
          <w:lang w:val="en"/>
        </w:rPr>
        <w:footnoteReference w:customMarkFollows="1" w:id="2"/>
        <w:t>*</w:t>
      </w:r>
      <w:r w:rsidR="00B3655C" w:rsidRPr="00B3655C">
        <w:rPr>
          <w:b/>
          <w:lang w:val="en"/>
        </w:rPr>
        <w:t xml:space="preserve"> Algeria,* Armenia,* Austria, Azerbaijan,* Belgium,* Bolivia (</w:t>
      </w:r>
      <w:proofErr w:type="spellStart"/>
      <w:r w:rsidR="00B3655C" w:rsidRPr="00B3655C">
        <w:rPr>
          <w:b/>
          <w:lang w:val="en"/>
        </w:rPr>
        <w:t>Plurinational</w:t>
      </w:r>
      <w:proofErr w:type="spellEnd"/>
      <w:r w:rsidR="00B3655C" w:rsidRPr="00B3655C">
        <w:rPr>
          <w:b/>
          <w:lang w:val="en"/>
        </w:rPr>
        <w:t xml:space="preserve"> State of),* Bulgaria, Canada,* Chile, Croatia, Cyprus,* Denmark, Estonia,* Fiji, Finland,* France,* Georgia,* Germany,* Greece,* Haiti,* Hungary, Iceland, Iran (Islamic Republic of),* Iraq, Ireland,* Italy, Jordan,* Latvia,* Lebanon,* Libya,* Liechtenstein,* Lithuania,* Luxembourg,* Malta,* Monaco,* Montenegro,* North Macedonia,* Norway,* Paraguay,* Portugal,* Qatar, Romania,* Saudi Arabia, Slovakia, Slovenia,* Spain, Sweden,* Switzerland</w:t>
      </w:r>
      <w:r w:rsidR="007233E3">
        <w:rPr>
          <w:b/>
          <w:lang w:val="en"/>
        </w:rPr>
        <w:t>,</w:t>
      </w:r>
      <w:r w:rsidR="00B3655C" w:rsidRPr="00B3655C">
        <w:rPr>
          <w:b/>
          <w:lang w:val="en"/>
        </w:rPr>
        <w:t>* Ukraine</w:t>
      </w:r>
      <w:r w:rsidR="007233E3">
        <w:rPr>
          <w:b/>
          <w:lang w:val="en"/>
        </w:rPr>
        <w:t xml:space="preserve"> and State of Palestine:</w:t>
      </w:r>
      <w:r w:rsidR="007233E3" w:rsidRPr="007233E3">
        <w:rPr>
          <w:b/>
          <w:lang w:val="en"/>
        </w:rPr>
        <w:t>*</w:t>
      </w:r>
      <w:r w:rsidRPr="00EE06CD">
        <w:rPr>
          <w:b/>
        </w:rPr>
        <w:t xml:space="preserve"> draft resolution</w:t>
      </w:r>
    </w:p>
    <w:p w14:paraId="031DDA8F" w14:textId="77777777"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29216C" w:rsidRPr="0029216C">
        <w:rPr>
          <w:b/>
          <w:sz w:val="24"/>
          <w:lang w:val="en-US"/>
        </w:rPr>
        <w:t>The human rights to safe drinking water and sanitation</w:t>
      </w:r>
    </w:p>
    <w:p w14:paraId="2B56572C" w14:textId="52E8A6BF" w:rsidR="00EE06CD" w:rsidRPr="00EE06CD" w:rsidRDefault="0059689E" w:rsidP="008B7C8D">
      <w:pPr>
        <w:spacing w:after="120"/>
        <w:ind w:left="1134" w:right="1134"/>
        <w:jc w:val="both"/>
      </w:pPr>
      <w:r>
        <w:tab/>
      </w:r>
      <w:bookmarkStart w:id="0" w:name="_GoBack"/>
      <w:bookmarkEnd w:id="0"/>
      <w:r w:rsidR="00EE06CD" w:rsidRPr="00EE06CD">
        <w:rPr>
          <w:i/>
        </w:rPr>
        <w:t>The Human Rights Council</w:t>
      </w:r>
      <w:r w:rsidR="00EE06CD" w:rsidRPr="00EE06CD">
        <w:t>,</w:t>
      </w:r>
    </w:p>
    <w:p w14:paraId="2A5B07CF" w14:textId="77777777" w:rsidR="0029216C" w:rsidRPr="0029216C" w:rsidRDefault="0029216C" w:rsidP="0029216C">
      <w:pPr>
        <w:pStyle w:val="SingleTxtG"/>
        <w:ind w:firstLine="567"/>
        <w:rPr>
          <w:lang w:val="en-US"/>
        </w:rPr>
      </w:pPr>
      <w:r w:rsidRPr="0029216C">
        <w:rPr>
          <w:i/>
          <w:lang w:val="en-US"/>
        </w:rPr>
        <w:t xml:space="preserve">Guided </w:t>
      </w:r>
      <w:r w:rsidRPr="00901F66">
        <w:rPr>
          <w:iCs/>
          <w:lang w:val="en-US"/>
        </w:rPr>
        <w:t>by</w:t>
      </w:r>
      <w:r w:rsidRPr="0029216C">
        <w:rPr>
          <w:lang w:val="en-US"/>
        </w:rPr>
        <w:t xml:space="preserve"> the purposes and principles of the Charter of the United Nations,</w:t>
      </w:r>
    </w:p>
    <w:p w14:paraId="01474BFF" w14:textId="77777777" w:rsidR="0029216C" w:rsidRPr="0029216C" w:rsidRDefault="0029216C" w:rsidP="0029216C">
      <w:pPr>
        <w:pStyle w:val="SingleTxtG"/>
        <w:ind w:firstLine="567"/>
        <w:rPr>
          <w:lang w:val="en-US"/>
        </w:rPr>
      </w:pPr>
      <w:r w:rsidRPr="0029216C">
        <w:rPr>
          <w:i/>
          <w:lang w:val="en-US"/>
        </w:rPr>
        <w:t>Recalling</w:t>
      </w:r>
      <w:r w:rsidRPr="0029216C">
        <w:rPr>
          <w:lang w:val="en-US"/>
        </w:rPr>
        <w:t xml:space="preserve"> 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14:paraId="273B272B" w14:textId="02F44C7C" w:rsidR="0029216C" w:rsidRPr="0029216C" w:rsidRDefault="0029216C" w:rsidP="0059689E">
      <w:pPr>
        <w:pStyle w:val="SingleTxtG"/>
        <w:ind w:firstLine="567"/>
        <w:rPr>
          <w:lang w:val="en-US"/>
        </w:rPr>
      </w:pPr>
      <w:r w:rsidRPr="0029216C">
        <w:rPr>
          <w:i/>
          <w:lang w:val="en-US"/>
        </w:rPr>
        <w:t>Recalling</w:t>
      </w:r>
      <w:r w:rsidR="0059689E">
        <w:rPr>
          <w:i/>
          <w:lang w:val="en-US"/>
        </w:rPr>
        <w:t xml:space="preserve"> also</w:t>
      </w:r>
      <w:r w:rsidRPr="0029216C">
        <w:rPr>
          <w:lang w:val="en-US"/>
        </w:rPr>
        <w:t xml:space="preserve"> General Assembly resolution 70/1 of 25 September 2015, entitled “Transforming our world: the 2030 Agenda for Sustainable Development”, </w:t>
      </w:r>
      <w:r w:rsidR="0059689E">
        <w:rPr>
          <w:lang w:val="en-US"/>
        </w:rPr>
        <w:t xml:space="preserve">in which the Assembly pledged </w:t>
      </w:r>
      <w:r w:rsidRPr="0029216C">
        <w:rPr>
          <w:lang w:val="en-US"/>
        </w:rPr>
        <w:t>to leave no one behind,</w:t>
      </w:r>
    </w:p>
    <w:p w14:paraId="235A5293" w14:textId="7C6756DC" w:rsidR="0029216C" w:rsidRPr="0029216C" w:rsidRDefault="0029216C" w:rsidP="00153DA2">
      <w:pPr>
        <w:pStyle w:val="SingleTxtG"/>
        <w:ind w:firstLine="567"/>
        <w:rPr>
          <w:lang w:val="en-US"/>
        </w:rPr>
      </w:pPr>
      <w:r w:rsidRPr="0029216C">
        <w:rPr>
          <w:i/>
          <w:lang w:val="en-US"/>
        </w:rPr>
        <w:t>Reaffirming</w:t>
      </w:r>
      <w:r w:rsidRPr="0029216C">
        <w:rPr>
          <w:lang w:val="en-US"/>
        </w:rPr>
        <w:t xml:space="preserve"> all previous </w:t>
      </w:r>
      <w:r w:rsidR="00153DA2" w:rsidRPr="0029216C">
        <w:rPr>
          <w:lang w:val="en-US"/>
        </w:rPr>
        <w:t xml:space="preserve">Human Rights Council </w:t>
      </w:r>
      <w:r w:rsidRPr="0029216C">
        <w:rPr>
          <w:lang w:val="en-US"/>
        </w:rPr>
        <w:t>resolutions on the human rights to safe</w:t>
      </w:r>
      <w:r>
        <w:rPr>
          <w:lang w:val="en-US"/>
        </w:rPr>
        <w:t xml:space="preserve"> drinking water and sanitation,</w:t>
      </w:r>
    </w:p>
    <w:p w14:paraId="5B1E87FC" w14:textId="237C2A23" w:rsidR="0029216C" w:rsidRPr="0029216C" w:rsidRDefault="0029216C" w:rsidP="00153DA2">
      <w:pPr>
        <w:pStyle w:val="SingleTxtG"/>
        <w:ind w:firstLine="567"/>
        <w:rPr>
          <w:lang w:val="en-US"/>
        </w:rPr>
      </w:pPr>
      <w:r w:rsidRPr="0029216C">
        <w:rPr>
          <w:i/>
          <w:lang w:val="en-US"/>
        </w:rPr>
        <w:t>Recalling</w:t>
      </w:r>
      <w:r w:rsidRPr="0029216C">
        <w:rPr>
          <w:lang w:val="en-US"/>
        </w:rPr>
        <w:t xml:space="preserve"> all previous </w:t>
      </w:r>
      <w:r w:rsidR="00153DA2" w:rsidRPr="0029216C">
        <w:rPr>
          <w:lang w:val="en-US"/>
        </w:rPr>
        <w:t xml:space="preserve">General Assembly </w:t>
      </w:r>
      <w:r w:rsidRPr="0029216C">
        <w:rPr>
          <w:lang w:val="en-US"/>
        </w:rPr>
        <w:t xml:space="preserve">resolutions on the human rights to safe drinking water and sanitation, including resolution 64/292 of </w:t>
      </w:r>
      <w:r w:rsidR="00153DA2">
        <w:rPr>
          <w:lang w:val="en-US"/>
        </w:rPr>
        <w:t xml:space="preserve">28 July </w:t>
      </w:r>
      <w:r w:rsidRPr="0029216C">
        <w:rPr>
          <w:lang w:val="en-US"/>
        </w:rPr>
        <w:t>2010,</w:t>
      </w:r>
    </w:p>
    <w:p w14:paraId="3D53C80B" w14:textId="77777777" w:rsidR="0029216C" w:rsidRPr="0029216C" w:rsidRDefault="0029216C" w:rsidP="0029216C">
      <w:pPr>
        <w:pStyle w:val="SingleTxtG"/>
        <w:ind w:firstLine="567"/>
      </w:pPr>
      <w:r>
        <w:rPr>
          <w:lang w:val="en-US"/>
        </w:rPr>
        <w:t>1.</w:t>
      </w:r>
      <w:r>
        <w:rPr>
          <w:lang w:val="en-US"/>
        </w:rPr>
        <w:tab/>
      </w:r>
      <w:proofErr w:type="gramStart"/>
      <w:r w:rsidRPr="0029216C">
        <w:rPr>
          <w:i/>
          <w:lang w:val="en-US"/>
        </w:rPr>
        <w:t>W</w:t>
      </w:r>
      <w:proofErr w:type="spellStart"/>
      <w:r w:rsidRPr="0029216C">
        <w:rPr>
          <w:i/>
        </w:rPr>
        <w:t>elcomes</w:t>
      </w:r>
      <w:proofErr w:type="spellEnd"/>
      <w:proofErr w:type="gramEnd"/>
      <w:r w:rsidRPr="0029216C">
        <w:t xml:space="preserve"> the work of the Special Rapporteur on the human rights to safe</w:t>
      </w:r>
      <w:r>
        <w:t xml:space="preserve"> drinking water and sanitation;</w:t>
      </w:r>
      <w:r w:rsidR="00867880">
        <w:rPr>
          <w:rStyle w:val="FootnoteReference"/>
        </w:rPr>
        <w:footnoteReference w:id="3"/>
      </w:r>
    </w:p>
    <w:p w14:paraId="522E28F5" w14:textId="77777777" w:rsidR="0029216C" w:rsidRPr="0029216C" w:rsidRDefault="0029216C" w:rsidP="0029216C">
      <w:pPr>
        <w:pStyle w:val="SingleTxtG"/>
        <w:ind w:firstLine="567"/>
      </w:pPr>
      <w:r>
        <w:t>2.</w:t>
      </w:r>
      <w:r>
        <w:tab/>
      </w:r>
      <w:r w:rsidRPr="0029216C">
        <w:rPr>
          <w:i/>
        </w:rPr>
        <w:t>Decides</w:t>
      </w:r>
      <w:r w:rsidRPr="0029216C">
        <w:t xml:space="preserve"> to extend the mandate of the Special Rapporteur on the human rights to safe drinking water and sanitati</w:t>
      </w:r>
      <w:r>
        <w:t>on for a period of three years;</w:t>
      </w:r>
    </w:p>
    <w:p w14:paraId="4FE62C79" w14:textId="77777777" w:rsidR="0029216C" w:rsidRPr="0029216C" w:rsidRDefault="0029216C" w:rsidP="0029216C">
      <w:pPr>
        <w:pStyle w:val="SingleTxtG"/>
        <w:ind w:firstLine="567"/>
      </w:pPr>
      <w:r>
        <w:lastRenderedPageBreak/>
        <w:t>3.</w:t>
      </w:r>
      <w:r>
        <w:tab/>
      </w:r>
      <w:r w:rsidRPr="0029216C">
        <w:rPr>
          <w:i/>
        </w:rPr>
        <w:t>Requests</w:t>
      </w:r>
      <w:r w:rsidRPr="0029216C">
        <w:t xml:space="preserve"> the Special Rapporteur to continue to report, on an annual basis, to the Human Rights Council and to submit an annual </w:t>
      </w:r>
      <w:r>
        <w:t>report to the General Assembly;</w:t>
      </w:r>
    </w:p>
    <w:p w14:paraId="4C450642" w14:textId="7DDB85DB" w:rsidR="0029216C" w:rsidRPr="0029216C" w:rsidRDefault="0029216C" w:rsidP="002F5841">
      <w:pPr>
        <w:pStyle w:val="SingleTxtG"/>
        <w:ind w:firstLine="567"/>
      </w:pPr>
      <w:r>
        <w:t>4.</w:t>
      </w:r>
      <w:r>
        <w:tab/>
      </w:r>
      <w:r w:rsidRPr="0029216C">
        <w:rPr>
          <w:i/>
        </w:rPr>
        <w:t>Requests</w:t>
      </w:r>
      <w:r w:rsidRPr="0029216C">
        <w:t xml:space="preserve"> the Special Rapporteur, in view of the tenth anniversary of General Assembly resolution 64/292 and Human Rights Council resolution 15/9 </w:t>
      </w:r>
      <w:r w:rsidR="002F5841">
        <w:t xml:space="preserve">of 30 September 2010 </w:t>
      </w:r>
      <w:r w:rsidRPr="0029216C">
        <w:t xml:space="preserve">recognizing the human rights to safe drinking water and sanitation, to initiate and participate in awareness-raising activities, including through social media and </w:t>
      </w:r>
      <w:r w:rsidR="00867880">
        <w:t>with the use of</w:t>
      </w:r>
      <w:r w:rsidR="00867880" w:rsidRPr="0029216C">
        <w:t xml:space="preserve"> </w:t>
      </w:r>
      <w:r w:rsidRPr="0029216C">
        <w:t>accessible materials, and in collaboration with States, to compile good practices at the local, national, regional and international levels in order to promote the progressive realization of the human rights to safe drinking water and sanitation</w:t>
      </w:r>
      <w:r w:rsidR="00153DA2">
        <w:t>,</w:t>
      </w:r>
      <w:r w:rsidRPr="0029216C">
        <w:t xml:space="preserve"> and to report </w:t>
      </w:r>
      <w:r w:rsidR="00153DA2">
        <w:t>there</w:t>
      </w:r>
      <w:r w:rsidRPr="0029216C">
        <w:t xml:space="preserve">on to the </w:t>
      </w:r>
      <w:r w:rsidR="00153DA2">
        <w:t xml:space="preserve">Human Rights Council at its </w:t>
      </w:r>
      <w:r w:rsidRPr="0029216C">
        <w:t>forty-fifth session</w:t>
      </w:r>
      <w:r>
        <w:t>;</w:t>
      </w:r>
    </w:p>
    <w:p w14:paraId="0F0DE5D3" w14:textId="77777777" w:rsidR="0029216C" w:rsidRPr="0029216C" w:rsidRDefault="0029216C" w:rsidP="0029216C">
      <w:pPr>
        <w:pStyle w:val="SingleTxtG"/>
        <w:ind w:firstLine="567"/>
      </w:pPr>
      <w:r>
        <w:t>5.</w:t>
      </w:r>
      <w:r>
        <w:tab/>
      </w:r>
      <w:proofErr w:type="gramStart"/>
      <w:r w:rsidRPr="0029216C">
        <w:rPr>
          <w:i/>
        </w:rPr>
        <w:t>Encourages</w:t>
      </w:r>
      <w:proofErr w:type="gramEnd"/>
      <w:r w:rsidRPr="0029216C">
        <w:t xml:space="preserve"> the Special Rapporteur to facilitate, including through engagement with relevant stakeholders, the provision of technical assistance in the area of the implementation of the human rights to safe</w:t>
      </w:r>
      <w:r>
        <w:t xml:space="preserve"> drinking water and sanitation;</w:t>
      </w:r>
    </w:p>
    <w:p w14:paraId="23368CF2" w14:textId="77777777" w:rsidR="0029216C" w:rsidRPr="0029216C" w:rsidRDefault="0029216C" w:rsidP="0029216C">
      <w:pPr>
        <w:pStyle w:val="SingleTxtG"/>
        <w:ind w:firstLine="567"/>
      </w:pPr>
      <w:r>
        <w:t>6.</w:t>
      </w:r>
      <w:r>
        <w:tab/>
      </w:r>
      <w:r w:rsidRPr="0029216C">
        <w:rPr>
          <w:i/>
        </w:rPr>
        <w:t>Encourages</w:t>
      </w:r>
      <w:r w:rsidRPr="0029216C">
        <w:t xml:space="preserve"> all Governments to respond favourably to requests by the Special Rapporteur for visits and information, to follow up effectively on the recommendations of the mandate holder and to make available information on</w:t>
      </w:r>
      <w:r>
        <w:t xml:space="preserve"> measures taken in this regard;</w:t>
      </w:r>
    </w:p>
    <w:p w14:paraId="7EC9E9B7" w14:textId="77777777" w:rsidR="0029216C" w:rsidRPr="0029216C" w:rsidRDefault="0029216C" w:rsidP="0029216C">
      <w:pPr>
        <w:pStyle w:val="SingleTxtG"/>
        <w:ind w:firstLine="567"/>
      </w:pPr>
      <w:r>
        <w:t>7.</w:t>
      </w:r>
      <w:r>
        <w:tab/>
      </w:r>
      <w:r w:rsidRPr="0029216C">
        <w:rPr>
          <w:i/>
        </w:rPr>
        <w:t>Requests</w:t>
      </w:r>
      <w:r w:rsidRPr="0029216C">
        <w:t xml:space="preserve"> the Secretary-General and the United Nations High Commissioner for Human Rights to provide the Special Rapporteur with all the resources and assistance necessary for the effec</w:t>
      </w:r>
      <w:r>
        <w:t>tive fulfilment of the mandate;</w:t>
      </w:r>
    </w:p>
    <w:p w14:paraId="23180E77" w14:textId="77777777" w:rsidR="00EE06CD" w:rsidRDefault="0029216C" w:rsidP="0029216C">
      <w:pPr>
        <w:pStyle w:val="SingleTxtG"/>
        <w:ind w:firstLine="567"/>
      </w:pPr>
      <w:r>
        <w:t>8.</w:t>
      </w:r>
      <w:r>
        <w:tab/>
      </w:r>
      <w:r w:rsidRPr="001A5074">
        <w:rPr>
          <w:i/>
        </w:rPr>
        <w:t>Decides</w:t>
      </w:r>
      <w:r w:rsidRPr="001A5074">
        <w:t xml:space="preserve"> to continue its consideration of this matter.</w:t>
      </w:r>
    </w:p>
    <w:p w14:paraId="6CEF9DCE" w14:textId="29B3EA9E" w:rsidR="00CF586F" w:rsidRPr="0029216C" w:rsidRDefault="0029216C" w:rsidP="0029216C">
      <w:pPr>
        <w:spacing w:before="240"/>
        <w:ind w:left="1134" w:right="1134"/>
        <w:jc w:val="center"/>
        <w:rPr>
          <w:u w:val="single"/>
        </w:rPr>
      </w:pPr>
      <w:r>
        <w:rPr>
          <w:u w:val="single"/>
        </w:rPr>
        <w:tab/>
      </w:r>
      <w:r>
        <w:rPr>
          <w:u w:val="single"/>
        </w:rPr>
        <w:tab/>
      </w:r>
      <w:r>
        <w:rPr>
          <w:u w:val="single"/>
        </w:rPr>
        <w:tab/>
      </w:r>
      <w:r w:rsidR="00123071">
        <w:rPr>
          <w:u w:val="single"/>
        </w:rPr>
        <w:tab/>
      </w:r>
    </w:p>
    <w:sectPr w:rsidR="00CF586F" w:rsidRPr="0029216C"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D069" w14:textId="77777777" w:rsidR="00EE06CD" w:rsidRDefault="00EE06CD"/>
  </w:endnote>
  <w:endnote w:type="continuationSeparator" w:id="0">
    <w:p w14:paraId="1D342FA9" w14:textId="77777777" w:rsidR="00EE06CD" w:rsidRDefault="00EE06CD"/>
  </w:endnote>
  <w:endnote w:type="continuationNotice" w:id="1">
    <w:p w14:paraId="2753FAB9"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74ED" w14:textId="03B50760"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B7C8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8189"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8092" w14:textId="57BD529B" w:rsidR="006249E0" w:rsidRDefault="006249E0" w:rsidP="006249E0">
    <w:pPr>
      <w:pStyle w:val="Footer"/>
    </w:pPr>
    <w:r>
      <w:rPr>
        <w:noProof/>
        <w:lang w:eastAsia="zh-CN"/>
      </w:rPr>
      <w:drawing>
        <wp:anchor distT="0" distB="0" distL="114300" distR="114300" simplePos="0" relativeHeight="251659264" behindDoc="1" locked="1" layoutInCell="1" allowOverlap="1" wp14:anchorId="5868519B" wp14:editId="350F90A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16DD7A" w14:textId="3FE9E7B7" w:rsidR="006249E0" w:rsidRDefault="006249E0" w:rsidP="006249E0">
    <w:pPr>
      <w:pStyle w:val="Footer"/>
      <w:ind w:right="1134"/>
      <w:rPr>
        <w:sz w:val="20"/>
      </w:rPr>
    </w:pPr>
    <w:r>
      <w:rPr>
        <w:sz w:val="20"/>
      </w:rPr>
      <w:t>GE.19-15963(E)</w:t>
    </w:r>
  </w:p>
  <w:p w14:paraId="0B6B2C4E" w14:textId="53C37FBC" w:rsidR="006249E0" w:rsidRPr="006249E0" w:rsidRDefault="006249E0" w:rsidP="006249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ADD6274" wp14:editId="1BB471B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1685"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668A2398"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5F1B87A0" w14:textId="77777777" w:rsidR="00EE06CD" w:rsidRDefault="00EE06CD"/>
  </w:footnote>
  <w:footnote w:id="2">
    <w:p w14:paraId="41C7AE68" w14:textId="4BE9F556" w:rsidR="00B3655C" w:rsidRPr="00B3655C" w:rsidRDefault="00B3655C">
      <w:pPr>
        <w:pStyle w:val="FootnoteText"/>
      </w:pPr>
      <w:r w:rsidRPr="00B67B5B">
        <w:rPr>
          <w:rStyle w:val="FootnoteReference"/>
          <w:szCs w:val="18"/>
        </w:rPr>
        <w:tab/>
      </w:r>
      <w:r w:rsidRPr="00901F66">
        <w:rPr>
          <w:rStyle w:val="FootnoteReference"/>
          <w:szCs w:val="18"/>
          <w:vertAlign w:val="baseline"/>
        </w:rPr>
        <w:t>*</w:t>
      </w:r>
      <w:r>
        <w:rPr>
          <w:rStyle w:val="FootnoteReference"/>
          <w:sz w:val="20"/>
          <w:vertAlign w:val="baseline"/>
        </w:rPr>
        <w:tab/>
      </w:r>
      <w:r>
        <w:t>State not a member of the Human Rights Council.</w:t>
      </w:r>
    </w:p>
  </w:footnote>
  <w:footnote w:id="3">
    <w:p w14:paraId="55DAEAAB" w14:textId="77777777" w:rsidR="00867880" w:rsidRPr="00901F66" w:rsidRDefault="00867880" w:rsidP="00EE5317">
      <w:pPr>
        <w:pStyle w:val="FootnoteText"/>
        <w:rPr>
          <w:lang w:val="en-US"/>
        </w:rPr>
      </w:pPr>
      <w:r>
        <w:tab/>
      </w:r>
      <w:r>
        <w:rPr>
          <w:rStyle w:val="FootnoteReference"/>
        </w:rPr>
        <w:footnoteRef/>
      </w:r>
      <w:r>
        <w:t xml:space="preserve"> </w:t>
      </w:r>
      <w:r>
        <w:tab/>
      </w:r>
      <w:r>
        <w:rPr>
          <w:lang w:val="en-US"/>
        </w:rPr>
        <w:t>A/HRC/42/47 and Add.1–</w:t>
      </w:r>
      <w:r w:rsidR="00EE5317">
        <w:rPr>
          <w:lang w:val="en-US"/>
        </w:rPr>
        <w:t>6</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FB00" w14:textId="77777777" w:rsidR="00EE06CD" w:rsidRPr="00EE06CD" w:rsidRDefault="001C7ACB">
    <w:pPr>
      <w:pStyle w:val="Header"/>
    </w:pPr>
    <w:r>
      <w:t>A/HRC/4</w:t>
    </w:r>
    <w:r w:rsidR="007333F5">
      <w:t>2</w:t>
    </w:r>
    <w:r>
      <w:t>/L.</w:t>
    </w:r>
    <w:r w:rsidR="0029216C">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0FE6" w14:textId="62F7EF2C" w:rsidR="00EE06CD" w:rsidRPr="00EE06CD" w:rsidRDefault="00123071" w:rsidP="00EE06CD">
    <w:pPr>
      <w:pStyle w:val="Header"/>
      <w:jc w:val="right"/>
    </w:pPr>
    <w:fldSimple w:instr=" TITLE  \* MERGEFORMAT ">
      <w:r w:rsidR="008B7C8D">
        <w:t>A/HRC/42/L.1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72F70"/>
    <w:multiLevelType w:val="hybridMultilevel"/>
    <w:tmpl w:val="CA7C844C"/>
    <w:lvl w:ilvl="0" w:tplc="CDACB5F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A27D7"/>
    <w:multiLevelType w:val="hybridMultilevel"/>
    <w:tmpl w:val="2CC60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9"/>
  </w:num>
  <w:num w:numId="4">
    <w:abstractNumId w:val="5"/>
  </w:num>
  <w:num w:numId="5">
    <w:abstractNumId w:val="0"/>
  </w:num>
  <w:num w:numId="6">
    <w:abstractNumId w:val="1"/>
  </w:num>
  <w:num w:numId="7">
    <w:abstractNumId w:val="8"/>
  </w:num>
  <w:num w:numId="8">
    <w:abstractNumId w:val="4"/>
  </w:num>
  <w:num w:numId="9">
    <w:abstractNumId w:val="3"/>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041F"/>
    <w:rsid w:val="00022DB5"/>
    <w:rsid w:val="000403D1"/>
    <w:rsid w:val="000449AA"/>
    <w:rsid w:val="00050F6B"/>
    <w:rsid w:val="0005662A"/>
    <w:rsid w:val="00072C8C"/>
    <w:rsid w:val="00073E70"/>
    <w:rsid w:val="000876EB"/>
    <w:rsid w:val="000912C2"/>
    <w:rsid w:val="00091419"/>
    <w:rsid w:val="000931C0"/>
    <w:rsid w:val="000A6EB2"/>
    <w:rsid w:val="000B175B"/>
    <w:rsid w:val="000B2851"/>
    <w:rsid w:val="000B3A0F"/>
    <w:rsid w:val="000B4A3B"/>
    <w:rsid w:val="000C59D8"/>
    <w:rsid w:val="000D1851"/>
    <w:rsid w:val="000E0415"/>
    <w:rsid w:val="00123071"/>
    <w:rsid w:val="00146D32"/>
    <w:rsid w:val="001509BA"/>
    <w:rsid w:val="00153DA2"/>
    <w:rsid w:val="001A5074"/>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54C71"/>
    <w:rsid w:val="00271867"/>
    <w:rsid w:val="0027725F"/>
    <w:rsid w:val="0029216C"/>
    <w:rsid w:val="002929B6"/>
    <w:rsid w:val="002A7BAB"/>
    <w:rsid w:val="002C21F0"/>
    <w:rsid w:val="002D0FEA"/>
    <w:rsid w:val="002F5841"/>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59CC"/>
    <w:rsid w:val="00496A15"/>
    <w:rsid w:val="00496C90"/>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9689E"/>
    <w:rsid w:val="005A0E16"/>
    <w:rsid w:val="005B3DB3"/>
    <w:rsid w:val="005B6E48"/>
    <w:rsid w:val="005D53BE"/>
    <w:rsid w:val="005E1712"/>
    <w:rsid w:val="00611FC4"/>
    <w:rsid w:val="006176FB"/>
    <w:rsid w:val="006249E0"/>
    <w:rsid w:val="00625FA2"/>
    <w:rsid w:val="00640B26"/>
    <w:rsid w:val="00655B60"/>
    <w:rsid w:val="00660685"/>
    <w:rsid w:val="00670741"/>
    <w:rsid w:val="00696BD6"/>
    <w:rsid w:val="006A6B9D"/>
    <w:rsid w:val="006A7392"/>
    <w:rsid w:val="006B3189"/>
    <w:rsid w:val="006B7D65"/>
    <w:rsid w:val="006D6DA6"/>
    <w:rsid w:val="006E564B"/>
    <w:rsid w:val="006F13F0"/>
    <w:rsid w:val="006F5035"/>
    <w:rsid w:val="007065EB"/>
    <w:rsid w:val="00720183"/>
    <w:rsid w:val="007233E3"/>
    <w:rsid w:val="0072632A"/>
    <w:rsid w:val="007333F5"/>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7880"/>
    <w:rsid w:val="00871FD5"/>
    <w:rsid w:val="008847BB"/>
    <w:rsid w:val="008979B1"/>
    <w:rsid w:val="008A6B25"/>
    <w:rsid w:val="008A6C4F"/>
    <w:rsid w:val="008B7C8D"/>
    <w:rsid w:val="008C1E4D"/>
    <w:rsid w:val="008E0E46"/>
    <w:rsid w:val="008F4F34"/>
    <w:rsid w:val="00901F66"/>
    <w:rsid w:val="0090452C"/>
    <w:rsid w:val="00907C3F"/>
    <w:rsid w:val="009104D0"/>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29BA"/>
    <w:rsid w:val="00AC5AE2"/>
    <w:rsid w:val="00AD09E9"/>
    <w:rsid w:val="00AF0576"/>
    <w:rsid w:val="00AF3829"/>
    <w:rsid w:val="00B037F0"/>
    <w:rsid w:val="00B2327D"/>
    <w:rsid w:val="00B2718F"/>
    <w:rsid w:val="00B30179"/>
    <w:rsid w:val="00B3317B"/>
    <w:rsid w:val="00B334DC"/>
    <w:rsid w:val="00B3631A"/>
    <w:rsid w:val="00B3655C"/>
    <w:rsid w:val="00B53013"/>
    <w:rsid w:val="00B67B5B"/>
    <w:rsid w:val="00B67F5E"/>
    <w:rsid w:val="00B73E65"/>
    <w:rsid w:val="00B81E12"/>
    <w:rsid w:val="00B87110"/>
    <w:rsid w:val="00B97FA8"/>
    <w:rsid w:val="00BC03B3"/>
    <w:rsid w:val="00BC1385"/>
    <w:rsid w:val="00BC74E9"/>
    <w:rsid w:val="00BE618E"/>
    <w:rsid w:val="00BE655C"/>
    <w:rsid w:val="00C06876"/>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E5317"/>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BACC271"/>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60685"/>
    <w:rPr>
      <w:sz w:val="16"/>
      <w:szCs w:val="16"/>
    </w:rPr>
  </w:style>
  <w:style w:type="paragraph" w:styleId="CommentText">
    <w:name w:val="annotation text"/>
    <w:basedOn w:val="Normal"/>
    <w:link w:val="CommentTextChar"/>
    <w:semiHidden/>
    <w:unhideWhenUsed/>
    <w:rsid w:val="00660685"/>
    <w:pPr>
      <w:spacing w:line="240" w:lineRule="auto"/>
    </w:pPr>
  </w:style>
  <w:style w:type="character" w:customStyle="1" w:styleId="CommentTextChar">
    <w:name w:val="Comment Text Char"/>
    <w:basedOn w:val="DefaultParagraphFont"/>
    <w:link w:val="CommentText"/>
    <w:semiHidden/>
    <w:rsid w:val="00660685"/>
    <w:rPr>
      <w:lang w:eastAsia="en-US"/>
    </w:rPr>
  </w:style>
  <w:style w:type="paragraph" w:styleId="CommentSubject">
    <w:name w:val="annotation subject"/>
    <w:basedOn w:val="CommentText"/>
    <w:next w:val="CommentText"/>
    <w:link w:val="CommentSubjectChar"/>
    <w:semiHidden/>
    <w:unhideWhenUsed/>
    <w:rsid w:val="00660685"/>
    <w:rPr>
      <w:b/>
      <w:bCs/>
    </w:rPr>
  </w:style>
  <w:style w:type="character" w:customStyle="1" w:styleId="CommentSubjectChar">
    <w:name w:val="Comment Subject Char"/>
    <w:basedOn w:val="CommentTextChar"/>
    <w:link w:val="CommentSubject"/>
    <w:semiHidden/>
    <w:rsid w:val="006606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7C65-A5C7-40E3-A4C4-58E6155B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557</Words>
  <Characters>3285</Characters>
  <Application>Microsoft Office Word</Application>
  <DocSecurity>0</DocSecurity>
  <Lines>65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dc:title>
  <dc:subject>1915963</dc:subject>
  <dc:creator>Sumiko IHARA</dc:creator>
  <cp:keywords/>
  <dc:description/>
  <cp:lastModifiedBy>Generic Desk Anglais</cp:lastModifiedBy>
  <cp:revision>2</cp:revision>
  <cp:lastPrinted>2019-09-20T05:40:00Z</cp:lastPrinted>
  <dcterms:created xsi:type="dcterms:W3CDTF">2019-09-20T05:40:00Z</dcterms:created>
  <dcterms:modified xsi:type="dcterms:W3CDTF">2019-09-20T05:40:00Z</dcterms:modified>
</cp:coreProperties>
</file>