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20BD4C45" w14:textId="77777777" w:rsidTr="00F50AB0">
        <w:trPr>
          <w:trHeight w:hRule="exact" w:val="851"/>
        </w:trPr>
        <w:tc>
          <w:tcPr>
            <w:tcW w:w="1276" w:type="dxa"/>
            <w:tcBorders>
              <w:bottom w:val="single" w:sz="4" w:space="0" w:color="auto"/>
            </w:tcBorders>
          </w:tcPr>
          <w:p w14:paraId="34453663" w14:textId="77777777" w:rsidR="00A12E20" w:rsidRPr="00DB58B5" w:rsidRDefault="00A12E20" w:rsidP="003C44FA"/>
        </w:tc>
        <w:tc>
          <w:tcPr>
            <w:tcW w:w="2268" w:type="dxa"/>
            <w:tcBorders>
              <w:bottom w:val="single" w:sz="4" w:space="0" w:color="auto"/>
            </w:tcBorders>
            <w:vAlign w:val="bottom"/>
          </w:tcPr>
          <w:p w14:paraId="5E4443C3" w14:textId="77777777" w:rsidR="00A12E20" w:rsidRPr="00DB58B5" w:rsidRDefault="00A12E20" w:rsidP="00F50AB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E87AD6" w14:textId="77777777" w:rsidR="00A12E20" w:rsidRPr="00DB58B5" w:rsidRDefault="003C44FA" w:rsidP="003C44FA">
            <w:pPr>
              <w:jc w:val="right"/>
            </w:pPr>
            <w:r w:rsidRPr="003C44FA">
              <w:rPr>
                <w:sz w:val="40"/>
              </w:rPr>
              <w:t>A</w:t>
            </w:r>
            <w:r>
              <w:t>/HRC/42/L.1</w:t>
            </w:r>
          </w:p>
        </w:tc>
      </w:tr>
      <w:tr w:rsidR="00A12E20" w:rsidRPr="00DB58B5" w14:paraId="0A0C5AB7" w14:textId="77777777" w:rsidTr="00F50AB0">
        <w:trPr>
          <w:trHeight w:hRule="exact" w:val="2835"/>
        </w:trPr>
        <w:tc>
          <w:tcPr>
            <w:tcW w:w="1276" w:type="dxa"/>
            <w:tcBorders>
              <w:top w:val="single" w:sz="4" w:space="0" w:color="auto"/>
              <w:bottom w:val="single" w:sz="12" w:space="0" w:color="auto"/>
            </w:tcBorders>
          </w:tcPr>
          <w:p w14:paraId="1923B588" w14:textId="77777777" w:rsidR="00A12E20" w:rsidRPr="00DB58B5" w:rsidRDefault="00A12E20" w:rsidP="00F50AB0">
            <w:pPr>
              <w:spacing w:before="120"/>
              <w:jc w:val="center"/>
            </w:pPr>
            <w:r>
              <w:rPr>
                <w:noProof/>
                <w:lang w:eastAsia="fr-CH"/>
              </w:rPr>
              <w:drawing>
                <wp:inline distT="0" distB="0" distL="0" distR="0" wp14:anchorId="3B408F9C" wp14:editId="36D217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F7DA4E" w14:textId="77777777" w:rsidR="00A12E20" w:rsidRPr="00740562" w:rsidRDefault="00A12E20" w:rsidP="00F50AB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047EA926" w14:textId="77777777" w:rsidR="00A12E20" w:rsidRDefault="003C44FA" w:rsidP="00F50AB0">
            <w:pPr>
              <w:spacing w:before="240"/>
            </w:pPr>
            <w:r>
              <w:t>Distr. limitée</w:t>
            </w:r>
          </w:p>
          <w:p w14:paraId="0A2BBCDF" w14:textId="77777777" w:rsidR="003C44FA" w:rsidRDefault="003C44FA" w:rsidP="003C44FA">
            <w:pPr>
              <w:spacing w:line="240" w:lineRule="exact"/>
            </w:pPr>
            <w:r>
              <w:t>20 septembre 2019</w:t>
            </w:r>
          </w:p>
          <w:p w14:paraId="4AF974FA" w14:textId="77777777" w:rsidR="003C44FA" w:rsidRDefault="003C44FA" w:rsidP="003C44FA">
            <w:pPr>
              <w:spacing w:line="240" w:lineRule="exact"/>
            </w:pPr>
            <w:r>
              <w:t>Français</w:t>
            </w:r>
          </w:p>
          <w:p w14:paraId="5F097CFA" w14:textId="77777777" w:rsidR="003C44FA" w:rsidRPr="00DB58B5" w:rsidRDefault="003C44FA" w:rsidP="003C44FA">
            <w:pPr>
              <w:spacing w:line="240" w:lineRule="exact"/>
            </w:pPr>
            <w:r>
              <w:t>Original : anglais</w:t>
            </w:r>
          </w:p>
        </w:tc>
      </w:tr>
    </w:tbl>
    <w:p w14:paraId="1700D46F" w14:textId="77777777" w:rsidR="00A079D1" w:rsidRPr="006A43D1" w:rsidRDefault="00A079D1" w:rsidP="006A43D1">
      <w:pPr>
        <w:spacing w:before="120"/>
        <w:rPr>
          <w:b/>
          <w:sz w:val="24"/>
          <w:szCs w:val="24"/>
          <w:lang w:val="fr-FR"/>
        </w:rPr>
      </w:pPr>
      <w:r w:rsidRPr="006A43D1">
        <w:rPr>
          <w:b/>
          <w:sz w:val="24"/>
          <w:szCs w:val="24"/>
          <w:lang w:val="fr-FR"/>
        </w:rPr>
        <w:t>Conseil des droits de l’homme</w:t>
      </w:r>
    </w:p>
    <w:p w14:paraId="15E25169" w14:textId="77777777" w:rsidR="00A079D1" w:rsidRPr="006A43D1" w:rsidRDefault="00A079D1" w:rsidP="00A079D1">
      <w:pPr>
        <w:rPr>
          <w:b/>
          <w:lang w:val="fr-FR"/>
        </w:rPr>
      </w:pPr>
      <w:r w:rsidRPr="006A43D1">
        <w:rPr>
          <w:b/>
          <w:lang w:val="fr-FR"/>
        </w:rPr>
        <w:t>Quarante-deuxième session</w:t>
      </w:r>
    </w:p>
    <w:p w14:paraId="2659EDA2" w14:textId="77777777" w:rsidR="00A079D1" w:rsidRPr="006A43D1" w:rsidRDefault="00A079D1" w:rsidP="00A079D1">
      <w:pPr>
        <w:rPr>
          <w:lang w:val="fr-FR"/>
        </w:rPr>
      </w:pPr>
      <w:r w:rsidRPr="006A43D1">
        <w:rPr>
          <w:lang w:val="fr-FR"/>
        </w:rPr>
        <w:t>9-27</w:t>
      </w:r>
      <w:r w:rsidR="006A43D1">
        <w:rPr>
          <w:lang w:val="fr-FR"/>
        </w:rPr>
        <w:t> </w:t>
      </w:r>
      <w:r w:rsidRPr="006A43D1">
        <w:rPr>
          <w:lang w:val="fr-FR"/>
        </w:rPr>
        <w:t>septembre 2019</w:t>
      </w:r>
    </w:p>
    <w:p w14:paraId="62FE1413" w14:textId="77777777" w:rsidR="00A079D1" w:rsidRPr="006A43D1" w:rsidRDefault="00A079D1" w:rsidP="00A079D1">
      <w:pPr>
        <w:rPr>
          <w:lang w:val="fr-FR"/>
        </w:rPr>
      </w:pPr>
      <w:r w:rsidRPr="006A43D1">
        <w:rPr>
          <w:lang w:val="fr-FR"/>
        </w:rPr>
        <w:t>Point 3 de l’ordre du jour</w:t>
      </w:r>
    </w:p>
    <w:p w14:paraId="48550DE5" w14:textId="77777777" w:rsidR="00A079D1" w:rsidRDefault="00A079D1" w:rsidP="00A079D1">
      <w:pPr>
        <w:rPr>
          <w:b/>
          <w:lang w:val="fr-FR"/>
        </w:rPr>
      </w:pPr>
      <w:r w:rsidRPr="006A43D1">
        <w:rPr>
          <w:b/>
          <w:lang w:val="fr-FR"/>
        </w:rPr>
        <w:t xml:space="preserve">Promotion et protection de tous les droits de l’homme, </w:t>
      </w:r>
      <w:r w:rsidR="006A43D1">
        <w:rPr>
          <w:b/>
          <w:lang w:val="fr-FR"/>
        </w:rPr>
        <w:br/>
      </w:r>
      <w:r w:rsidRPr="006A43D1">
        <w:rPr>
          <w:b/>
          <w:lang w:val="fr-FR"/>
        </w:rPr>
        <w:t xml:space="preserve">civils, politiques, économiques, sociaux et culturels, </w:t>
      </w:r>
      <w:r w:rsidR="006A43D1">
        <w:rPr>
          <w:b/>
          <w:lang w:val="fr-FR"/>
        </w:rPr>
        <w:br/>
      </w:r>
      <w:r w:rsidRPr="006A43D1">
        <w:rPr>
          <w:b/>
          <w:lang w:val="fr-FR"/>
        </w:rPr>
        <w:t>y compris le droit au développement</w:t>
      </w:r>
    </w:p>
    <w:p w14:paraId="0202E0BD" w14:textId="77777777" w:rsidR="00A079D1" w:rsidRPr="00871BFC" w:rsidRDefault="00A079D1" w:rsidP="002E0783">
      <w:pPr>
        <w:pStyle w:val="H23G"/>
        <w:rPr>
          <w:lang w:val="fr-FR"/>
        </w:rPr>
      </w:pPr>
      <w:r>
        <w:rPr>
          <w:lang w:val="fr-FR"/>
        </w:rPr>
        <w:tab/>
      </w:r>
      <w:r>
        <w:rPr>
          <w:lang w:val="fr-FR"/>
        </w:rPr>
        <w:tab/>
        <w:t>Albanie</w:t>
      </w:r>
      <w:r w:rsidRPr="002E0783">
        <w:rPr>
          <w:rStyle w:val="Appelnotedebasdep"/>
          <w:b w:val="0"/>
          <w:sz w:val="20"/>
          <w:vertAlign w:val="baseline"/>
          <w:lang w:val="fr-FR"/>
        </w:rPr>
        <w:footnoteReference w:customMarkFollows="1" w:id="2"/>
        <w:t>*</w:t>
      </w:r>
      <w:r>
        <w:rPr>
          <w:lang w:val="fr-FR"/>
        </w:rPr>
        <w:t>, Algérie</w:t>
      </w:r>
      <w:r w:rsidRPr="002E0783">
        <w:rPr>
          <w:b w:val="0"/>
          <w:lang w:val="fr-FR"/>
        </w:rPr>
        <w:t>*</w:t>
      </w:r>
      <w:r>
        <w:rPr>
          <w:lang w:val="fr-FR"/>
        </w:rPr>
        <w:t xml:space="preserve">, </w:t>
      </w:r>
      <w:r w:rsidR="006A43D1" w:rsidRPr="006A43D1">
        <w:rPr>
          <w:lang w:val="fr-FR"/>
        </w:rPr>
        <w:t>Allemagne</w:t>
      </w:r>
      <w:r w:rsidR="006A43D1" w:rsidRPr="002E0783">
        <w:rPr>
          <w:b w:val="0"/>
          <w:lang w:val="fr-FR"/>
        </w:rPr>
        <w:t>*</w:t>
      </w:r>
      <w:r w:rsidR="006A43D1" w:rsidRPr="006A43D1">
        <w:rPr>
          <w:lang w:val="fr-FR"/>
        </w:rPr>
        <w:t xml:space="preserve">, Arabie saoudite, </w:t>
      </w:r>
      <w:r>
        <w:rPr>
          <w:lang w:val="fr-FR"/>
        </w:rPr>
        <w:t>Arménie</w:t>
      </w:r>
      <w:r w:rsidRPr="002E0783">
        <w:rPr>
          <w:b w:val="0"/>
          <w:lang w:val="fr-FR"/>
        </w:rPr>
        <w:t>*</w:t>
      </w:r>
      <w:r>
        <w:rPr>
          <w:lang w:val="fr-FR"/>
        </w:rPr>
        <w:t>, Autriche, Azerbaïdjan</w:t>
      </w:r>
      <w:r w:rsidRPr="002E0783">
        <w:rPr>
          <w:b w:val="0"/>
          <w:lang w:val="fr-FR"/>
        </w:rPr>
        <w:t>*</w:t>
      </w:r>
      <w:r>
        <w:rPr>
          <w:lang w:val="fr-FR"/>
        </w:rPr>
        <w:t>, Belgique</w:t>
      </w:r>
      <w:r w:rsidRPr="002E0783">
        <w:rPr>
          <w:b w:val="0"/>
          <w:lang w:val="fr-FR"/>
        </w:rPr>
        <w:t>*</w:t>
      </w:r>
      <w:r>
        <w:rPr>
          <w:lang w:val="fr-FR"/>
        </w:rPr>
        <w:t xml:space="preserve">, Bolivie (État </w:t>
      </w:r>
      <w:r w:rsidR="00E561AB">
        <w:rPr>
          <w:lang w:val="fr-FR"/>
        </w:rPr>
        <w:t xml:space="preserve">plurinational </w:t>
      </w:r>
      <w:r>
        <w:rPr>
          <w:lang w:val="fr-FR"/>
        </w:rPr>
        <w:t>de)</w:t>
      </w:r>
      <w:r w:rsidRPr="002E0783">
        <w:rPr>
          <w:b w:val="0"/>
          <w:lang w:val="fr-FR"/>
        </w:rPr>
        <w:t>*</w:t>
      </w:r>
      <w:r>
        <w:rPr>
          <w:lang w:val="fr-FR"/>
        </w:rPr>
        <w:t>, Bulgarie, Canada</w:t>
      </w:r>
      <w:r w:rsidRPr="002E0783">
        <w:rPr>
          <w:b w:val="0"/>
          <w:lang w:val="fr-FR"/>
        </w:rPr>
        <w:t>*</w:t>
      </w:r>
      <w:r>
        <w:rPr>
          <w:lang w:val="fr-FR"/>
        </w:rPr>
        <w:t>, Chili, Chypre</w:t>
      </w:r>
      <w:r w:rsidRPr="002E0783">
        <w:rPr>
          <w:b w:val="0"/>
          <w:lang w:val="fr-FR"/>
        </w:rPr>
        <w:t>*</w:t>
      </w:r>
      <w:r>
        <w:rPr>
          <w:lang w:val="fr-FR"/>
        </w:rPr>
        <w:t xml:space="preserve">, </w:t>
      </w:r>
      <w:r w:rsidR="006A43D1" w:rsidRPr="006A43D1">
        <w:rPr>
          <w:lang w:val="fr-FR"/>
        </w:rPr>
        <w:t xml:space="preserve">Croatie, </w:t>
      </w:r>
      <w:r>
        <w:rPr>
          <w:lang w:val="fr-FR"/>
        </w:rPr>
        <w:t xml:space="preserve">Danemark, </w:t>
      </w:r>
      <w:r w:rsidR="006A43D1" w:rsidRPr="006A43D1">
        <w:rPr>
          <w:lang w:val="fr-FR"/>
        </w:rPr>
        <w:t xml:space="preserve">Espagne, </w:t>
      </w:r>
      <w:r>
        <w:rPr>
          <w:lang w:val="fr-FR"/>
        </w:rPr>
        <w:t>Estonie</w:t>
      </w:r>
      <w:r w:rsidRPr="002E0783">
        <w:rPr>
          <w:b w:val="0"/>
          <w:lang w:val="fr-FR"/>
        </w:rPr>
        <w:t>*</w:t>
      </w:r>
      <w:r>
        <w:rPr>
          <w:lang w:val="fr-FR"/>
        </w:rPr>
        <w:t xml:space="preserve">, </w:t>
      </w:r>
      <w:r w:rsidR="006A43D1" w:rsidRPr="006A43D1">
        <w:rPr>
          <w:lang w:val="fr-FR"/>
        </w:rPr>
        <w:t>État de Palestine</w:t>
      </w:r>
      <w:r w:rsidR="006A43D1" w:rsidRPr="002E0783">
        <w:rPr>
          <w:b w:val="0"/>
          <w:lang w:val="fr-FR"/>
        </w:rPr>
        <w:t>*</w:t>
      </w:r>
      <w:r w:rsidR="006A43D1">
        <w:rPr>
          <w:lang w:val="fr-FR"/>
        </w:rPr>
        <w:t xml:space="preserve">, </w:t>
      </w:r>
      <w:r>
        <w:rPr>
          <w:lang w:val="fr-FR"/>
        </w:rPr>
        <w:t>Fidji, Finlande</w:t>
      </w:r>
      <w:r w:rsidRPr="002E0783">
        <w:rPr>
          <w:b w:val="0"/>
          <w:lang w:val="fr-FR"/>
        </w:rPr>
        <w:t>*</w:t>
      </w:r>
      <w:r>
        <w:rPr>
          <w:lang w:val="fr-FR"/>
        </w:rPr>
        <w:t>, France</w:t>
      </w:r>
      <w:r w:rsidRPr="002E0783">
        <w:rPr>
          <w:b w:val="0"/>
          <w:lang w:val="fr-FR"/>
        </w:rPr>
        <w:t>*</w:t>
      </w:r>
      <w:r>
        <w:rPr>
          <w:lang w:val="fr-FR"/>
        </w:rPr>
        <w:t>, Géorgie</w:t>
      </w:r>
      <w:r w:rsidRPr="002E0783">
        <w:rPr>
          <w:b w:val="0"/>
          <w:lang w:val="fr-FR"/>
        </w:rPr>
        <w:t>*</w:t>
      </w:r>
      <w:r>
        <w:rPr>
          <w:lang w:val="fr-FR"/>
        </w:rPr>
        <w:t>, Grèce</w:t>
      </w:r>
      <w:r w:rsidRPr="002E0783">
        <w:rPr>
          <w:b w:val="0"/>
          <w:lang w:val="fr-FR"/>
        </w:rPr>
        <w:t>*</w:t>
      </w:r>
      <w:r>
        <w:rPr>
          <w:lang w:val="fr-FR"/>
        </w:rPr>
        <w:t>, Haïti</w:t>
      </w:r>
      <w:r w:rsidRPr="002E0783">
        <w:rPr>
          <w:b w:val="0"/>
          <w:lang w:val="fr-FR"/>
        </w:rPr>
        <w:t>*</w:t>
      </w:r>
      <w:r>
        <w:rPr>
          <w:lang w:val="fr-FR"/>
        </w:rPr>
        <w:t>, Hongrie, Iran (République islamique d’)</w:t>
      </w:r>
      <w:r w:rsidRPr="002E0783">
        <w:rPr>
          <w:b w:val="0"/>
          <w:lang w:val="fr-FR"/>
        </w:rPr>
        <w:t>*</w:t>
      </w:r>
      <w:r>
        <w:rPr>
          <w:lang w:val="fr-FR"/>
        </w:rPr>
        <w:t>, Iraq, Irlande</w:t>
      </w:r>
      <w:r w:rsidRPr="002E0783">
        <w:rPr>
          <w:b w:val="0"/>
          <w:lang w:val="fr-FR"/>
        </w:rPr>
        <w:t>*</w:t>
      </w:r>
      <w:r>
        <w:rPr>
          <w:lang w:val="fr-FR"/>
        </w:rPr>
        <w:t xml:space="preserve">, </w:t>
      </w:r>
      <w:r w:rsidR="006A43D1" w:rsidRPr="006A43D1">
        <w:rPr>
          <w:lang w:val="fr-FR"/>
        </w:rPr>
        <w:t xml:space="preserve">Islande, </w:t>
      </w:r>
      <w:r>
        <w:rPr>
          <w:lang w:val="fr-FR"/>
        </w:rPr>
        <w:t>Italie, Jordanie</w:t>
      </w:r>
      <w:r w:rsidRPr="002E0783">
        <w:rPr>
          <w:b w:val="0"/>
          <w:lang w:val="fr-FR"/>
        </w:rPr>
        <w:t>*</w:t>
      </w:r>
      <w:r>
        <w:rPr>
          <w:lang w:val="fr-FR"/>
        </w:rPr>
        <w:t>, Lettonie</w:t>
      </w:r>
      <w:r w:rsidRPr="002E0783">
        <w:rPr>
          <w:b w:val="0"/>
          <w:lang w:val="fr-FR"/>
        </w:rPr>
        <w:t>*</w:t>
      </w:r>
      <w:r>
        <w:rPr>
          <w:lang w:val="fr-FR"/>
        </w:rPr>
        <w:t>, Liban</w:t>
      </w:r>
      <w:r w:rsidRPr="002E0783">
        <w:rPr>
          <w:b w:val="0"/>
          <w:lang w:val="fr-FR"/>
        </w:rPr>
        <w:t>*</w:t>
      </w:r>
      <w:r>
        <w:rPr>
          <w:lang w:val="fr-FR"/>
        </w:rPr>
        <w:t>, Libye</w:t>
      </w:r>
      <w:r w:rsidRPr="002E0783">
        <w:rPr>
          <w:b w:val="0"/>
          <w:lang w:val="fr-FR"/>
        </w:rPr>
        <w:t>*</w:t>
      </w:r>
      <w:r>
        <w:rPr>
          <w:lang w:val="fr-FR"/>
        </w:rPr>
        <w:t>, Liechtenstein</w:t>
      </w:r>
      <w:r w:rsidRPr="002E0783">
        <w:rPr>
          <w:b w:val="0"/>
          <w:lang w:val="fr-FR"/>
        </w:rPr>
        <w:t>*</w:t>
      </w:r>
      <w:r>
        <w:rPr>
          <w:lang w:val="fr-FR"/>
        </w:rPr>
        <w:t>, Lituanie</w:t>
      </w:r>
      <w:r w:rsidRPr="002E0783">
        <w:rPr>
          <w:b w:val="0"/>
          <w:lang w:val="fr-FR"/>
        </w:rPr>
        <w:t>*</w:t>
      </w:r>
      <w:r>
        <w:rPr>
          <w:lang w:val="fr-FR"/>
        </w:rPr>
        <w:t>, Luxembourg</w:t>
      </w:r>
      <w:r w:rsidRPr="002E0783">
        <w:rPr>
          <w:b w:val="0"/>
          <w:lang w:val="fr-FR"/>
        </w:rPr>
        <w:t>*</w:t>
      </w:r>
      <w:r>
        <w:rPr>
          <w:lang w:val="fr-FR"/>
        </w:rPr>
        <w:t xml:space="preserve">, </w:t>
      </w:r>
      <w:r w:rsidR="006A43D1" w:rsidRPr="006A43D1">
        <w:rPr>
          <w:lang w:val="fr-FR"/>
        </w:rPr>
        <w:t>Macédoine du Nord</w:t>
      </w:r>
      <w:r w:rsidR="006A43D1" w:rsidRPr="002E0783">
        <w:rPr>
          <w:b w:val="0"/>
          <w:lang w:val="fr-FR"/>
        </w:rPr>
        <w:t>*</w:t>
      </w:r>
      <w:r w:rsidR="006A43D1" w:rsidRPr="006A43D1">
        <w:rPr>
          <w:lang w:val="fr-FR"/>
        </w:rPr>
        <w:t xml:space="preserve">, </w:t>
      </w:r>
      <w:r>
        <w:rPr>
          <w:lang w:val="fr-FR"/>
        </w:rPr>
        <w:t>Malte</w:t>
      </w:r>
      <w:r w:rsidRPr="002E0783">
        <w:rPr>
          <w:b w:val="0"/>
          <w:lang w:val="fr-FR"/>
        </w:rPr>
        <w:t>*</w:t>
      </w:r>
      <w:r>
        <w:rPr>
          <w:lang w:val="fr-FR"/>
        </w:rPr>
        <w:t>, Monaco</w:t>
      </w:r>
      <w:r w:rsidRPr="002E0783">
        <w:rPr>
          <w:b w:val="0"/>
          <w:lang w:val="fr-FR"/>
        </w:rPr>
        <w:t>*</w:t>
      </w:r>
      <w:r>
        <w:rPr>
          <w:lang w:val="fr-FR"/>
        </w:rPr>
        <w:t>, Monténégro</w:t>
      </w:r>
      <w:r w:rsidRPr="002E0783">
        <w:rPr>
          <w:b w:val="0"/>
          <w:lang w:val="fr-FR"/>
        </w:rPr>
        <w:t>*</w:t>
      </w:r>
      <w:r>
        <w:rPr>
          <w:lang w:val="fr-FR"/>
        </w:rPr>
        <w:t>, Norvège</w:t>
      </w:r>
      <w:r w:rsidRPr="002E0783">
        <w:rPr>
          <w:b w:val="0"/>
          <w:lang w:val="fr-FR"/>
        </w:rPr>
        <w:t>*</w:t>
      </w:r>
      <w:r>
        <w:rPr>
          <w:lang w:val="fr-FR"/>
        </w:rPr>
        <w:t>, Paraguay</w:t>
      </w:r>
      <w:r w:rsidRPr="002E0783">
        <w:rPr>
          <w:b w:val="0"/>
          <w:lang w:val="fr-FR"/>
        </w:rPr>
        <w:t>*</w:t>
      </w:r>
      <w:r>
        <w:rPr>
          <w:lang w:val="fr-FR"/>
        </w:rPr>
        <w:t>, Portugal</w:t>
      </w:r>
      <w:r w:rsidRPr="002E0783">
        <w:rPr>
          <w:b w:val="0"/>
          <w:lang w:val="fr-FR"/>
        </w:rPr>
        <w:t>*</w:t>
      </w:r>
      <w:r>
        <w:rPr>
          <w:lang w:val="fr-FR"/>
        </w:rPr>
        <w:t>, Qatar, Roumanie</w:t>
      </w:r>
      <w:r w:rsidRPr="002E0783">
        <w:rPr>
          <w:b w:val="0"/>
          <w:lang w:val="fr-FR"/>
        </w:rPr>
        <w:t>*</w:t>
      </w:r>
      <w:r>
        <w:rPr>
          <w:lang w:val="fr-FR"/>
        </w:rPr>
        <w:t>, Slovaquie, Slovénie</w:t>
      </w:r>
      <w:r w:rsidRPr="002E0783">
        <w:rPr>
          <w:b w:val="0"/>
          <w:lang w:val="fr-FR"/>
        </w:rPr>
        <w:t>*</w:t>
      </w:r>
      <w:r>
        <w:rPr>
          <w:lang w:val="fr-FR"/>
        </w:rPr>
        <w:t>, Suède</w:t>
      </w:r>
      <w:r w:rsidRPr="002E0783">
        <w:rPr>
          <w:b w:val="0"/>
          <w:lang w:val="fr-FR"/>
        </w:rPr>
        <w:t>*</w:t>
      </w:r>
      <w:r>
        <w:rPr>
          <w:lang w:val="fr-FR"/>
        </w:rPr>
        <w:t>, Suisse</w:t>
      </w:r>
      <w:r w:rsidRPr="002E0783">
        <w:rPr>
          <w:b w:val="0"/>
          <w:lang w:val="fr-FR"/>
        </w:rPr>
        <w:t>*</w:t>
      </w:r>
      <w:r w:rsidR="006A43D1">
        <w:rPr>
          <w:lang w:val="fr-FR"/>
        </w:rPr>
        <w:t xml:space="preserve"> </w:t>
      </w:r>
      <w:r w:rsidR="00E561AB">
        <w:rPr>
          <w:lang w:val="fr-FR"/>
        </w:rPr>
        <w:br/>
      </w:r>
      <w:r w:rsidR="006A43D1">
        <w:rPr>
          <w:lang w:val="fr-FR"/>
        </w:rPr>
        <w:t>et</w:t>
      </w:r>
      <w:r>
        <w:rPr>
          <w:lang w:val="fr-FR"/>
        </w:rPr>
        <w:t xml:space="preserve"> Ukraine : projet de résolution</w:t>
      </w:r>
    </w:p>
    <w:p w14:paraId="43745E45" w14:textId="77777777" w:rsidR="00A079D1" w:rsidRPr="00871BFC" w:rsidRDefault="00E561AB" w:rsidP="00E561AB">
      <w:pPr>
        <w:pStyle w:val="H1G"/>
        <w:tabs>
          <w:tab w:val="left" w:pos="1843"/>
        </w:tabs>
        <w:rPr>
          <w:lang w:val="fr-FR"/>
        </w:rPr>
      </w:pPr>
      <w:r>
        <w:rPr>
          <w:lang w:val="fr-FR"/>
        </w:rPr>
        <w:tab/>
      </w:r>
      <w:r>
        <w:rPr>
          <w:lang w:val="fr-FR"/>
        </w:rPr>
        <w:tab/>
      </w:r>
      <w:r w:rsidR="00A079D1">
        <w:rPr>
          <w:lang w:val="fr-FR"/>
        </w:rPr>
        <w:t>42/…</w:t>
      </w:r>
      <w:r w:rsidR="00A079D1">
        <w:rPr>
          <w:lang w:val="fr-FR"/>
        </w:rPr>
        <w:tab/>
        <w:t>Les droits de l’homme à l’eau potable et à l’assainissement</w:t>
      </w:r>
    </w:p>
    <w:p w14:paraId="62514BF7" w14:textId="77777777" w:rsidR="00A079D1" w:rsidRPr="00871BFC" w:rsidRDefault="00A079D1" w:rsidP="00E561AB">
      <w:pPr>
        <w:pStyle w:val="SingleTxtG"/>
        <w:ind w:firstLine="567"/>
        <w:rPr>
          <w:lang w:val="fr-FR"/>
        </w:rPr>
      </w:pPr>
      <w:r w:rsidRPr="00E561AB">
        <w:rPr>
          <w:i/>
          <w:lang w:val="fr-FR"/>
        </w:rPr>
        <w:t>Le Conseil des droits de l’homme</w:t>
      </w:r>
      <w:r>
        <w:rPr>
          <w:lang w:val="fr-FR"/>
        </w:rPr>
        <w:t>,</w:t>
      </w:r>
    </w:p>
    <w:p w14:paraId="63DC3DD6" w14:textId="77777777" w:rsidR="00A079D1" w:rsidRPr="00871BFC" w:rsidRDefault="00A079D1" w:rsidP="00740948">
      <w:pPr>
        <w:pStyle w:val="SingleTxtG"/>
        <w:ind w:firstLine="567"/>
        <w:rPr>
          <w:lang w:val="fr-FR"/>
        </w:rPr>
      </w:pPr>
      <w:r>
        <w:rPr>
          <w:i/>
          <w:iCs/>
          <w:lang w:val="fr-FR"/>
        </w:rPr>
        <w:t xml:space="preserve">Guidé </w:t>
      </w:r>
      <w:r>
        <w:rPr>
          <w:lang w:val="fr-FR"/>
        </w:rPr>
        <w:t>par les buts et principes énoncés dans la Charte des Nations Unies,</w:t>
      </w:r>
    </w:p>
    <w:p w14:paraId="133D254B" w14:textId="77777777" w:rsidR="00A079D1" w:rsidRPr="00871BFC" w:rsidRDefault="00A079D1" w:rsidP="00740948">
      <w:pPr>
        <w:pStyle w:val="SingleTxtG"/>
        <w:ind w:firstLine="567"/>
        <w:rPr>
          <w:lang w:val="fr-FR"/>
        </w:rPr>
      </w:pPr>
      <w:r>
        <w:rPr>
          <w:i/>
          <w:iCs/>
          <w:lang w:val="fr-FR"/>
        </w:rPr>
        <w:t xml:space="preserve">Rappelant </w:t>
      </w:r>
      <w:r>
        <w:rPr>
          <w:lang w:val="fr-FR"/>
        </w:rPr>
        <w:t>la Déclaration universelle des droits de l’homme,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relative aux droits de l’enfant et la Convention relative aux droits des personnes handicapées,</w:t>
      </w:r>
    </w:p>
    <w:p w14:paraId="2BCC6CF6" w14:textId="77777777" w:rsidR="00A079D1" w:rsidRPr="00871BFC" w:rsidRDefault="00A079D1" w:rsidP="00740948">
      <w:pPr>
        <w:pStyle w:val="SingleTxtG"/>
        <w:ind w:firstLine="567"/>
        <w:rPr>
          <w:lang w:val="fr-FR"/>
        </w:rPr>
      </w:pPr>
      <w:r>
        <w:rPr>
          <w:i/>
          <w:iCs/>
          <w:lang w:val="fr-FR"/>
        </w:rPr>
        <w:t>Rappelant également</w:t>
      </w:r>
      <w:r>
        <w:rPr>
          <w:lang w:val="fr-FR"/>
        </w:rPr>
        <w:t xml:space="preserve"> la résolution 70/1 de l’Assemblée générale, en date du 25</w:t>
      </w:r>
      <w:r w:rsidR="00AF7325">
        <w:rPr>
          <w:lang w:val="fr-FR"/>
        </w:rPr>
        <w:t> </w:t>
      </w:r>
      <w:r>
        <w:rPr>
          <w:lang w:val="fr-FR"/>
        </w:rPr>
        <w:t>septembre 2015, intitulée «</w:t>
      </w:r>
      <w:r w:rsidR="00AF7325">
        <w:rPr>
          <w:lang w:val="fr-FR"/>
        </w:rPr>
        <w:t> </w:t>
      </w:r>
      <w:r>
        <w:rPr>
          <w:lang w:val="fr-FR"/>
        </w:rPr>
        <w:t>Transformer notre monde</w:t>
      </w:r>
      <w:r w:rsidR="00AF7325">
        <w:rPr>
          <w:lang w:val="fr-FR"/>
        </w:rPr>
        <w:t> </w:t>
      </w:r>
      <w:r>
        <w:rPr>
          <w:lang w:val="fr-FR"/>
        </w:rPr>
        <w:t>: le Programme de développement durable à l’horizon 2030</w:t>
      </w:r>
      <w:r w:rsidR="00AF7325">
        <w:rPr>
          <w:lang w:val="fr-FR"/>
        </w:rPr>
        <w:t> </w:t>
      </w:r>
      <w:r>
        <w:rPr>
          <w:lang w:val="fr-FR"/>
        </w:rPr>
        <w:t>», dans laquelle l’Assemblée s’est engagée à ne laisser personne de côté,</w:t>
      </w:r>
    </w:p>
    <w:p w14:paraId="5C7CF47B" w14:textId="77777777" w:rsidR="00A079D1" w:rsidRPr="00871BFC" w:rsidRDefault="00A079D1" w:rsidP="00740948">
      <w:pPr>
        <w:pStyle w:val="SingleTxtG"/>
        <w:ind w:firstLine="567"/>
        <w:rPr>
          <w:lang w:val="fr-FR"/>
        </w:rPr>
      </w:pPr>
      <w:r>
        <w:rPr>
          <w:i/>
          <w:iCs/>
          <w:lang w:val="fr-FR"/>
        </w:rPr>
        <w:t xml:space="preserve">Réaffirmant </w:t>
      </w:r>
      <w:r>
        <w:rPr>
          <w:lang w:val="fr-FR"/>
        </w:rPr>
        <w:t>toutes ses résolutions antérieures sur les droits de l’homme à l’eau potable et à l’assainissement,</w:t>
      </w:r>
    </w:p>
    <w:p w14:paraId="40BBE7BA" w14:textId="77777777" w:rsidR="00A079D1" w:rsidRPr="00871BFC" w:rsidRDefault="00A079D1" w:rsidP="00740948">
      <w:pPr>
        <w:pStyle w:val="SingleTxtG"/>
        <w:ind w:firstLine="567"/>
        <w:rPr>
          <w:lang w:val="fr-FR"/>
        </w:rPr>
      </w:pPr>
      <w:r>
        <w:rPr>
          <w:i/>
          <w:iCs/>
          <w:lang w:val="fr-FR"/>
        </w:rPr>
        <w:t xml:space="preserve">Rappelant </w:t>
      </w:r>
      <w:r>
        <w:rPr>
          <w:lang w:val="fr-FR"/>
        </w:rPr>
        <w:t>toutes les résolutions antérieures de l’Assemblée générale sur les droits de l’homme à l’eau potable et à l’assainissement, dont la résolution 64/292 du 28</w:t>
      </w:r>
      <w:r w:rsidR="00AF7325">
        <w:rPr>
          <w:lang w:val="fr-FR"/>
        </w:rPr>
        <w:t> </w:t>
      </w:r>
      <w:r>
        <w:rPr>
          <w:lang w:val="fr-FR"/>
        </w:rPr>
        <w:t>juillet 2010,</w:t>
      </w:r>
    </w:p>
    <w:p w14:paraId="03B5AAA2" w14:textId="77777777" w:rsidR="00A079D1" w:rsidRPr="00871BFC" w:rsidRDefault="00A079D1" w:rsidP="00740948">
      <w:pPr>
        <w:pStyle w:val="SingleTxtG"/>
        <w:ind w:firstLine="567"/>
        <w:rPr>
          <w:lang w:val="fr-FR"/>
        </w:rPr>
      </w:pPr>
      <w:r>
        <w:rPr>
          <w:lang w:val="fr-FR"/>
        </w:rPr>
        <w:t>1.</w:t>
      </w:r>
      <w:r>
        <w:rPr>
          <w:lang w:val="fr-FR"/>
        </w:rPr>
        <w:tab/>
      </w:r>
      <w:r>
        <w:rPr>
          <w:i/>
          <w:lang w:val="fr-FR"/>
        </w:rPr>
        <w:t>Salue</w:t>
      </w:r>
      <w:r>
        <w:rPr>
          <w:lang w:val="fr-FR"/>
        </w:rPr>
        <w:t xml:space="preserve"> le travail accompli par le Rapporteur spécial sur les droits de l’homme à l’eau potable et à l’assainissement</w:t>
      </w:r>
      <w:r w:rsidRPr="003A4615">
        <w:rPr>
          <w:rStyle w:val="Appelnotedebasdep"/>
        </w:rPr>
        <w:footnoteReference w:id="3"/>
      </w:r>
      <w:r>
        <w:rPr>
          <w:lang w:val="fr-FR"/>
        </w:rPr>
        <w:t> ;</w:t>
      </w:r>
    </w:p>
    <w:p w14:paraId="6B5FB714" w14:textId="77777777" w:rsidR="00A079D1" w:rsidRPr="00871BFC" w:rsidRDefault="00A079D1" w:rsidP="00740948">
      <w:pPr>
        <w:pStyle w:val="SingleTxtG"/>
        <w:ind w:firstLine="567"/>
        <w:rPr>
          <w:lang w:val="fr-FR"/>
        </w:rPr>
      </w:pPr>
      <w:r>
        <w:rPr>
          <w:lang w:val="fr-FR"/>
        </w:rPr>
        <w:lastRenderedPageBreak/>
        <w:t>2.</w:t>
      </w:r>
      <w:r>
        <w:rPr>
          <w:lang w:val="fr-FR"/>
        </w:rPr>
        <w:tab/>
      </w:r>
      <w:r>
        <w:rPr>
          <w:i/>
          <w:iCs/>
          <w:lang w:val="fr-FR"/>
        </w:rPr>
        <w:t xml:space="preserve">Décide </w:t>
      </w:r>
      <w:r>
        <w:rPr>
          <w:lang w:val="fr-FR"/>
        </w:rPr>
        <w:t>de proroger le mandat du Rapporteur spécial sur les droits de l’homme à l’eau potable et à l’assainissement pour une période de trois ans ;</w:t>
      </w:r>
    </w:p>
    <w:p w14:paraId="51FF7D3D" w14:textId="77777777" w:rsidR="00A079D1" w:rsidRPr="00871BFC" w:rsidRDefault="00A079D1" w:rsidP="00740948">
      <w:pPr>
        <w:pStyle w:val="SingleTxtG"/>
        <w:ind w:firstLine="567"/>
        <w:rPr>
          <w:lang w:val="fr-FR"/>
        </w:rPr>
      </w:pPr>
      <w:r>
        <w:rPr>
          <w:lang w:val="fr-FR"/>
        </w:rPr>
        <w:t>3.</w:t>
      </w:r>
      <w:r>
        <w:rPr>
          <w:lang w:val="fr-FR"/>
        </w:rPr>
        <w:tab/>
      </w:r>
      <w:r>
        <w:rPr>
          <w:i/>
          <w:iCs/>
          <w:lang w:val="fr-FR"/>
        </w:rPr>
        <w:t xml:space="preserve">Demande </w:t>
      </w:r>
      <w:r>
        <w:rPr>
          <w:lang w:val="fr-FR"/>
        </w:rPr>
        <w:t>au Rapporteur spécial de continuer à rendre compte chaque année de ses activités au Conseil des droits de l’homme et à l’Assemblée générale</w:t>
      </w:r>
      <w:r w:rsidR="00AF7325">
        <w:rPr>
          <w:lang w:val="fr-FR"/>
        </w:rPr>
        <w:t> </w:t>
      </w:r>
      <w:r>
        <w:rPr>
          <w:lang w:val="fr-FR"/>
        </w:rPr>
        <w:t>;</w:t>
      </w:r>
    </w:p>
    <w:p w14:paraId="51747A7B" w14:textId="77777777" w:rsidR="00A079D1" w:rsidRPr="00871BFC" w:rsidRDefault="00A079D1" w:rsidP="00740948">
      <w:pPr>
        <w:pStyle w:val="SingleTxtG"/>
        <w:ind w:firstLine="567"/>
        <w:rPr>
          <w:lang w:val="fr-FR"/>
        </w:rPr>
      </w:pPr>
      <w:r>
        <w:rPr>
          <w:lang w:val="fr-FR"/>
        </w:rPr>
        <w:t>4.</w:t>
      </w:r>
      <w:r>
        <w:rPr>
          <w:lang w:val="fr-FR"/>
        </w:rPr>
        <w:tab/>
      </w:r>
      <w:r>
        <w:rPr>
          <w:i/>
          <w:iCs/>
          <w:lang w:val="fr-FR"/>
        </w:rPr>
        <w:t xml:space="preserve">Prie </w:t>
      </w:r>
      <w:r>
        <w:rPr>
          <w:lang w:val="fr-FR"/>
        </w:rPr>
        <w:t>le Rapporteur spécial, à l’occasion du dixième anniversaire de la résolution 64/292 de l’Assemblée générale et de sa propre résolution 15/9, en date du 30</w:t>
      </w:r>
      <w:r w:rsidR="007B4731">
        <w:rPr>
          <w:lang w:val="fr-FR"/>
        </w:rPr>
        <w:t> </w:t>
      </w:r>
      <w:r>
        <w:rPr>
          <w:lang w:val="fr-FR"/>
        </w:rPr>
        <w:t>septembre 2010, qui consacrent les droits de l’homme à l’eau potable et à l’assainissement, d’entreprendre des activités de sensibilisation et d’y participer, notamment au moyen des médias sociaux et en utilisant des supports accessibles, et de recenser, en collaboration avec les États, les bonnes pratiques aux niveaux local, national, régional et international afin de promouvoir la réalisation progressive des droits de l’homme à l’eau potable et à l’assainissement, et de lui faire rapport à sa q</w:t>
      </w:r>
      <w:bookmarkStart w:id="0" w:name="_GoBack"/>
      <w:bookmarkEnd w:id="0"/>
      <w:r>
        <w:rPr>
          <w:lang w:val="fr-FR"/>
        </w:rPr>
        <w:t>uarante</w:t>
      </w:r>
      <w:r w:rsidR="004726ED">
        <w:rPr>
          <w:lang w:val="fr-FR"/>
        </w:rPr>
        <w:noBreakHyphen/>
      </w:r>
      <w:r>
        <w:rPr>
          <w:lang w:val="fr-FR"/>
        </w:rPr>
        <w:t>cinquième session</w:t>
      </w:r>
      <w:r w:rsidR="007B4731">
        <w:rPr>
          <w:lang w:val="fr-FR"/>
        </w:rPr>
        <w:t> </w:t>
      </w:r>
      <w:r>
        <w:rPr>
          <w:lang w:val="fr-FR"/>
        </w:rPr>
        <w:t>;</w:t>
      </w:r>
    </w:p>
    <w:p w14:paraId="7C8B9B0B" w14:textId="77777777" w:rsidR="00A079D1" w:rsidRPr="00871BFC" w:rsidRDefault="00A079D1" w:rsidP="00740948">
      <w:pPr>
        <w:pStyle w:val="SingleTxtG"/>
        <w:ind w:firstLine="567"/>
        <w:rPr>
          <w:lang w:val="fr-FR"/>
        </w:rPr>
      </w:pPr>
      <w:r>
        <w:rPr>
          <w:lang w:val="fr-FR"/>
        </w:rPr>
        <w:t>5.</w:t>
      </w:r>
      <w:r>
        <w:rPr>
          <w:lang w:val="fr-FR"/>
        </w:rPr>
        <w:tab/>
      </w:r>
      <w:r>
        <w:rPr>
          <w:i/>
          <w:iCs/>
          <w:lang w:val="fr-FR"/>
        </w:rPr>
        <w:t xml:space="preserve">Encourage </w:t>
      </w:r>
      <w:r>
        <w:rPr>
          <w:lang w:val="fr-FR"/>
        </w:rPr>
        <w:t>le Rapporteur spécial à faciliter, y compris en y associant les parties prenantes concernées, la fourniture d’une assistance technique dans le domaine de la réalisation des droits de l’homme à l’eau potable et à l’assainissement</w:t>
      </w:r>
      <w:r w:rsidR="007B4731">
        <w:rPr>
          <w:lang w:val="fr-FR"/>
        </w:rPr>
        <w:t> </w:t>
      </w:r>
      <w:r>
        <w:rPr>
          <w:lang w:val="fr-FR"/>
        </w:rPr>
        <w:t>;</w:t>
      </w:r>
    </w:p>
    <w:p w14:paraId="12C7F773" w14:textId="77777777" w:rsidR="00A079D1" w:rsidRPr="00871BFC" w:rsidRDefault="00A079D1" w:rsidP="00740948">
      <w:pPr>
        <w:pStyle w:val="SingleTxtG"/>
        <w:ind w:firstLine="567"/>
        <w:rPr>
          <w:lang w:val="fr-FR"/>
        </w:rPr>
      </w:pPr>
      <w:r>
        <w:rPr>
          <w:lang w:val="fr-FR"/>
        </w:rPr>
        <w:t>6.</w:t>
      </w:r>
      <w:r>
        <w:rPr>
          <w:lang w:val="fr-FR"/>
        </w:rPr>
        <w:tab/>
      </w:r>
      <w:r>
        <w:rPr>
          <w:i/>
          <w:iCs/>
          <w:lang w:val="fr-FR"/>
        </w:rPr>
        <w:t xml:space="preserve">Encourage </w:t>
      </w:r>
      <w:r>
        <w:rPr>
          <w:lang w:val="fr-FR"/>
        </w:rPr>
        <w:t>tous les gouvernements à répondre favorablement aux demandes de visite et de renseignements émanant du Rapporteur spécial, à donner effectivement suite aux recommandations du titulaire de ce mandat et à communiquer des informations sur les mesures prises à cet égard</w:t>
      </w:r>
      <w:r w:rsidR="007B4731">
        <w:rPr>
          <w:lang w:val="fr-FR"/>
        </w:rPr>
        <w:t> </w:t>
      </w:r>
      <w:r>
        <w:rPr>
          <w:lang w:val="fr-FR"/>
        </w:rPr>
        <w:t>;</w:t>
      </w:r>
    </w:p>
    <w:p w14:paraId="1C6CB366" w14:textId="77777777" w:rsidR="00A079D1" w:rsidRPr="00871BFC" w:rsidRDefault="00A079D1" w:rsidP="00740948">
      <w:pPr>
        <w:pStyle w:val="SingleTxtG"/>
        <w:ind w:firstLine="567"/>
        <w:rPr>
          <w:lang w:val="fr-FR"/>
        </w:rPr>
      </w:pPr>
      <w:r>
        <w:rPr>
          <w:lang w:val="fr-FR"/>
        </w:rPr>
        <w:t>7.</w:t>
      </w:r>
      <w:r>
        <w:rPr>
          <w:lang w:val="fr-FR"/>
        </w:rPr>
        <w:tab/>
      </w:r>
      <w:r>
        <w:rPr>
          <w:i/>
          <w:iCs/>
          <w:lang w:val="fr-FR"/>
        </w:rPr>
        <w:t xml:space="preserve">Prie </w:t>
      </w:r>
      <w:r>
        <w:rPr>
          <w:lang w:val="fr-FR"/>
        </w:rPr>
        <w:t>le Secrétaire général et la Haute-Commissaire des Nations Unies aux droits de l’homme de fournir au Rapporteur spécial toutes les ressources et toute l’assistance nécessaires au bon accomplissement de son mandat</w:t>
      </w:r>
      <w:r w:rsidR="007B4731">
        <w:rPr>
          <w:lang w:val="fr-FR"/>
        </w:rPr>
        <w:t> </w:t>
      </w:r>
      <w:r>
        <w:rPr>
          <w:lang w:val="fr-FR"/>
        </w:rPr>
        <w:t>;</w:t>
      </w:r>
    </w:p>
    <w:p w14:paraId="112B0183" w14:textId="77777777" w:rsidR="00A079D1" w:rsidRDefault="00A079D1" w:rsidP="00740948">
      <w:pPr>
        <w:pStyle w:val="SingleTxtG"/>
        <w:ind w:firstLine="567"/>
        <w:rPr>
          <w:lang w:val="fr-FR"/>
        </w:rPr>
      </w:pPr>
      <w:r>
        <w:rPr>
          <w:lang w:val="fr-FR"/>
        </w:rPr>
        <w:t>8.</w:t>
      </w:r>
      <w:r>
        <w:rPr>
          <w:lang w:val="fr-FR"/>
        </w:rPr>
        <w:tab/>
      </w:r>
      <w:r>
        <w:rPr>
          <w:i/>
          <w:iCs/>
          <w:lang w:val="fr-FR"/>
        </w:rPr>
        <w:t xml:space="preserve">Décide </w:t>
      </w:r>
      <w:r>
        <w:rPr>
          <w:lang w:val="fr-FR"/>
        </w:rPr>
        <w:t>de poursuivre l’examen de cette question.</w:t>
      </w:r>
    </w:p>
    <w:p w14:paraId="39E5AD92" w14:textId="77777777" w:rsidR="00057542" w:rsidRPr="00057542" w:rsidRDefault="00057542" w:rsidP="0005754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57542" w:rsidRPr="00057542" w:rsidSect="003C44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3FE7" w14:textId="77777777" w:rsidR="008706F0" w:rsidRPr="00E972EF" w:rsidRDefault="008706F0" w:rsidP="00E972EF">
      <w:pPr>
        <w:pStyle w:val="Pieddepage"/>
      </w:pPr>
    </w:p>
  </w:endnote>
  <w:endnote w:type="continuationSeparator" w:id="0">
    <w:p w14:paraId="17301BE6" w14:textId="77777777" w:rsidR="008706F0" w:rsidRPr="00E972EF" w:rsidRDefault="008706F0" w:rsidP="00E972EF">
      <w:pPr>
        <w:pStyle w:val="Pieddepage"/>
      </w:pPr>
    </w:p>
  </w:endnote>
  <w:endnote w:type="continuationNotice" w:id="1">
    <w:p w14:paraId="5A522A8D" w14:textId="77777777" w:rsidR="008706F0" w:rsidRDefault="008706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D9C8" w14:textId="77777777" w:rsidR="003C44FA" w:rsidRPr="003C44FA" w:rsidRDefault="003C44FA" w:rsidP="003C44FA">
    <w:pPr>
      <w:pStyle w:val="Pieddepage"/>
      <w:tabs>
        <w:tab w:val="right" w:pos="9638"/>
      </w:tabs>
    </w:pPr>
    <w:r w:rsidRPr="003C44FA">
      <w:rPr>
        <w:b/>
        <w:sz w:val="18"/>
      </w:rPr>
      <w:fldChar w:fldCharType="begin"/>
    </w:r>
    <w:r w:rsidRPr="003C44FA">
      <w:rPr>
        <w:b/>
        <w:sz w:val="18"/>
      </w:rPr>
      <w:instrText xml:space="preserve"> PAGE  \* MERGEFORMAT </w:instrText>
    </w:r>
    <w:r w:rsidRPr="003C44FA">
      <w:rPr>
        <w:b/>
        <w:sz w:val="18"/>
      </w:rPr>
      <w:fldChar w:fldCharType="separate"/>
    </w:r>
    <w:r w:rsidRPr="003C44FA">
      <w:rPr>
        <w:b/>
        <w:noProof/>
        <w:sz w:val="18"/>
      </w:rPr>
      <w:t>2</w:t>
    </w:r>
    <w:r w:rsidRPr="003C44FA">
      <w:rPr>
        <w:b/>
        <w:sz w:val="18"/>
      </w:rPr>
      <w:fldChar w:fldCharType="end"/>
    </w:r>
    <w:r>
      <w:rPr>
        <w:b/>
        <w:sz w:val="18"/>
      </w:rPr>
      <w:tab/>
    </w:r>
    <w:r>
      <w:t>GE.19-15963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C300" w14:textId="77777777" w:rsidR="003C44FA" w:rsidRPr="003C44FA" w:rsidRDefault="003C44FA" w:rsidP="003C44FA">
    <w:pPr>
      <w:pStyle w:val="Pieddepage"/>
      <w:tabs>
        <w:tab w:val="right" w:pos="9638"/>
      </w:tabs>
      <w:rPr>
        <w:b/>
        <w:sz w:val="18"/>
      </w:rPr>
    </w:pPr>
    <w:r>
      <w:t>GE.19-15963</w:t>
    </w:r>
    <w:r>
      <w:tab/>
    </w:r>
    <w:r w:rsidRPr="003C44FA">
      <w:rPr>
        <w:b/>
        <w:sz w:val="18"/>
      </w:rPr>
      <w:fldChar w:fldCharType="begin"/>
    </w:r>
    <w:r w:rsidRPr="003C44FA">
      <w:rPr>
        <w:b/>
        <w:sz w:val="18"/>
      </w:rPr>
      <w:instrText xml:space="preserve"> PAGE  \* MERGEFORMAT </w:instrText>
    </w:r>
    <w:r w:rsidRPr="003C44FA">
      <w:rPr>
        <w:b/>
        <w:sz w:val="18"/>
      </w:rPr>
      <w:fldChar w:fldCharType="separate"/>
    </w:r>
    <w:r w:rsidRPr="003C44FA">
      <w:rPr>
        <w:b/>
        <w:noProof/>
        <w:sz w:val="18"/>
      </w:rPr>
      <w:t>3</w:t>
    </w:r>
    <w:r w:rsidRPr="003C44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1BEB" w14:textId="77777777" w:rsidR="0094352E" w:rsidRPr="003C44FA" w:rsidRDefault="003C44FA" w:rsidP="003C44FA">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07C83D00" wp14:editId="27D8DA6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19-15963  (F)    200919    200919</w:t>
    </w:r>
    <w:r>
      <w:rPr>
        <w:sz w:val="20"/>
      </w:rPr>
      <w:br/>
    </w:r>
    <w:r w:rsidRPr="003C44FA">
      <w:rPr>
        <w:rFonts w:ascii="C39T30Lfz" w:hAnsi="C39T30Lfz"/>
        <w:sz w:val="56"/>
      </w:rPr>
      <w:t></w:t>
    </w:r>
    <w:r w:rsidRPr="003C44FA">
      <w:rPr>
        <w:rFonts w:ascii="C39T30Lfz" w:hAnsi="C39T30Lfz"/>
        <w:sz w:val="56"/>
      </w:rPr>
      <w:t></w:t>
    </w:r>
    <w:r w:rsidRPr="003C44FA">
      <w:rPr>
        <w:rFonts w:ascii="C39T30Lfz" w:hAnsi="C39T30Lfz"/>
        <w:sz w:val="56"/>
      </w:rPr>
      <w:t></w:t>
    </w:r>
    <w:r w:rsidRPr="003C44FA">
      <w:rPr>
        <w:rFonts w:ascii="C39T30Lfz" w:hAnsi="C39T30Lfz"/>
        <w:sz w:val="56"/>
      </w:rPr>
      <w:t></w:t>
    </w:r>
    <w:r w:rsidRPr="003C44FA">
      <w:rPr>
        <w:rFonts w:ascii="C39T30Lfz" w:hAnsi="C39T30Lfz"/>
        <w:sz w:val="56"/>
      </w:rPr>
      <w:t></w:t>
    </w:r>
    <w:r w:rsidRPr="003C44FA">
      <w:rPr>
        <w:rFonts w:ascii="C39T30Lfz" w:hAnsi="C39T30Lfz"/>
        <w:sz w:val="56"/>
      </w:rPr>
      <w:t></w:t>
    </w:r>
    <w:r w:rsidRPr="003C44FA">
      <w:rPr>
        <w:rFonts w:ascii="C39T30Lfz" w:hAnsi="C39T30Lfz"/>
        <w:sz w:val="56"/>
      </w:rPr>
      <w:t></w:t>
    </w:r>
    <w:r w:rsidRPr="003C44FA">
      <w:rPr>
        <w:rFonts w:ascii="C39T30Lfz" w:hAnsi="C39T30Lfz"/>
        <w:sz w:val="56"/>
      </w:rPr>
      <w:t></w:t>
    </w:r>
    <w:r w:rsidRPr="003C44FA">
      <w:rPr>
        <w:rFonts w:ascii="C39T30Lfz" w:hAnsi="C39T30Lfz"/>
        <w:sz w:val="56"/>
      </w:rPr>
      <w:t></w:t>
    </w:r>
    <w:r>
      <w:rPr>
        <w:noProof/>
        <w:sz w:val="20"/>
      </w:rPr>
      <w:drawing>
        <wp:anchor distT="0" distB="0" distL="114300" distR="114300" simplePos="0" relativeHeight="251658240" behindDoc="0" locked="0" layoutInCell="1" allowOverlap="1" wp14:anchorId="7B9D02B6" wp14:editId="517DFAA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2/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A7FA" w14:textId="77777777" w:rsidR="008706F0" w:rsidRPr="00E972EF" w:rsidRDefault="008706F0" w:rsidP="00E972EF">
      <w:pPr>
        <w:pStyle w:val="Pieddepage"/>
        <w:tabs>
          <w:tab w:val="right" w:pos="2155"/>
        </w:tabs>
        <w:spacing w:after="80" w:line="240" w:lineRule="atLeast"/>
        <w:ind w:left="680"/>
        <w:rPr>
          <w:u w:val="single"/>
        </w:rPr>
      </w:pPr>
      <w:r>
        <w:rPr>
          <w:u w:val="single"/>
        </w:rPr>
        <w:tab/>
      </w:r>
    </w:p>
  </w:footnote>
  <w:footnote w:type="continuationSeparator" w:id="0">
    <w:p w14:paraId="5D0D227B" w14:textId="77777777" w:rsidR="008706F0" w:rsidRPr="002D61A2" w:rsidRDefault="008706F0" w:rsidP="002D61A2">
      <w:pPr>
        <w:pStyle w:val="Pieddepage"/>
        <w:tabs>
          <w:tab w:val="right" w:pos="2155"/>
        </w:tabs>
        <w:spacing w:after="80" w:line="240" w:lineRule="atLeast"/>
        <w:ind w:left="680"/>
      </w:pPr>
      <w:r>
        <w:rPr>
          <w:u w:val="single"/>
        </w:rPr>
        <w:tab/>
      </w:r>
    </w:p>
  </w:footnote>
  <w:footnote w:type="continuationNotice" w:id="1">
    <w:p w14:paraId="3921E5A8" w14:textId="77777777" w:rsidR="008706F0" w:rsidRPr="002D61A2" w:rsidRDefault="008706F0">
      <w:pPr>
        <w:spacing w:line="240" w:lineRule="auto"/>
        <w:rPr>
          <w:sz w:val="2"/>
          <w:szCs w:val="2"/>
        </w:rPr>
      </w:pPr>
    </w:p>
  </w:footnote>
  <w:footnote w:id="2">
    <w:p w14:paraId="6904A55D" w14:textId="77777777" w:rsidR="00A079D1" w:rsidRPr="00871BFC" w:rsidRDefault="00A079D1" w:rsidP="00A079D1">
      <w:pPr>
        <w:pStyle w:val="Notedebasdepage"/>
        <w:rPr>
          <w:lang w:val="fr-FR"/>
        </w:rPr>
      </w:pPr>
      <w:r>
        <w:rPr>
          <w:lang w:val="fr-FR"/>
        </w:rPr>
        <w:tab/>
        <w:t>*</w:t>
      </w:r>
      <w:r>
        <w:rPr>
          <w:lang w:val="fr-FR"/>
        </w:rPr>
        <w:tab/>
        <w:t>État non membre du Conseil des droits de l’homme.</w:t>
      </w:r>
    </w:p>
  </w:footnote>
  <w:footnote w:id="3">
    <w:p w14:paraId="7248C76F" w14:textId="77777777" w:rsidR="00A079D1" w:rsidRPr="00AF7325" w:rsidRDefault="00A079D1" w:rsidP="00A079D1">
      <w:pPr>
        <w:pStyle w:val="Notedebasdepage"/>
        <w:rPr>
          <w:szCs w:val="18"/>
          <w:lang w:val="fr-FR"/>
        </w:rPr>
      </w:pPr>
      <w:r>
        <w:rPr>
          <w:lang w:val="fr-FR"/>
        </w:rPr>
        <w:tab/>
      </w:r>
      <w:r w:rsidRPr="00AF7325">
        <w:rPr>
          <w:rStyle w:val="Appelnotedebasdep"/>
          <w:szCs w:val="18"/>
        </w:rPr>
        <w:footnoteRef/>
      </w:r>
      <w:r w:rsidRPr="00AF7325">
        <w:rPr>
          <w:szCs w:val="18"/>
          <w:lang w:val="fr-FR"/>
        </w:rPr>
        <w:tab/>
        <w:t>A/HRC/42/47 et Add.1 à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809D" w14:textId="1B5184FE" w:rsidR="003C44FA" w:rsidRPr="003C44FA" w:rsidRDefault="003C44FA">
    <w:pPr>
      <w:pStyle w:val="En-tte"/>
    </w:pPr>
    <w:fldSimple w:instr=" TITLE  \* MERGEFORMAT ">
      <w:r w:rsidR="007C733C">
        <w:t>A/HRC/42/L.1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9CB6" w14:textId="24D59D58" w:rsidR="003C44FA" w:rsidRPr="003C44FA" w:rsidRDefault="003C44FA" w:rsidP="003C44FA">
    <w:pPr>
      <w:pStyle w:val="En-tte"/>
      <w:jc w:val="right"/>
    </w:pPr>
    <w:fldSimple w:instr=" TITLE  \* MERGEFORMAT ">
      <w:r w:rsidR="007C733C">
        <w:t>A/HRC/42/L.1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6DEE3D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C0C4A9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D94C97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06F0"/>
    <w:rsid w:val="00023842"/>
    <w:rsid w:val="00057542"/>
    <w:rsid w:val="0007796D"/>
    <w:rsid w:val="000C097F"/>
    <w:rsid w:val="00111F2F"/>
    <w:rsid w:val="00121134"/>
    <w:rsid w:val="0014365E"/>
    <w:rsid w:val="00176178"/>
    <w:rsid w:val="001F525A"/>
    <w:rsid w:val="00222171"/>
    <w:rsid w:val="002C3FEC"/>
    <w:rsid w:val="002D61A2"/>
    <w:rsid w:val="002E0783"/>
    <w:rsid w:val="003A4824"/>
    <w:rsid w:val="003B0A99"/>
    <w:rsid w:val="003C44FA"/>
    <w:rsid w:val="00446FE5"/>
    <w:rsid w:val="004726ED"/>
    <w:rsid w:val="00573BE5"/>
    <w:rsid w:val="00586ED3"/>
    <w:rsid w:val="00587A52"/>
    <w:rsid w:val="005B4E23"/>
    <w:rsid w:val="00695AED"/>
    <w:rsid w:val="006A43D1"/>
    <w:rsid w:val="0071601D"/>
    <w:rsid w:val="00740948"/>
    <w:rsid w:val="007B4731"/>
    <w:rsid w:val="007C733C"/>
    <w:rsid w:val="0080684C"/>
    <w:rsid w:val="00850693"/>
    <w:rsid w:val="008706F0"/>
    <w:rsid w:val="00871C75"/>
    <w:rsid w:val="008776DC"/>
    <w:rsid w:val="0088599A"/>
    <w:rsid w:val="0094352E"/>
    <w:rsid w:val="00950E82"/>
    <w:rsid w:val="009705C8"/>
    <w:rsid w:val="00A079D1"/>
    <w:rsid w:val="00A12E20"/>
    <w:rsid w:val="00A65D8A"/>
    <w:rsid w:val="00AE323C"/>
    <w:rsid w:val="00AF7325"/>
    <w:rsid w:val="00BD1F3F"/>
    <w:rsid w:val="00C02837"/>
    <w:rsid w:val="00C02897"/>
    <w:rsid w:val="00C82E79"/>
    <w:rsid w:val="00DB1831"/>
    <w:rsid w:val="00DD3BFD"/>
    <w:rsid w:val="00E07831"/>
    <w:rsid w:val="00E228A8"/>
    <w:rsid w:val="00E561AB"/>
    <w:rsid w:val="00E972EF"/>
    <w:rsid w:val="00EC1412"/>
    <w:rsid w:val="00F50AB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4EE77"/>
  <w15:docId w15:val="{5411964E-825B-48A4-A075-4D8E625E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24"/>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3A482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A482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A482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A4824"/>
    <w:pPr>
      <w:spacing w:line="240" w:lineRule="auto"/>
    </w:pPr>
    <w:rPr>
      <w:sz w:val="16"/>
    </w:rPr>
  </w:style>
  <w:style w:type="character" w:customStyle="1" w:styleId="PieddepageCar">
    <w:name w:val="Pied de page Car"/>
    <w:aliases w:val="3_G Car"/>
    <w:basedOn w:val="Policepardfaut"/>
    <w:link w:val="Pieddepage"/>
    <w:rsid w:val="003A482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A482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A482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A482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A482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A482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A482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A4824"/>
    <w:pPr>
      <w:spacing w:after="120"/>
      <w:ind w:left="1134" w:right="1134"/>
      <w:jc w:val="both"/>
    </w:pPr>
  </w:style>
  <w:style w:type="paragraph" w:customStyle="1" w:styleId="SLG">
    <w:name w:val="__S_L_G"/>
    <w:basedOn w:val="Normal"/>
    <w:next w:val="Normal"/>
    <w:rsid w:val="003A4824"/>
    <w:pPr>
      <w:keepNext/>
      <w:keepLines/>
      <w:spacing w:before="240" w:after="240" w:line="580" w:lineRule="exact"/>
      <w:ind w:left="1134" w:right="1134"/>
    </w:pPr>
    <w:rPr>
      <w:b/>
      <w:sz w:val="56"/>
    </w:rPr>
  </w:style>
  <w:style w:type="paragraph" w:customStyle="1" w:styleId="SMG">
    <w:name w:val="__S_M_G"/>
    <w:basedOn w:val="Normal"/>
    <w:next w:val="Normal"/>
    <w:rsid w:val="003A4824"/>
    <w:pPr>
      <w:keepNext/>
      <w:keepLines/>
      <w:spacing w:before="240" w:after="240" w:line="420" w:lineRule="exact"/>
      <w:ind w:left="1134" w:right="1134"/>
    </w:pPr>
    <w:rPr>
      <w:b/>
      <w:sz w:val="40"/>
    </w:rPr>
  </w:style>
  <w:style w:type="paragraph" w:customStyle="1" w:styleId="SSG">
    <w:name w:val="__S_S_G"/>
    <w:basedOn w:val="Normal"/>
    <w:next w:val="Normal"/>
    <w:rsid w:val="003A4824"/>
    <w:pPr>
      <w:keepNext/>
      <w:keepLines/>
      <w:spacing w:before="240" w:after="240" w:line="300" w:lineRule="exact"/>
      <w:ind w:left="1134" w:right="1134"/>
    </w:pPr>
    <w:rPr>
      <w:b/>
      <w:sz w:val="28"/>
    </w:rPr>
  </w:style>
  <w:style w:type="paragraph" w:customStyle="1" w:styleId="XLargeG">
    <w:name w:val="__XLarge_G"/>
    <w:basedOn w:val="Normal"/>
    <w:next w:val="Normal"/>
    <w:rsid w:val="003A4824"/>
    <w:pPr>
      <w:keepNext/>
      <w:keepLines/>
      <w:spacing w:before="240" w:after="240" w:line="420" w:lineRule="exact"/>
      <w:ind w:left="1134" w:right="1134"/>
    </w:pPr>
    <w:rPr>
      <w:b/>
      <w:sz w:val="40"/>
    </w:rPr>
  </w:style>
  <w:style w:type="paragraph" w:customStyle="1" w:styleId="Bullet1G">
    <w:name w:val="_Bullet 1_G"/>
    <w:basedOn w:val="Normal"/>
    <w:qFormat/>
    <w:rsid w:val="003A4824"/>
    <w:pPr>
      <w:numPr>
        <w:numId w:val="14"/>
      </w:numPr>
      <w:spacing w:after="120"/>
      <w:ind w:right="1134"/>
      <w:jc w:val="both"/>
    </w:pPr>
  </w:style>
  <w:style w:type="paragraph" w:customStyle="1" w:styleId="Bullet2G">
    <w:name w:val="_Bullet 2_G"/>
    <w:basedOn w:val="Normal"/>
    <w:qFormat/>
    <w:rsid w:val="003A4824"/>
    <w:pPr>
      <w:numPr>
        <w:numId w:val="15"/>
      </w:numPr>
      <w:spacing w:after="120"/>
      <w:ind w:right="1134"/>
      <w:jc w:val="both"/>
    </w:pPr>
  </w:style>
  <w:style w:type="paragraph" w:customStyle="1" w:styleId="ParNoG">
    <w:name w:val="_ParNo_G"/>
    <w:basedOn w:val="Normal"/>
    <w:qFormat/>
    <w:rsid w:val="003A4824"/>
    <w:pPr>
      <w:numPr>
        <w:numId w:val="16"/>
      </w:numPr>
      <w:tabs>
        <w:tab w:val="clear" w:pos="1701"/>
      </w:tabs>
      <w:spacing w:after="120"/>
      <w:ind w:right="1134"/>
      <w:jc w:val="both"/>
    </w:pPr>
  </w:style>
  <w:style w:type="character" w:styleId="Appelnotedebasdep">
    <w:name w:val="footnote reference"/>
    <w:aliases w:val="4_G"/>
    <w:basedOn w:val="Policepardfaut"/>
    <w:qFormat/>
    <w:rsid w:val="003A4824"/>
    <w:rPr>
      <w:rFonts w:ascii="Times New Roman" w:hAnsi="Times New Roman"/>
      <w:sz w:val="18"/>
      <w:vertAlign w:val="superscript"/>
      <w:lang w:val="fr-CH"/>
    </w:rPr>
  </w:style>
  <w:style w:type="character" w:styleId="Appeldenotedefin">
    <w:name w:val="endnote reference"/>
    <w:aliases w:val="1_G"/>
    <w:basedOn w:val="Appelnotedebasdep"/>
    <w:qFormat/>
    <w:rsid w:val="003A4824"/>
    <w:rPr>
      <w:rFonts w:ascii="Times New Roman" w:hAnsi="Times New Roman"/>
      <w:sz w:val="18"/>
      <w:vertAlign w:val="superscript"/>
      <w:lang w:val="fr-CH"/>
    </w:rPr>
  </w:style>
  <w:style w:type="table" w:styleId="Grilledutableau">
    <w:name w:val="Table Grid"/>
    <w:basedOn w:val="TableauNormal"/>
    <w:rsid w:val="003A482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A4824"/>
    <w:rPr>
      <w:color w:val="0000FF"/>
      <w:u w:val="none"/>
    </w:rPr>
  </w:style>
  <w:style w:type="character" w:styleId="Lienhypertextesuivivisit">
    <w:name w:val="FollowedHyperlink"/>
    <w:basedOn w:val="Policepardfaut"/>
    <w:unhideWhenUsed/>
    <w:rsid w:val="003A4824"/>
    <w:rPr>
      <w:color w:val="0000FF"/>
      <w:u w:val="none"/>
    </w:rPr>
  </w:style>
  <w:style w:type="paragraph" w:styleId="Notedebasdepage">
    <w:name w:val="footnote text"/>
    <w:aliases w:val="5_G"/>
    <w:basedOn w:val="Normal"/>
    <w:link w:val="NotedebasdepageCar"/>
    <w:qFormat/>
    <w:rsid w:val="003A482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A482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A4824"/>
  </w:style>
  <w:style w:type="character" w:customStyle="1" w:styleId="NotedefinCar">
    <w:name w:val="Note de fin Car"/>
    <w:aliases w:val="2_G Car"/>
    <w:basedOn w:val="Policepardfaut"/>
    <w:link w:val="Notedefin"/>
    <w:rsid w:val="003A482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A4824"/>
    <w:rPr>
      <w:rFonts w:ascii="Times New Roman" w:hAnsi="Times New Roman"/>
      <w:b/>
      <w:sz w:val="18"/>
      <w:lang w:val="fr-CH"/>
    </w:rPr>
  </w:style>
  <w:style w:type="character" w:customStyle="1" w:styleId="Titre1Car">
    <w:name w:val="Titre 1 Car"/>
    <w:aliases w:val="Table_G Car"/>
    <w:basedOn w:val="Policepardfaut"/>
    <w:link w:val="Titre1"/>
    <w:rsid w:val="003A482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Pages>
  <Words>604</Words>
  <Characters>3509</Characters>
  <Application>Microsoft Office Word</Application>
  <DocSecurity>0</DocSecurity>
  <Lines>70</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A/HRC/42/L.1</vt:lpstr>
      <vt:lpstr/>
    </vt:vector>
  </TitlesOfParts>
  <Company>DCM</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dc:title>
  <dc:subject/>
  <dc:creator>Christine CHAUTAGNAT</dc:creator>
  <cp:keywords/>
  <cp:lastModifiedBy>Christine Chautagnat</cp:lastModifiedBy>
  <cp:revision>3</cp:revision>
  <cp:lastPrinted>2019-09-20T15:24:00Z</cp:lastPrinted>
  <dcterms:created xsi:type="dcterms:W3CDTF">2019-09-20T15:24:00Z</dcterms:created>
  <dcterms:modified xsi:type="dcterms:W3CDTF">2019-09-20T15:24:00Z</dcterms:modified>
</cp:coreProperties>
</file>