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626D654C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42BB717" w14:textId="77777777" w:rsidR="002D5AAC" w:rsidRDefault="002D5AAC" w:rsidP="00B737F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C1BC03B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FAA46DE" w14:textId="77777777" w:rsidR="002D5AAC" w:rsidRDefault="00B737F0" w:rsidP="00B737F0">
            <w:pPr>
              <w:jc w:val="right"/>
            </w:pPr>
            <w:r w:rsidRPr="00B737F0">
              <w:rPr>
                <w:sz w:val="40"/>
              </w:rPr>
              <w:t>A</w:t>
            </w:r>
            <w:r>
              <w:t>/HRC/42/L.2</w:t>
            </w:r>
          </w:p>
        </w:tc>
      </w:tr>
      <w:tr w:rsidR="002D5AAC" w:rsidRPr="007B265B" w14:paraId="290D5015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D40CB9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20B5B0F" wp14:editId="48B12FE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6F8CF33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231C7FF" w14:textId="77777777" w:rsidR="002D5AAC" w:rsidRDefault="00B737F0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Limited</w:t>
            </w:r>
          </w:p>
          <w:p w14:paraId="0AD24DD8" w14:textId="77777777" w:rsidR="00B737F0" w:rsidRDefault="00B737F0" w:rsidP="00B737F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September 2019</w:t>
            </w:r>
          </w:p>
          <w:p w14:paraId="41010088" w14:textId="77777777" w:rsidR="00B737F0" w:rsidRDefault="00B737F0" w:rsidP="00B737F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E7E2990" w14:textId="77777777" w:rsidR="00B737F0" w:rsidRPr="00E71476" w:rsidRDefault="00B737F0" w:rsidP="00B737F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EC5F623" w14:textId="77777777" w:rsidR="00B737F0" w:rsidRPr="00B737F0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0B80ABFB" w14:textId="77777777" w:rsidR="00B737F0" w:rsidRPr="00054D7F" w:rsidRDefault="00B737F0" w:rsidP="00B737F0">
      <w:pPr>
        <w:rPr>
          <w:b/>
        </w:rPr>
      </w:pPr>
      <w:r>
        <w:rPr>
          <w:b/>
          <w:bCs/>
        </w:rPr>
        <w:t>Сорок вторая сессия</w:t>
      </w:r>
    </w:p>
    <w:p w14:paraId="62527B0C" w14:textId="77777777" w:rsidR="00B737F0" w:rsidRPr="00EE06CD" w:rsidRDefault="00B737F0" w:rsidP="00B737F0">
      <w:r>
        <w:t>9</w:t>
      </w:r>
      <w:r w:rsidRPr="007B265B">
        <w:t>–</w:t>
      </w:r>
      <w:r>
        <w:t>27 сентября 2019 года</w:t>
      </w:r>
    </w:p>
    <w:p w14:paraId="11476469" w14:textId="77777777" w:rsidR="00B737F0" w:rsidRPr="00EE06CD" w:rsidRDefault="00B737F0" w:rsidP="00B737F0">
      <w:r>
        <w:t>Пункт 3 повестки дня</w:t>
      </w:r>
    </w:p>
    <w:p w14:paraId="7AE3DCF1" w14:textId="77777777" w:rsidR="00B737F0" w:rsidRDefault="00B737F0" w:rsidP="00B737F0">
      <w:pPr>
        <w:rPr>
          <w:b/>
          <w:bCs/>
        </w:rPr>
      </w:pPr>
      <w:r>
        <w:rPr>
          <w:b/>
          <w:bCs/>
        </w:rPr>
        <w:t xml:space="preserve">Поощрение и защита всех прав человека, </w:t>
      </w:r>
      <w:r>
        <w:rPr>
          <w:b/>
          <w:bCs/>
        </w:rPr>
        <w:br/>
        <w:t>гражданских,</w:t>
      </w:r>
      <w:r w:rsidRPr="00B737F0">
        <w:rPr>
          <w:b/>
          <w:bCs/>
        </w:rPr>
        <w:t xml:space="preserve"> </w:t>
      </w:r>
      <w:r>
        <w:rPr>
          <w:b/>
          <w:bCs/>
        </w:rPr>
        <w:t xml:space="preserve">политических, экономических, </w:t>
      </w:r>
      <w:r>
        <w:rPr>
          <w:b/>
          <w:bCs/>
        </w:rPr>
        <w:br/>
        <w:t>социальных и культурных прав,</w:t>
      </w:r>
    </w:p>
    <w:p w14:paraId="12A010B9" w14:textId="77777777" w:rsidR="00B737F0" w:rsidRPr="00575BB0" w:rsidRDefault="00B737F0" w:rsidP="00B737F0">
      <w:pPr>
        <w:rPr>
          <w:b/>
        </w:rPr>
      </w:pPr>
      <w:r>
        <w:rPr>
          <w:b/>
          <w:bCs/>
        </w:rPr>
        <w:t>включая право на развитие</w:t>
      </w:r>
    </w:p>
    <w:p w14:paraId="21AE56C3" w14:textId="77777777" w:rsidR="00B737F0" w:rsidRPr="00054D7F" w:rsidRDefault="00B737F0" w:rsidP="00B737F0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>
        <w:tab/>
      </w:r>
      <w:r>
        <w:tab/>
      </w:r>
      <w:r>
        <w:rPr>
          <w:b/>
          <w:bCs/>
        </w:rPr>
        <w:t>Австралия, Австрия,</w:t>
      </w:r>
      <w:r>
        <w:t xml:space="preserve"> </w:t>
      </w:r>
      <w:r>
        <w:rPr>
          <w:b/>
          <w:bCs/>
        </w:rPr>
        <w:t>Албания</w:t>
      </w:r>
      <w:r w:rsidRPr="00B737F0">
        <w:rPr>
          <w:rStyle w:val="aa"/>
          <w:sz w:val="20"/>
          <w:szCs w:val="20"/>
          <w:vertAlign w:val="baseline"/>
        </w:rPr>
        <w:footnoteReference w:customMarkFollows="1" w:id="1"/>
        <w:t>*</w:t>
      </w:r>
      <w:r>
        <w:rPr>
          <w:b/>
          <w:bCs/>
        </w:rPr>
        <w:t>, Аргентина, Армения</w:t>
      </w:r>
      <w:r w:rsidRPr="00B737F0">
        <w:rPr>
          <w:bCs/>
        </w:rPr>
        <w:t>*</w:t>
      </w:r>
      <w:r>
        <w:rPr>
          <w:b/>
          <w:bCs/>
        </w:rPr>
        <w:t>, Бельгия</w:t>
      </w:r>
      <w:r w:rsidRPr="00B737F0">
        <w:rPr>
          <w:bCs/>
        </w:rPr>
        <w:t>*</w:t>
      </w:r>
      <w:r>
        <w:rPr>
          <w:b/>
          <w:bCs/>
        </w:rPr>
        <w:t>, Болгария, Венгрия, Дания, Грузия</w:t>
      </w:r>
      <w:r w:rsidRPr="00B737F0">
        <w:rPr>
          <w:bCs/>
        </w:rPr>
        <w:t>*</w:t>
      </w:r>
      <w:r>
        <w:rPr>
          <w:b/>
          <w:bCs/>
        </w:rPr>
        <w:t>, Греция</w:t>
      </w:r>
      <w:r w:rsidRPr="00B737F0">
        <w:rPr>
          <w:bCs/>
        </w:rPr>
        <w:t>*</w:t>
      </w:r>
      <w:r>
        <w:rPr>
          <w:b/>
          <w:bCs/>
        </w:rPr>
        <w:t>, Ирландия</w:t>
      </w:r>
      <w:r w:rsidRPr="00B737F0">
        <w:rPr>
          <w:bCs/>
        </w:rPr>
        <w:t>*</w:t>
      </w:r>
      <w:r>
        <w:rPr>
          <w:b/>
          <w:bCs/>
        </w:rPr>
        <w:t>, Исландия, Испания, Италия, Канада</w:t>
      </w:r>
      <w:r w:rsidRPr="00B737F0">
        <w:rPr>
          <w:bCs/>
        </w:rPr>
        <w:t>*</w:t>
      </w:r>
      <w:r>
        <w:rPr>
          <w:b/>
          <w:bCs/>
        </w:rPr>
        <w:t>, Кипр</w:t>
      </w:r>
      <w:r w:rsidRPr="00B737F0">
        <w:rPr>
          <w:bCs/>
        </w:rPr>
        <w:t>*</w:t>
      </w:r>
      <w:r>
        <w:rPr>
          <w:b/>
          <w:bCs/>
        </w:rPr>
        <w:t>, Латвия</w:t>
      </w:r>
      <w:r w:rsidRPr="00B737F0">
        <w:rPr>
          <w:bCs/>
        </w:rPr>
        <w:t>*</w:t>
      </w:r>
      <w:r>
        <w:rPr>
          <w:b/>
          <w:bCs/>
        </w:rPr>
        <w:t>, Литва</w:t>
      </w:r>
      <w:r w:rsidRPr="00B737F0">
        <w:rPr>
          <w:bCs/>
        </w:rPr>
        <w:t>*</w:t>
      </w:r>
      <w:r>
        <w:rPr>
          <w:b/>
          <w:bCs/>
        </w:rPr>
        <w:t>, Люксембург</w:t>
      </w:r>
      <w:r w:rsidRPr="00B737F0">
        <w:rPr>
          <w:bCs/>
        </w:rPr>
        <w:t>*</w:t>
      </w:r>
      <w:r>
        <w:rPr>
          <w:b/>
          <w:bCs/>
        </w:rPr>
        <w:t>, Мальдивские Острова</w:t>
      </w:r>
      <w:r w:rsidRPr="00B737F0">
        <w:rPr>
          <w:bCs/>
        </w:rPr>
        <w:t>*</w:t>
      </w:r>
      <w:r>
        <w:rPr>
          <w:b/>
          <w:bCs/>
        </w:rPr>
        <w:t>, Мальта</w:t>
      </w:r>
      <w:r w:rsidRPr="00B737F0">
        <w:rPr>
          <w:bCs/>
        </w:rPr>
        <w:t>*</w:t>
      </w:r>
      <w:r>
        <w:rPr>
          <w:b/>
          <w:bCs/>
        </w:rPr>
        <w:t>,</w:t>
      </w:r>
      <w:r>
        <w:t xml:space="preserve"> </w:t>
      </w:r>
      <w:r>
        <w:rPr>
          <w:b/>
          <w:bCs/>
        </w:rPr>
        <w:t>Марокко</w:t>
      </w:r>
      <w:r w:rsidR="00477FDC" w:rsidRPr="0015567B">
        <w:rPr>
          <w:bCs/>
        </w:rPr>
        <w:t>*</w:t>
      </w:r>
      <w:r>
        <w:rPr>
          <w:b/>
          <w:bCs/>
        </w:rPr>
        <w:t>, Мексика, Норвегия</w:t>
      </w:r>
      <w:r w:rsidRPr="00B737F0">
        <w:rPr>
          <w:bCs/>
        </w:rPr>
        <w:t>*</w:t>
      </w:r>
      <w:r>
        <w:rPr>
          <w:b/>
          <w:bCs/>
        </w:rPr>
        <w:t>, Польша</w:t>
      </w:r>
      <w:r w:rsidRPr="00B737F0">
        <w:rPr>
          <w:bCs/>
        </w:rPr>
        <w:t>*</w:t>
      </w:r>
      <w:r>
        <w:rPr>
          <w:b/>
          <w:bCs/>
        </w:rPr>
        <w:t>, Португалия</w:t>
      </w:r>
      <w:r w:rsidRPr="00B737F0">
        <w:rPr>
          <w:bCs/>
        </w:rPr>
        <w:t>*</w:t>
      </w:r>
      <w:r>
        <w:rPr>
          <w:b/>
          <w:bCs/>
        </w:rPr>
        <w:t>, Республика Молдова</w:t>
      </w:r>
      <w:r w:rsidRPr="00B737F0">
        <w:rPr>
          <w:bCs/>
        </w:rPr>
        <w:t>*</w:t>
      </w:r>
      <w:r>
        <w:rPr>
          <w:b/>
          <w:bCs/>
        </w:rPr>
        <w:t>, Румыния</w:t>
      </w:r>
      <w:r w:rsidRPr="00B737F0">
        <w:rPr>
          <w:bCs/>
        </w:rPr>
        <w:t>*</w:t>
      </w:r>
      <w:r>
        <w:rPr>
          <w:b/>
          <w:bCs/>
        </w:rPr>
        <w:t>, Северная Македония</w:t>
      </w:r>
      <w:r w:rsidRPr="00B737F0">
        <w:rPr>
          <w:bCs/>
        </w:rPr>
        <w:t>*</w:t>
      </w:r>
      <w:r>
        <w:rPr>
          <w:b/>
          <w:bCs/>
        </w:rPr>
        <w:t>, Соединенное Королевство Великобритании и Северной Ирландии,</w:t>
      </w:r>
      <w:r>
        <w:t xml:space="preserve"> </w:t>
      </w:r>
      <w:r>
        <w:rPr>
          <w:b/>
          <w:bCs/>
        </w:rPr>
        <w:t>Словакия, Словения</w:t>
      </w:r>
      <w:r w:rsidRPr="00B737F0">
        <w:rPr>
          <w:bCs/>
        </w:rPr>
        <w:t>*</w:t>
      </w:r>
      <w:r>
        <w:rPr>
          <w:b/>
          <w:bCs/>
        </w:rPr>
        <w:t>, Таиланд</w:t>
      </w:r>
      <w:r w:rsidRPr="00B737F0">
        <w:rPr>
          <w:bCs/>
        </w:rPr>
        <w:t>*</w:t>
      </w:r>
      <w:r>
        <w:rPr>
          <w:b/>
          <w:bCs/>
        </w:rPr>
        <w:t>, Тунис, Украина, Уругвай, Фиджи, Финляндия</w:t>
      </w:r>
      <w:r w:rsidRPr="00B737F0">
        <w:rPr>
          <w:bCs/>
        </w:rPr>
        <w:t>*</w:t>
      </w:r>
      <w:r>
        <w:rPr>
          <w:b/>
          <w:bCs/>
        </w:rPr>
        <w:t>, Франция</w:t>
      </w:r>
      <w:r w:rsidRPr="00B737F0">
        <w:rPr>
          <w:bCs/>
        </w:rPr>
        <w:t>*</w:t>
      </w:r>
      <w:r>
        <w:rPr>
          <w:b/>
          <w:bCs/>
        </w:rPr>
        <w:t>, Хорватия, Черногория</w:t>
      </w:r>
      <w:r w:rsidRPr="00B737F0">
        <w:rPr>
          <w:bCs/>
        </w:rPr>
        <w:t>*</w:t>
      </w:r>
      <w:r>
        <w:rPr>
          <w:b/>
          <w:bCs/>
        </w:rPr>
        <w:t>, Чехия, Чили, Швеция</w:t>
      </w:r>
      <w:r w:rsidRPr="00B737F0">
        <w:rPr>
          <w:bCs/>
        </w:rPr>
        <w:t>*</w:t>
      </w:r>
      <w:r>
        <w:rPr>
          <w:b/>
          <w:bCs/>
        </w:rPr>
        <w:t>, Швейцария</w:t>
      </w:r>
      <w:r w:rsidRPr="00B737F0">
        <w:rPr>
          <w:bCs/>
        </w:rPr>
        <w:t>*</w:t>
      </w:r>
      <w:r>
        <w:rPr>
          <w:b/>
          <w:bCs/>
        </w:rPr>
        <w:t xml:space="preserve"> и Эстония</w:t>
      </w:r>
      <w:r w:rsidRPr="0015567B">
        <w:rPr>
          <w:bCs/>
        </w:rPr>
        <w:t>*</w:t>
      </w:r>
      <w:r>
        <w:rPr>
          <w:b/>
          <w:bCs/>
        </w:rPr>
        <w:t>: проект резолюции</w:t>
      </w:r>
    </w:p>
    <w:p w14:paraId="38432A3E" w14:textId="77777777" w:rsidR="00B737F0" w:rsidRPr="00054D7F" w:rsidRDefault="00B737F0" w:rsidP="00B737F0">
      <w:pPr>
        <w:pStyle w:val="H1G"/>
        <w:tabs>
          <w:tab w:val="left" w:pos="1843"/>
        </w:tabs>
      </w:pPr>
      <w:r>
        <w:tab/>
      </w:r>
      <w:r>
        <w:tab/>
        <w:t>42/...</w:t>
      </w:r>
      <w:r>
        <w:tab/>
        <w:t>Роль предупреждения в поощрении и защите прав человека</w:t>
      </w:r>
    </w:p>
    <w:p w14:paraId="03B8573B" w14:textId="77777777" w:rsidR="00B737F0" w:rsidRPr="00054D7F" w:rsidRDefault="00B737F0" w:rsidP="00B737F0">
      <w:pPr>
        <w:spacing w:after="120"/>
        <w:ind w:left="1134" w:right="1134"/>
        <w:jc w:val="both"/>
      </w:pPr>
      <w:r>
        <w:tab/>
      </w:r>
      <w:r>
        <w:tab/>
      </w:r>
      <w:r>
        <w:rPr>
          <w:i/>
          <w:iCs/>
        </w:rPr>
        <w:t>Совет по правам человека,</w:t>
      </w:r>
    </w:p>
    <w:p w14:paraId="51F72994" w14:textId="77777777" w:rsidR="00B737F0" w:rsidRPr="00054D7F" w:rsidRDefault="00B737F0" w:rsidP="00B737F0">
      <w:pPr>
        <w:pStyle w:val="SingleTxtG"/>
        <w:ind w:firstLine="567"/>
        <w:rPr>
          <w:b/>
          <w:bCs/>
          <w:i/>
          <w:iCs/>
        </w:rPr>
      </w:pPr>
      <w:r>
        <w:rPr>
          <w:i/>
          <w:iCs/>
        </w:rPr>
        <w:t>вновь подтверждая</w:t>
      </w:r>
      <w:r>
        <w:t xml:space="preserve"> цели и принципы Устава Организации Объединенных Наций и обязательства государств в соответствии с ними поощрять всеобщее уважение и соблюдение прав человека и основных свобод,</w:t>
      </w:r>
    </w:p>
    <w:p w14:paraId="120306FC" w14:textId="77777777" w:rsidR="00B737F0" w:rsidRPr="00054D7F" w:rsidRDefault="00B737F0" w:rsidP="00B737F0">
      <w:pPr>
        <w:pStyle w:val="SingleTxtG"/>
        <w:ind w:firstLine="567"/>
        <w:rPr>
          <w:b/>
          <w:bCs/>
        </w:rPr>
      </w:pPr>
      <w:r>
        <w:rPr>
          <w:i/>
          <w:iCs/>
        </w:rPr>
        <w:t>вновь подтверждая</w:t>
      </w:r>
      <w:r>
        <w:t xml:space="preserve"> </w:t>
      </w:r>
      <w:r w:rsidRPr="00663368">
        <w:rPr>
          <w:i/>
          <w:iCs/>
        </w:rPr>
        <w:t>также</w:t>
      </w:r>
      <w:r>
        <w:t xml:space="preserve"> Всеобщую декларацию прав человека и Венскую декларацию и Программу действий и ссылаясь на Международный пакт о гражданских и политических правах, Международный пакт об экономических, социальных и культурных правах и другие международные договоры по правам человека и на итоговые документы основных конференций Организации Объединенных Наций и соответствующие резолюции, принятые Генеральной Ассамблеей и Советом по правам человека,</w:t>
      </w:r>
    </w:p>
    <w:p w14:paraId="192F9A76" w14:textId="77777777" w:rsidR="00B737F0" w:rsidRPr="00054D7F" w:rsidRDefault="00B737F0" w:rsidP="00B737F0">
      <w:pPr>
        <w:pStyle w:val="SingleTxtG"/>
        <w:ind w:firstLine="567"/>
        <w:rPr>
          <w:b/>
          <w:bCs/>
          <w:i/>
          <w:iCs/>
        </w:rPr>
      </w:pPr>
      <w:r>
        <w:rPr>
          <w:i/>
          <w:iCs/>
        </w:rPr>
        <w:t>напоминая</w:t>
      </w:r>
      <w:r>
        <w:t xml:space="preserve"> о роли Совета по правам человека в предупреждении нарушений прав человека посредством сотрудничества и диалога в соответствии с </w:t>
      </w:r>
      <w:r>
        <w:br/>
        <w:t>резолюцией 60/251 Генеральной Ассамблеи от 15 марта 2006 года,</w:t>
      </w:r>
    </w:p>
    <w:p w14:paraId="52455B16" w14:textId="77777777" w:rsidR="00B737F0" w:rsidRPr="00054D7F" w:rsidRDefault="00B737F0" w:rsidP="00B737F0">
      <w:pPr>
        <w:pStyle w:val="SingleTxtG"/>
        <w:ind w:firstLine="567"/>
        <w:rPr>
          <w:b/>
          <w:bCs/>
          <w:i/>
          <w:iCs/>
        </w:rPr>
      </w:pPr>
      <w:r>
        <w:rPr>
          <w:i/>
          <w:iCs/>
        </w:rPr>
        <w:t>вновь подтверждая</w:t>
      </w:r>
      <w:r>
        <w:t>, что все права человека являются универсальными, неделимыми, взаимосвязанными, взаимозависимыми и взаимодополняющими и что ко всем правам необходимо относиться на справедливой и равной основе, с одинаковым подходом и вниманием,</w:t>
      </w:r>
    </w:p>
    <w:p w14:paraId="49C43A00" w14:textId="77777777" w:rsidR="00B737F0" w:rsidRPr="00054D7F" w:rsidRDefault="00B737F0" w:rsidP="00B737F0">
      <w:pPr>
        <w:pStyle w:val="SingleTxtG"/>
        <w:ind w:firstLine="567"/>
      </w:pPr>
      <w:r>
        <w:rPr>
          <w:i/>
          <w:iCs/>
        </w:rPr>
        <w:t>признавая</w:t>
      </w:r>
      <w:r>
        <w:t xml:space="preserve">, что предупреждение может предусматривать принятие мер, которые, в частности, направлены на устранение коренных причин, оперативное реагирование </w:t>
      </w:r>
      <w:r>
        <w:lastRenderedPageBreak/>
        <w:t>на самые ранние признаки, минимизацию ущерба после обострения ситуации в области прав человека, минимизацию будущих угроз и предотвращение нарушений и ущемлений прав человека в долгосрочной перспективе,</w:t>
      </w:r>
    </w:p>
    <w:p w14:paraId="07F1F822" w14:textId="77777777" w:rsidR="00B737F0" w:rsidRPr="00054D7F" w:rsidRDefault="00B737F0" w:rsidP="00B737F0">
      <w:pPr>
        <w:pStyle w:val="SingleTxtG"/>
        <w:ind w:firstLine="567"/>
        <w:rPr>
          <w:b/>
          <w:bCs/>
          <w:i/>
          <w:iCs/>
        </w:rPr>
      </w:pPr>
      <w:r>
        <w:rPr>
          <w:i/>
          <w:iCs/>
        </w:rPr>
        <w:t>выражая обеспокоенность</w:t>
      </w:r>
      <w:r>
        <w:t xml:space="preserve"> продолжающимися нарушениями прав человека в мире,</w:t>
      </w:r>
    </w:p>
    <w:p w14:paraId="68C8D391" w14:textId="77777777" w:rsidR="00B737F0" w:rsidRPr="00054D7F" w:rsidRDefault="00B737F0" w:rsidP="00B737F0">
      <w:pPr>
        <w:pStyle w:val="SingleTxtG"/>
        <w:ind w:firstLine="567"/>
        <w:rPr>
          <w:b/>
          <w:bCs/>
          <w:i/>
          <w:iCs/>
        </w:rPr>
      </w:pPr>
      <w:r>
        <w:rPr>
          <w:i/>
          <w:iCs/>
        </w:rPr>
        <w:t>ссылаясь</w:t>
      </w:r>
      <w:r>
        <w:t xml:space="preserve"> на свои резолюции 5/1 и 5/2 от 18 июня 2007 года и 16/21 от 25 марта 2011 года,</w:t>
      </w:r>
    </w:p>
    <w:p w14:paraId="7B6949BF" w14:textId="77777777" w:rsidR="00B737F0" w:rsidRPr="00054D7F" w:rsidRDefault="00B737F0" w:rsidP="00B737F0">
      <w:pPr>
        <w:pStyle w:val="SingleTxtG"/>
        <w:ind w:firstLine="567"/>
        <w:rPr>
          <w:b/>
          <w:bCs/>
          <w:i/>
          <w:iCs/>
        </w:rPr>
      </w:pPr>
      <w:r>
        <w:rPr>
          <w:i/>
          <w:iCs/>
        </w:rPr>
        <w:t>вновь подтверждая</w:t>
      </w:r>
      <w:r>
        <w:t xml:space="preserve"> свои резолюции 14/5 от 17 июня 2010 года, 18/13 от 29 сентября 2011 года, 24/16 от 27 сентября 2013 года и 33/6 от 29 сентября 2016 года,</w:t>
      </w:r>
    </w:p>
    <w:p w14:paraId="113F300E" w14:textId="77777777" w:rsidR="00B737F0" w:rsidRPr="00054D7F" w:rsidRDefault="00B737F0" w:rsidP="00B737F0">
      <w:pPr>
        <w:pStyle w:val="SingleTxtG"/>
        <w:ind w:firstLine="567"/>
        <w:rPr>
          <w:i/>
        </w:rPr>
      </w:pPr>
      <w:r>
        <w:rPr>
          <w:i/>
          <w:iCs/>
        </w:rPr>
        <w:t>подтверждая</w:t>
      </w:r>
      <w:r>
        <w:t xml:space="preserve"> свою резолюцию 38/18 от 6 июля 2018 года, в которой Совет по правам человека поручил созвать два межсессионных семинара по вопросу о вкладе, который Совет может внести в предотвращение нарушений прав человека,</w:t>
      </w:r>
    </w:p>
    <w:p w14:paraId="402352BE" w14:textId="77777777" w:rsidR="00B737F0" w:rsidRPr="00575BB0" w:rsidRDefault="00B737F0" w:rsidP="00B737F0">
      <w:pPr>
        <w:pStyle w:val="SingleTxtG"/>
        <w:ind w:firstLine="567"/>
        <w:rPr>
          <w:b/>
          <w:bCs/>
          <w:i/>
          <w:iCs/>
        </w:rPr>
      </w:pPr>
      <w:r>
        <w:t>1.</w:t>
      </w:r>
      <w:r>
        <w:tab/>
      </w:r>
      <w:r>
        <w:rPr>
          <w:i/>
          <w:iCs/>
        </w:rPr>
        <w:t>подтверждает</w:t>
      </w:r>
      <w:r>
        <w:t xml:space="preserve"> важность эффективных превентивных мер в качестве составной части общих стратегий по поощрению и защите всех прав человека;</w:t>
      </w:r>
      <w:bookmarkStart w:id="0" w:name="_Hlk18942515"/>
    </w:p>
    <w:bookmarkEnd w:id="0"/>
    <w:p w14:paraId="262A0BB5" w14:textId="77777777" w:rsidR="00B737F0" w:rsidRPr="00054D7F" w:rsidRDefault="00B737F0" w:rsidP="00B737F0">
      <w:pPr>
        <w:pStyle w:val="SingleTxtG"/>
        <w:ind w:firstLine="567"/>
        <w:rPr>
          <w:b/>
          <w:bCs/>
          <w:i/>
          <w:iCs/>
        </w:rPr>
      </w:pPr>
      <w:r>
        <w:t>2.</w:t>
      </w:r>
      <w:r>
        <w:tab/>
      </w:r>
      <w:r>
        <w:rPr>
          <w:i/>
          <w:iCs/>
        </w:rPr>
        <w:t>признает,</w:t>
      </w:r>
      <w:r>
        <w:t xml:space="preserve"> что государства несут главную ответственность за поощрение и защиту всех прав человека, в том числе за предупреждение нарушений прав человека;</w:t>
      </w:r>
    </w:p>
    <w:p w14:paraId="360FD993" w14:textId="77777777" w:rsidR="00B737F0" w:rsidRPr="00054D7F" w:rsidRDefault="00B737F0" w:rsidP="00B737F0">
      <w:pPr>
        <w:pStyle w:val="SingleTxtG"/>
        <w:ind w:firstLine="567"/>
      </w:pPr>
      <w:r>
        <w:t>3.</w:t>
      </w:r>
      <w:r>
        <w:tab/>
      </w:r>
      <w:r>
        <w:rPr>
          <w:i/>
          <w:iCs/>
        </w:rPr>
        <w:t>подчеркивает</w:t>
      </w:r>
      <w:r>
        <w:t>, что государства должны способствовать созданию благоприятных и поддерживающих условий для предупреждения нарушений прав человека, в том числе путем:</w:t>
      </w:r>
    </w:p>
    <w:p w14:paraId="191AA66F" w14:textId="77777777" w:rsidR="00B737F0" w:rsidRPr="00054D7F" w:rsidRDefault="00B737F0" w:rsidP="00B737F0">
      <w:pPr>
        <w:pStyle w:val="SingleTxtG"/>
      </w:pPr>
      <w:r>
        <w:tab/>
      </w:r>
      <w:r>
        <w:tab/>
        <w:t>а)</w:t>
      </w:r>
      <w:r>
        <w:tab/>
        <w:t>изучения возможности ратификации международных конвенций и пактов в области прав человека;</w:t>
      </w:r>
    </w:p>
    <w:p w14:paraId="2E6FB57C" w14:textId="77777777" w:rsidR="00B737F0" w:rsidRPr="00054D7F" w:rsidRDefault="00B737F0" w:rsidP="00B737F0">
      <w:pPr>
        <w:pStyle w:val="SingleTxtG"/>
      </w:pPr>
      <w:r>
        <w:tab/>
      </w:r>
      <w:r>
        <w:tab/>
        <w:t>b)</w:t>
      </w:r>
      <w:r>
        <w:tab/>
        <w:t>осуществления в полном объеме международных конвенций и пактов в области прав человека, участниками которых они являются;</w:t>
      </w:r>
    </w:p>
    <w:p w14:paraId="0E9222A0" w14:textId="77777777" w:rsidR="00B737F0" w:rsidRPr="00054D7F" w:rsidRDefault="00B737F0" w:rsidP="00B737F0">
      <w:pPr>
        <w:pStyle w:val="SingleTxtG"/>
      </w:pPr>
      <w:r>
        <w:tab/>
      </w:r>
      <w:r>
        <w:tab/>
        <w:t>c)</w:t>
      </w:r>
      <w:r>
        <w:tab/>
        <w:t>укрепления и развития благого управления, демократических систем, верховенства права и подотчетности;</w:t>
      </w:r>
    </w:p>
    <w:p w14:paraId="17472008" w14:textId="77777777" w:rsidR="00B737F0" w:rsidRPr="00054D7F" w:rsidRDefault="00B737F0" w:rsidP="00B737F0">
      <w:pPr>
        <w:pStyle w:val="SingleTxtG"/>
      </w:pPr>
      <w:r>
        <w:tab/>
      </w:r>
      <w:r>
        <w:tab/>
        <w:t>d)</w:t>
      </w:r>
      <w:r>
        <w:tab/>
        <w:t>принятия политических мер по обеспечению возможности пользоваться всеми правами человека, включая гражданские, политические, экономические, социальные и культурные права;</w:t>
      </w:r>
    </w:p>
    <w:p w14:paraId="1EA48676" w14:textId="77777777" w:rsidR="00B737F0" w:rsidRPr="00054D7F" w:rsidRDefault="00B737F0" w:rsidP="00B737F0">
      <w:pPr>
        <w:pStyle w:val="SingleTxtG"/>
      </w:pPr>
      <w:r>
        <w:tab/>
      </w:r>
      <w:r>
        <w:tab/>
        <w:t>e)</w:t>
      </w:r>
      <w:r>
        <w:tab/>
        <w:t>устранения всех форм дискриминации, включая расовую дискриминацию;</w:t>
      </w:r>
    </w:p>
    <w:p w14:paraId="28C70F25" w14:textId="77777777" w:rsidR="00B737F0" w:rsidRPr="00054D7F" w:rsidRDefault="00B737F0" w:rsidP="00B737F0">
      <w:pPr>
        <w:pStyle w:val="SingleTxtG"/>
      </w:pPr>
      <w:r>
        <w:tab/>
      </w:r>
      <w:r>
        <w:tab/>
        <w:t>f)</w:t>
      </w:r>
      <w:r>
        <w:tab/>
        <w:t>устранения факторов, в частности неравенства и нищеты, которые могут приводить к ситуациям, в которых совершаются нарушения прав человека;</w:t>
      </w:r>
    </w:p>
    <w:p w14:paraId="779CD3B5" w14:textId="77777777" w:rsidR="00B737F0" w:rsidRPr="00054D7F" w:rsidRDefault="00B737F0" w:rsidP="00B737F0">
      <w:pPr>
        <w:pStyle w:val="SingleTxtG"/>
      </w:pPr>
      <w:r>
        <w:tab/>
      </w:r>
      <w:r>
        <w:tab/>
        <w:t>g)</w:t>
      </w:r>
      <w:r>
        <w:tab/>
        <w:t>поощрения свободного и активного гражданского общества;</w:t>
      </w:r>
    </w:p>
    <w:p w14:paraId="5672BBB7" w14:textId="77777777" w:rsidR="00B737F0" w:rsidRPr="00054D7F" w:rsidRDefault="00B737F0" w:rsidP="00B737F0">
      <w:pPr>
        <w:pStyle w:val="SingleTxtG"/>
      </w:pPr>
      <w:r>
        <w:tab/>
      </w:r>
      <w:r>
        <w:tab/>
        <w:t>h)</w:t>
      </w:r>
      <w:r>
        <w:tab/>
        <w:t>поощрения права на свободу мнений и их свободное выражение;</w:t>
      </w:r>
    </w:p>
    <w:p w14:paraId="0A984A27" w14:textId="77777777" w:rsidR="00B737F0" w:rsidRPr="00054D7F" w:rsidRDefault="00B737F0" w:rsidP="00B737F0">
      <w:pPr>
        <w:pStyle w:val="SingleTxtG"/>
      </w:pPr>
      <w:r>
        <w:tab/>
      </w:r>
      <w:r>
        <w:tab/>
        <w:t>i)</w:t>
      </w:r>
      <w:r>
        <w:tab/>
        <w:t>обеспечения там, где они существуют, сильных и независимых национальных правозащитных учреждений в соответствии с Принципами, касающимися статуса национальных учреждений по поощрению и защите прав человека (Парижскими принципами);</w:t>
      </w:r>
    </w:p>
    <w:p w14:paraId="0F617883" w14:textId="77777777" w:rsidR="00B737F0" w:rsidRPr="00054D7F" w:rsidRDefault="00B737F0" w:rsidP="00B737F0">
      <w:pPr>
        <w:pStyle w:val="SingleTxtG"/>
      </w:pPr>
      <w:r>
        <w:tab/>
      </w:r>
      <w:r>
        <w:tab/>
        <w:t>j)</w:t>
      </w:r>
      <w:r>
        <w:tab/>
        <w:t>поощрения образования и подготовки в области прав человека;</w:t>
      </w:r>
    </w:p>
    <w:p w14:paraId="2958F1DD" w14:textId="77777777" w:rsidR="00B737F0" w:rsidRPr="00054D7F" w:rsidRDefault="00B737F0" w:rsidP="00B737F0">
      <w:pPr>
        <w:pStyle w:val="SingleTxtG"/>
      </w:pPr>
      <w:r>
        <w:tab/>
      </w:r>
      <w:r>
        <w:tab/>
        <w:t>k)</w:t>
      </w:r>
      <w:r>
        <w:tab/>
        <w:t>обеспечения независимой и действенной судебной системы;</w:t>
      </w:r>
    </w:p>
    <w:p w14:paraId="54436E92" w14:textId="77777777" w:rsidR="00B737F0" w:rsidRPr="00054D7F" w:rsidRDefault="00B737F0" w:rsidP="00B737F0">
      <w:pPr>
        <w:pStyle w:val="SingleTxtG"/>
      </w:pPr>
      <w:r>
        <w:tab/>
      </w:r>
      <w:r>
        <w:tab/>
        <w:t>l)</w:t>
      </w:r>
      <w:r>
        <w:tab/>
        <w:t>борьбы с коррупцией;</w:t>
      </w:r>
    </w:p>
    <w:p w14:paraId="39F5B53A" w14:textId="77777777" w:rsidR="00B737F0" w:rsidRPr="00054D7F" w:rsidRDefault="00B737F0" w:rsidP="00B737F0">
      <w:pPr>
        <w:pStyle w:val="SingleTxtG"/>
        <w:rPr>
          <w:b/>
          <w:bCs/>
          <w:i/>
          <w:iCs/>
        </w:rPr>
      </w:pPr>
      <w:r>
        <w:tab/>
      </w:r>
      <w:r>
        <w:tab/>
        <w:t>4.</w:t>
      </w:r>
      <w:r>
        <w:tab/>
      </w:r>
      <w:r>
        <w:rPr>
          <w:i/>
          <w:iCs/>
        </w:rPr>
        <w:t>приветствует</w:t>
      </w:r>
      <w:r>
        <w:t xml:space="preserve"> роль национальных правозащитных учреждений в предупреждении нарушений прав человека и призывает государства укреплять мандат и потенциал национальных правозащитных учреждений там, где они существуют, в той мере, в которой это необходимо для обеспечения того, чтобы они могли эффективно выполнять эту роль в соответствии с Принципами, касающимися статуса национальных учреждений по поощрению и защите прав человека (Парижскими принципами); </w:t>
      </w:r>
    </w:p>
    <w:p w14:paraId="223631E9" w14:textId="77777777" w:rsidR="00B737F0" w:rsidRPr="00054D7F" w:rsidRDefault="00B737F0" w:rsidP="00B737F0">
      <w:pPr>
        <w:pStyle w:val="SingleTxtG"/>
        <w:ind w:firstLine="567"/>
        <w:rPr>
          <w:b/>
          <w:bCs/>
          <w:i/>
          <w:iCs/>
        </w:rPr>
      </w:pPr>
      <w:r>
        <w:t>5.</w:t>
      </w:r>
      <w:r>
        <w:tab/>
      </w:r>
      <w:r>
        <w:rPr>
          <w:i/>
          <w:iCs/>
        </w:rPr>
        <w:t xml:space="preserve">продолжает </w:t>
      </w:r>
      <w:r>
        <w:t xml:space="preserve">предлагать национальным правозащитным учреждениям рассмотреть возможность обсуждения вопроса, касающегося роли предупреждения в поощрении и защите прав человека, в рамках соответствующих международных и региональных форумов; </w:t>
      </w:r>
    </w:p>
    <w:p w14:paraId="14258832" w14:textId="77777777" w:rsidR="00B737F0" w:rsidRPr="00054D7F" w:rsidRDefault="00B737F0" w:rsidP="00B737F0">
      <w:pPr>
        <w:pStyle w:val="SingleTxtG"/>
        <w:ind w:firstLine="567"/>
        <w:rPr>
          <w:b/>
          <w:bCs/>
          <w:i/>
          <w:iCs/>
        </w:rPr>
      </w:pPr>
      <w:r>
        <w:t>6.</w:t>
      </w:r>
      <w:r>
        <w:tab/>
      </w:r>
      <w:r>
        <w:rPr>
          <w:i/>
          <w:iCs/>
        </w:rPr>
        <w:t>приветствует</w:t>
      </w:r>
      <w:r>
        <w:t xml:space="preserve"> роль гражданского общества в деле содействия поощрению прав человека и предупреждению нарушений прав человека; </w:t>
      </w:r>
    </w:p>
    <w:p w14:paraId="7EE6A3C0" w14:textId="77777777" w:rsidR="00B737F0" w:rsidRPr="00054D7F" w:rsidRDefault="00B737F0" w:rsidP="00B737F0">
      <w:pPr>
        <w:pStyle w:val="SingleTxtG"/>
        <w:ind w:firstLine="567"/>
        <w:rPr>
          <w:b/>
          <w:bCs/>
          <w:i/>
          <w:iCs/>
        </w:rPr>
      </w:pPr>
      <w:r>
        <w:t>7.</w:t>
      </w:r>
      <w:r>
        <w:tab/>
      </w:r>
      <w:r>
        <w:rPr>
          <w:i/>
          <w:iCs/>
        </w:rPr>
        <w:t>признает</w:t>
      </w:r>
      <w:r>
        <w:t xml:space="preserve">, что в своей резолюции 60/251 Генеральная Ассамблея постановила, что Совет по правам человека должен, в частности, содействовать посредством диалога и сотрудничества предупреждению нарушений прав человека и быстро реагировать на чрезвычайные ситуации в области прав человека; </w:t>
      </w:r>
    </w:p>
    <w:p w14:paraId="712508CA" w14:textId="77777777" w:rsidR="00B737F0" w:rsidRPr="00054D7F" w:rsidRDefault="00B737F0" w:rsidP="00B737F0">
      <w:pPr>
        <w:pStyle w:val="SingleTxtG"/>
        <w:ind w:firstLine="567"/>
      </w:pPr>
      <w:r>
        <w:t>8.</w:t>
      </w:r>
      <w:r>
        <w:tab/>
      </w:r>
      <w:r>
        <w:rPr>
          <w:i/>
          <w:iCs/>
        </w:rPr>
        <w:t>признает также</w:t>
      </w:r>
      <w:r>
        <w:t xml:space="preserve"> важное значение универсального периодического обзора в качестве механизма сотрудничества Совета по правам человека, направленного, в частности, на улучшение положения в области прав человека на местах и выполнение обязательств и обязанностей государства в области прав человека на основе принципа поощрения универсальности, взаимозависимости, неделимости и взаимосвязанности всех прав человека; </w:t>
      </w:r>
    </w:p>
    <w:p w14:paraId="34CF19F4" w14:textId="77777777" w:rsidR="00B737F0" w:rsidRPr="00054D7F" w:rsidRDefault="00B737F0" w:rsidP="00B737F0">
      <w:pPr>
        <w:pStyle w:val="SingleTxtG"/>
        <w:ind w:firstLine="567"/>
      </w:pPr>
      <w:r>
        <w:t>9.</w:t>
      </w:r>
      <w:r>
        <w:tab/>
      </w:r>
      <w:r>
        <w:rPr>
          <w:i/>
          <w:iCs/>
        </w:rPr>
        <w:t>признает далее</w:t>
      </w:r>
      <w:r>
        <w:t>, что техническая помощь и укрепление потенциала в области прав человека могут способствовать предупреждению нарушений и ущемлений прав человека;</w:t>
      </w:r>
    </w:p>
    <w:p w14:paraId="08238720" w14:textId="77777777" w:rsidR="00B737F0" w:rsidRPr="00054D7F" w:rsidRDefault="00B737F0" w:rsidP="00B737F0">
      <w:pPr>
        <w:pStyle w:val="SingleTxtG"/>
        <w:ind w:firstLine="567"/>
      </w:pPr>
      <w:r>
        <w:t>10.</w:t>
      </w:r>
      <w:r>
        <w:tab/>
      </w:r>
      <w:r>
        <w:rPr>
          <w:i/>
          <w:iCs/>
        </w:rPr>
        <w:t xml:space="preserve">признает </w:t>
      </w:r>
      <w:r>
        <w:t>особую важность роли, которую играет система специальных процедур в качестве инструмента предупреждения нарушений и ущемлений прав человека, в частности путем мониторинга, представления докладов и/или вынесения рекомендаций государствам и другим заинтересованным сторонам, и подтверждает важность сохранения независимости специальных процедур в соответствии с резолюцией 5/2 Совета по правам человека;</w:t>
      </w:r>
    </w:p>
    <w:p w14:paraId="5603962A" w14:textId="77777777" w:rsidR="00B737F0" w:rsidRPr="00054D7F" w:rsidRDefault="00B737F0" w:rsidP="00B737F0">
      <w:pPr>
        <w:pStyle w:val="SingleTxtG"/>
        <w:ind w:firstLine="567"/>
        <w:rPr>
          <w:b/>
          <w:bCs/>
          <w:i/>
          <w:iCs/>
        </w:rPr>
      </w:pPr>
      <w:r>
        <w:t>11.</w:t>
      </w:r>
      <w:r>
        <w:tab/>
      </w:r>
      <w:r>
        <w:rPr>
          <w:i/>
          <w:iCs/>
        </w:rPr>
        <w:t xml:space="preserve">предлагает </w:t>
      </w:r>
      <w:r>
        <w:t xml:space="preserve">специальным процедурам в соответствии со своими мандатами продолжать выявлять и включать практические подходы к предотвращению нарушений и ущемлений прав человека в свои оценки и рекомендации и изучать дальнейшие пути содействия укреплению сотрудничества между субъектами Организации Объединенных Наций в целях более эффективного выполнения превентивного мандата системы Организации Объединенных Наций; </w:t>
      </w:r>
    </w:p>
    <w:p w14:paraId="62A4A44B" w14:textId="77777777" w:rsidR="00B737F0" w:rsidRPr="00054D7F" w:rsidRDefault="00B737F0" w:rsidP="00B737F0">
      <w:pPr>
        <w:pStyle w:val="SingleTxtG"/>
        <w:ind w:firstLine="567"/>
        <w:rPr>
          <w:b/>
          <w:bCs/>
          <w:i/>
          <w:iCs/>
        </w:rPr>
      </w:pPr>
      <w:r>
        <w:t>12.</w:t>
      </w:r>
      <w:r>
        <w:tab/>
      </w:r>
      <w:r>
        <w:rPr>
          <w:i/>
          <w:iCs/>
        </w:rPr>
        <w:t>подчеркивает</w:t>
      </w:r>
      <w:r>
        <w:t xml:space="preserve"> необходимость дальнейшей разработки концепции предупреждения нарушений прав человека и активизации усилий по повышению осведомленности о роли предупреждения в поощрении и защите прав человека с целью содействия ее отражению в соответствующих политических мерах и стратегиях на национальном, региональном и международном уровнях;</w:t>
      </w:r>
    </w:p>
    <w:p w14:paraId="613FC5AF" w14:textId="77777777" w:rsidR="00B737F0" w:rsidRPr="00054D7F" w:rsidRDefault="00B737F0" w:rsidP="00B737F0">
      <w:pPr>
        <w:pStyle w:val="SingleTxtG"/>
        <w:ind w:firstLine="567"/>
        <w:rPr>
          <w:b/>
          <w:bCs/>
          <w:i/>
          <w:iCs/>
        </w:rPr>
      </w:pPr>
      <w:r>
        <w:t>13.</w:t>
      </w:r>
      <w:r>
        <w:tab/>
      </w:r>
      <w:r>
        <w:rPr>
          <w:i/>
          <w:iCs/>
        </w:rPr>
        <w:t>признает</w:t>
      </w:r>
      <w:r>
        <w:t xml:space="preserve"> необходимость проведения дальнейших исследований с целью оказания помощи государствам, по их запросу, и другим заинтересованным сторонам в обеспечении понимания и актуализации роли предупреждения в поощрении и защите прав человека;</w:t>
      </w:r>
    </w:p>
    <w:p w14:paraId="668FAEC0" w14:textId="77777777" w:rsidR="00B737F0" w:rsidRPr="00054D7F" w:rsidRDefault="00B737F0" w:rsidP="00B737F0">
      <w:pPr>
        <w:pStyle w:val="SingleTxtG"/>
        <w:ind w:firstLine="567"/>
        <w:rPr>
          <w:b/>
          <w:bCs/>
          <w:i/>
          <w:iCs/>
        </w:rPr>
      </w:pPr>
      <w:r>
        <w:t>14.</w:t>
      </w:r>
      <w:r>
        <w:tab/>
      </w:r>
      <w:r>
        <w:rPr>
          <w:i/>
          <w:iCs/>
        </w:rPr>
        <w:t>продолжает</w:t>
      </w:r>
      <w:r>
        <w:t xml:space="preserve"> призывать Верховного комиссара Организации Объединенных Наций по правам человека на основе консультаций с государствами, соответствующими региональными организациями, национальными правозащитными учреждениями и другими соответствующими заинтересованными сторонами информировать Совет по правам человека на регулярной основе о практической реализации роли предупреждения в поощрении и защите прав человека;</w:t>
      </w:r>
    </w:p>
    <w:p w14:paraId="312FF655" w14:textId="77777777" w:rsidR="00B737F0" w:rsidRPr="00054D7F" w:rsidRDefault="00B737F0" w:rsidP="00B737F0">
      <w:pPr>
        <w:pStyle w:val="SingleTxtG"/>
        <w:ind w:firstLine="567"/>
        <w:rPr>
          <w:b/>
          <w:bCs/>
          <w:i/>
          <w:iCs/>
        </w:rPr>
      </w:pPr>
      <w:r>
        <w:t>15.</w:t>
      </w:r>
      <w:r>
        <w:tab/>
      </w:r>
      <w:r w:rsidRPr="007B265B">
        <w:rPr>
          <w:i/>
        </w:rPr>
        <w:t>приветствует</w:t>
      </w:r>
      <w:r>
        <w:t xml:space="preserve"> представленный Совету на его тридцать девятой сессии краткий доклад Управления Верховного комиссара о работе рабочего совещания экспертов по вопросу о роли и вкладе организаций гражданского общества, научных кругов, национальных правозащитных учреждений и других соответствующих заинтересованных сторон в предупреждение нарушений прав человека</w:t>
      </w:r>
      <w:r>
        <w:rPr>
          <w:rStyle w:val="aa"/>
        </w:rPr>
        <w:footnoteReference w:id="2"/>
      </w:r>
      <w:r>
        <w:t xml:space="preserve"> и содержащиеся в нем выводы и рекомендации;</w:t>
      </w:r>
    </w:p>
    <w:p w14:paraId="1809FB04" w14:textId="77777777" w:rsidR="00B737F0" w:rsidRPr="00054D7F" w:rsidRDefault="00B737F0" w:rsidP="00B737F0">
      <w:pPr>
        <w:pStyle w:val="SingleTxtG"/>
        <w:ind w:firstLine="567"/>
        <w:rPr>
          <w:b/>
          <w:bCs/>
          <w:i/>
          <w:iCs/>
        </w:rPr>
      </w:pPr>
      <w:r>
        <w:t>16.</w:t>
      </w:r>
      <w:r>
        <w:tab/>
      </w:r>
      <w:r w:rsidRPr="003F1DC2">
        <w:rPr>
          <w:i/>
          <w:iCs/>
        </w:rPr>
        <w:t>подтверждает</w:t>
      </w:r>
      <w:r>
        <w:t>, что на государствах лежит главная ответственность за укрепление институтов правового государства и обеспечение эффективной базы для всех превентивных усилий, в том числе со стороны субъектов гражданского общества, научных кругов и национальных правозащитных учреждений, в осуществлении ими своих функций, связанных с мониторингом, отчетностью и информационно-разъяснительной деятельностью;</w:t>
      </w:r>
      <w:bookmarkStart w:id="1" w:name="_GoBack"/>
      <w:bookmarkEnd w:id="1"/>
    </w:p>
    <w:p w14:paraId="51EF7DA7" w14:textId="77777777" w:rsidR="00B737F0" w:rsidRPr="00054D7F" w:rsidRDefault="00B737F0" w:rsidP="00B737F0">
      <w:pPr>
        <w:pStyle w:val="SingleTxtG"/>
        <w:ind w:firstLine="567"/>
      </w:pPr>
      <w:r>
        <w:t>17.</w:t>
      </w:r>
      <w:r>
        <w:tab/>
      </w:r>
      <w:r>
        <w:rPr>
          <w:i/>
          <w:iCs/>
        </w:rPr>
        <w:t>просит</w:t>
      </w:r>
      <w:r>
        <w:t xml:space="preserve"> Управление Верховного комиссара подготовить для представления Совету по правам человека на его сорок пятой сессии исследование о вкладе специальных процедур в оказание помощи государствам и другим заинтересованным сторонам в предотвращении нарушений и ущемлений прав человека;</w:t>
      </w:r>
    </w:p>
    <w:p w14:paraId="6BB44828" w14:textId="77777777" w:rsidR="00B737F0" w:rsidRPr="00054D7F" w:rsidRDefault="00B737F0" w:rsidP="00B737F0">
      <w:pPr>
        <w:pStyle w:val="SingleTxtG"/>
        <w:ind w:firstLine="567"/>
        <w:rPr>
          <w:b/>
          <w:bCs/>
          <w:i/>
          <w:iCs/>
        </w:rPr>
      </w:pPr>
      <w:r>
        <w:t>18.</w:t>
      </w:r>
      <w:r>
        <w:tab/>
      </w:r>
      <w:r>
        <w:rPr>
          <w:i/>
          <w:iCs/>
        </w:rPr>
        <w:t>призывает</w:t>
      </w:r>
      <w:r>
        <w:t xml:space="preserve"> Управление Верховного комиссара продолжать сбор информации и проведение исследований для дальнейшей подготовки практического руководства в целях оказания государствам и другим заинтересованным сторонам поддержки в практической реализации роли предупреждения в поощрении и защите прав человека;</w:t>
      </w:r>
    </w:p>
    <w:p w14:paraId="7E411439" w14:textId="77777777" w:rsidR="00B737F0" w:rsidRPr="00054D7F" w:rsidRDefault="00B737F0" w:rsidP="00B737F0">
      <w:pPr>
        <w:pStyle w:val="SingleTxtG"/>
        <w:ind w:firstLine="567"/>
      </w:pPr>
      <w:r>
        <w:t>19.</w:t>
      </w:r>
      <w:r>
        <w:tab/>
      </w:r>
      <w:r>
        <w:rPr>
          <w:i/>
          <w:iCs/>
        </w:rPr>
        <w:t xml:space="preserve">постановляет </w:t>
      </w:r>
      <w:r>
        <w:t>продолжить рассмотрение данного вопроса в рамках этого же пункта повестки дня в соответствии со своей годовой программой работы.</w:t>
      </w:r>
    </w:p>
    <w:p w14:paraId="21B1CBEA" w14:textId="77777777" w:rsidR="00B737F0" w:rsidRPr="00054D7F" w:rsidRDefault="00B737F0" w:rsidP="00B737F0">
      <w:pPr>
        <w:spacing w:before="240"/>
        <w:ind w:left="1134" w:right="1134"/>
        <w:jc w:val="center"/>
        <w:rPr>
          <w:u w:val="single"/>
        </w:rPr>
      </w:pPr>
      <w:r w:rsidRPr="00054D7F">
        <w:rPr>
          <w:u w:val="single"/>
        </w:rPr>
        <w:tab/>
      </w:r>
      <w:r w:rsidRPr="00054D7F">
        <w:rPr>
          <w:u w:val="single"/>
        </w:rPr>
        <w:tab/>
      </w:r>
      <w:r w:rsidRPr="00054D7F">
        <w:rPr>
          <w:u w:val="single"/>
        </w:rPr>
        <w:tab/>
      </w:r>
      <w:r w:rsidRPr="00054D7F">
        <w:rPr>
          <w:u w:val="single"/>
        </w:rPr>
        <w:tab/>
      </w:r>
    </w:p>
    <w:p w14:paraId="3CE89791" w14:textId="77777777" w:rsidR="00CB0692" w:rsidRPr="00B737F0" w:rsidRDefault="00CB0692" w:rsidP="002E5067"/>
    <w:sectPr w:rsidR="00CB0692" w:rsidRPr="00B737F0" w:rsidSect="00B737F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DBCFF" w14:textId="77777777" w:rsidR="00435D9C" w:rsidRPr="00A312BC" w:rsidRDefault="00435D9C" w:rsidP="00A312BC"/>
  </w:endnote>
  <w:endnote w:type="continuationSeparator" w:id="0">
    <w:p w14:paraId="3CB0E76A" w14:textId="77777777" w:rsidR="00435D9C" w:rsidRPr="00A312BC" w:rsidRDefault="00435D9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CFB68" w14:textId="27199570" w:rsidR="00B737F0" w:rsidRPr="00B737F0" w:rsidRDefault="00B737F0">
    <w:pPr>
      <w:pStyle w:val="a8"/>
    </w:pPr>
    <w:r w:rsidRPr="00B737F0">
      <w:rPr>
        <w:b/>
        <w:sz w:val="18"/>
      </w:rPr>
      <w:fldChar w:fldCharType="begin"/>
    </w:r>
    <w:r w:rsidRPr="00B737F0">
      <w:rPr>
        <w:b/>
        <w:sz w:val="18"/>
      </w:rPr>
      <w:instrText xml:space="preserve"> PAGE  \* MERGEFORMAT </w:instrText>
    </w:r>
    <w:r w:rsidRPr="00B737F0">
      <w:rPr>
        <w:b/>
        <w:sz w:val="18"/>
      </w:rPr>
      <w:fldChar w:fldCharType="separate"/>
    </w:r>
    <w:r w:rsidR="001B4DCF">
      <w:rPr>
        <w:b/>
        <w:noProof/>
        <w:sz w:val="18"/>
      </w:rPr>
      <w:t>2</w:t>
    </w:r>
    <w:r w:rsidRPr="00B737F0">
      <w:rPr>
        <w:b/>
        <w:sz w:val="18"/>
      </w:rPr>
      <w:fldChar w:fldCharType="end"/>
    </w:r>
    <w:r>
      <w:rPr>
        <w:b/>
        <w:sz w:val="18"/>
      </w:rPr>
      <w:tab/>
    </w:r>
    <w:r>
      <w:t>GE.19-15997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4F6F2" w14:textId="2A8DFD09" w:rsidR="00B737F0" w:rsidRPr="00B737F0" w:rsidRDefault="00B737F0" w:rsidP="00B737F0">
    <w:pPr>
      <w:pStyle w:val="a8"/>
      <w:tabs>
        <w:tab w:val="clear" w:pos="9639"/>
        <w:tab w:val="right" w:pos="9638"/>
      </w:tabs>
      <w:rPr>
        <w:b/>
        <w:sz w:val="18"/>
      </w:rPr>
    </w:pPr>
    <w:r>
      <w:t>GE.19-15997</w:t>
    </w:r>
    <w:r>
      <w:tab/>
    </w:r>
    <w:r w:rsidRPr="00B737F0">
      <w:rPr>
        <w:b/>
        <w:sz w:val="18"/>
      </w:rPr>
      <w:fldChar w:fldCharType="begin"/>
    </w:r>
    <w:r w:rsidRPr="00B737F0">
      <w:rPr>
        <w:b/>
        <w:sz w:val="18"/>
      </w:rPr>
      <w:instrText xml:space="preserve"> PAGE  \* MERGEFORMAT </w:instrText>
    </w:r>
    <w:r w:rsidRPr="00B737F0">
      <w:rPr>
        <w:b/>
        <w:sz w:val="18"/>
      </w:rPr>
      <w:fldChar w:fldCharType="separate"/>
    </w:r>
    <w:r w:rsidR="001B4DCF">
      <w:rPr>
        <w:b/>
        <w:noProof/>
        <w:sz w:val="18"/>
      </w:rPr>
      <w:t>3</w:t>
    </w:r>
    <w:r w:rsidRPr="00B737F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2E32A" w14:textId="77777777" w:rsidR="00042B72" w:rsidRPr="00B737F0" w:rsidRDefault="00B737F0" w:rsidP="00B737F0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06D2B720" wp14:editId="5CC7FA2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15997  (</w:t>
    </w:r>
    <w:proofErr w:type="gramEnd"/>
    <w:r>
      <w:t>R)  200919  200919</w:t>
    </w:r>
    <w:r>
      <w:br/>
    </w:r>
    <w:r w:rsidRPr="00B737F0">
      <w:rPr>
        <w:rFonts w:ascii="C39T30Lfz" w:hAnsi="C39T30Lfz"/>
        <w:kern w:val="14"/>
        <w:sz w:val="56"/>
      </w:rPr>
      <w:t></w:t>
    </w:r>
    <w:r w:rsidRPr="00B737F0">
      <w:rPr>
        <w:rFonts w:ascii="C39T30Lfz" w:hAnsi="C39T30Lfz"/>
        <w:kern w:val="14"/>
        <w:sz w:val="56"/>
      </w:rPr>
      <w:t></w:t>
    </w:r>
    <w:r w:rsidRPr="00B737F0">
      <w:rPr>
        <w:rFonts w:ascii="C39T30Lfz" w:hAnsi="C39T30Lfz"/>
        <w:kern w:val="14"/>
        <w:sz w:val="56"/>
      </w:rPr>
      <w:t></w:t>
    </w:r>
    <w:r w:rsidRPr="00B737F0">
      <w:rPr>
        <w:rFonts w:ascii="C39T30Lfz" w:hAnsi="C39T30Lfz"/>
        <w:kern w:val="14"/>
        <w:sz w:val="56"/>
      </w:rPr>
      <w:t></w:t>
    </w:r>
    <w:r w:rsidRPr="00B737F0">
      <w:rPr>
        <w:rFonts w:ascii="C39T30Lfz" w:hAnsi="C39T30Lfz"/>
        <w:kern w:val="14"/>
        <w:sz w:val="56"/>
      </w:rPr>
      <w:t></w:t>
    </w:r>
    <w:r w:rsidRPr="00B737F0">
      <w:rPr>
        <w:rFonts w:ascii="C39T30Lfz" w:hAnsi="C39T30Lfz"/>
        <w:kern w:val="14"/>
        <w:sz w:val="56"/>
      </w:rPr>
      <w:t></w:t>
    </w:r>
    <w:r w:rsidRPr="00B737F0">
      <w:rPr>
        <w:rFonts w:ascii="C39T30Lfz" w:hAnsi="C39T30Lfz"/>
        <w:kern w:val="14"/>
        <w:sz w:val="56"/>
      </w:rPr>
      <w:t></w:t>
    </w:r>
    <w:r w:rsidRPr="00B737F0">
      <w:rPr>
        <w:rFonts w:ascii="C39T30Lfz" w:hAnsi="C39T30Lfz"/>
        <w:kern w:val="14"/>
        <w:sz w:val="56"/>
      </w:rPr>
      <w:t></w:t>
    </w:r>
    <w:r w:rsidRPr="00B737F0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70DE5CD" wp14:editId="3B3591B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A/HRC/42/L.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42/L.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04924" w14:textId="77777777" w:rsidR="00435D9C" w:rsidRPr="001075E9" w:rsidRDefault="00435D9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3B9E52A" w14:textId="77777777" w:rsidR="00435D9C" w:rsidRDefault="00435D9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123BB5A" w14:textId="77777777" w:rsidR="00B737F0" w:rsidRPr="00054D7F" w:rsidRDefault="00B737F0" w:rsidP="00B737F0">
      <w:pPr>
        <w:pStyle w:val="ad"/>
      </w:pPr>
      <w:r>
        <w:tab/>
      </w:r>
      <w:r w:rsidRPr="00B737F0">
        <w:rPr>
          <w:sz w:val="20"/>
        </w:rPr>
        <w:t>*</w:t>
      </w:r>
      <w:r>
        <w:tab/>
        <w:t>Государство, не являющееся членом Совета по правам человека.</w:t>
      </w:r>
    </w:p>
  </w:footnote>
  <w:footnote w:id="2">
    <w:p w14:paraId="22D72312" w14:textId="77777777" w:rsidR="00B737F0" w:rsidRPr="00DE4398" w:rsidRDefault="00B737F0" w:rsidP="00B737F0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  <w:t>A/HRC/39/24.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CE7C0" w14:textId="0B2601BA" w:rsidR="00B737F0" w:rsidRPr="00B737F0" w:rsidRDefault="001B4DCF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A/HRC/42/L.2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A49FA" w14:textId="0DECA5A1" w:rsidR="00B737F0" w:rsidRPr="00B737F0" w:rsidRDefault="001B4DCF" w:rsidP="00B737F0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A/HRC/42/L.2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9C"/>
    <w:rsid w:val="00033EE1"/>
    <w:rsid w:val="00040272"/>
    <w:rsid w:val="00041EA6"/>
    <w:rsid w:val="00042B72"/>
    <w:rsid w:val="000558BD"/>
    <w:rsid w:val="00076EE5"/>
    <w:rsid w:val="000842B4"/>
    <w:rsid w:val="000B57E7"/>
    <w:rsid w:val="000B6373"/>
    <w:rsid w:val="000F09DF"/>
    <w:rsid w:val="000F61B2"/>
    <w:rsid w:val="001075E9"/>
    <w:rsid w:val="0015567B"/>
    <w:rsid w:val="00180183"/>
    <w:rsid w:val="0018024D"/>
    <w:rsid w:val="0018649F"/>
    <w:rsid w:val="00196389"/>
    <w:rsid w:val="001B3EF6"/>
    <w:rsid w:val="001B4DCF"/>
    <w:rsid w:val="001C7A89"/>
    <w:rsid w:val="002501D7"/>
    <w:rsid w:val="00294C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35D9C"/>
    <w:rsid w:val="00452493"/>
    <w:rsid w:val="00454E07"/>
    <w:rsid w:val="00472C5C"/>
    <w:rsid w:val="00477FD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7174F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21D6F"/>
    <w:rsid w:val="00757357"/>
    <w:rsid w:val="00782C09"/>
    <w:rsid w:val="007B265B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A01942"/>
    <w:rsid w:val="00A10122"/>
    <w:rsid w:val="00A312BC"/>
    <w:rsid w:val="00A84021"/>
    <w:rsid w:val="00A84D35"/>
    <w:rsid w:val="00A917B3"/>
    <w:rsid w:val="00AB4B51"/>
    <w:rsid w:val="00B10CC7"/>
    <w:rsid w:val="00B25BD7"/>
    <w:rsid w:val="00B539E7"/>
    <w:rsid w:val="00B62458"/>
    <w:rsid w:val="00B737F0"/>
    <w:rsid w:val="00BC18B2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71178"/>
    <w:rsid w:val="00D90028"/>
    <w:rsid w:val="00D90138"/>
    <w:rsid w:val="00DC2121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D71333"/>
  <w15:docId w15:val="{D2C8D18D-6B06-452B-95CE-30916EA1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4</Pages>
  <Words>1211</Words>
  <Characters>8591</Characters>
  <Application>Microsoft Office Word</Application>
  <DocSecurity>0</DocSecurity>
  <Lines>178</Lines>
  <Paragraphs>77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A/HRC/42/L.2</vt:lpstr>
      <vt:lpstr>A/</vt:lpstr>
      <vt:lpstr>A/</vt:lpstr>
      <vt:lpstr>A/</vt:lpstr>
    </vt:vector>
  </TitlesOfParts>
  <Company>DCM</Company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A/HRC/42/L.2</dc:title>
  <dc:subject/>
  <dc:creator>Svetlana PROKOUDINA</dc:creator>
  <cp:keywords/>
  <cp:lastModifiedBy>Ekaterina Salynskaya</cp:lastModifiedBy>
  <cp:revision>3</cp:revision>
  <cp:lastPrinted>2019-09-20T14:10:00Z</cp:lastPrinted>
  <dcterms:created xsi:type="dcterms:W3CDTF">2019-09-20T14:10:00Z</dcterms:created>
  <dcterms:modified xsi:type="dcterms:W3CDTF">2019-09-20T14:11:00Z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