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BDC6631" w14:textId="77777777" w:rsidTr="00EE27C3">
        <w:trPr>
          <w:trHeight w:hRule="exact" w:val="851"/>
        </w:trPr>
        <w:tc>
          <w:tcPr>
            <w:tcW w:w="1280" w:type="dxa"/>
            <w:tcBorders>
              <w:bottom w:val="single" w:sz="4" w:space="0" w:color="auto"/>
            </w:tcBorders>
          </w:tcPr>
          <w:p w14:paraId="7D9B64A4" w14:textId="77777777" w:rsidR="002D5AAC" w:rsidRDefault="002D5AAC" w:rsidP="00EE27C3">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4D70E29C"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EB25E66" w14:textId="77777777" w:rsidR="002D5AAC" w:rsidRDefault="00EE27C3" w:rsidP="00EE27C3">
            <w:pPr>
              <w:jc w:val="right"/>
            </w:pPr>
            <w:r w:rsidRPr="00EE27C3">
              <w:rPr>
                <w:sz w:val="40"/>
              </w:rPr>
              <w:t>A</w:t>
            </w:r>
            <w:r>
              <w:t>/HRC/42/L.1</w:t>
            </w:r>
          </w:p>
        </w:tc>
      </w:tr>
      <w:tr w:rsidR="002D5AAC" w14:paraId="655D1F2B" w14:textId="77777777" w:rsidTr="00EE27C3">
        <w:trPr>
          <w:trHeight w:hRule="exact" w:val="2835"/>
        </w:trPr>
        <w:tc>
          <w:tcPr>
            <w:tcW w:w="1280" w:type="dxa"/>
            <w:tcBorders>
              <w:top w:val="single" w:sz="4" w:space="0" w:color="auto"/>
              <w:bottom w:val="single" w:sz="12" w:space="0" w:color="auto"/>
            </w:tcBorders>
          </w:tcPr>
          <w:p w14:paraId="71493872" w14:textId="77777777" w:rsidR="002D5AAC" w:rsidRDefault="002E5067" w:rsidP="0008244E">
            <w:pPr>
              <w:spacing w:before="120"/>
              <w:jc w:val="center"/>
            </w:pPr>
            <w:r>
              <w:rPr>
                <w:noProof/>
              </w:rPr>
              <w:drawing>
                <wp:inline distT="0" distB="0" distL="0" distR="0" wp14:anchorId="32A37449" wp14:editId="43B0D88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10754AB"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3147E349" w14:textId="77777777" w:rsidR="002D5AAC" w:rsidRDefault="00EE27C3" w:rsidP="0008244E">
            <w:pPr>
              <w:spacing w:before="240"/>
            </w:pPr>
            <w:r>
              <w:t>Distr. limitada</w:t>
            </w:r>
          </w:p>
          <w:p w14:paraId="2DE74615" w14:textId="77777777" w:rsidR="00EE27C3" w:rsidRDefault="00EE27C3" w:rsidP="00EE27C3">
            <w:pPr>
              <w:spacing w:line="240" w:lineRule="exact"/>
            </w:pPr>
            <w:r>
              <w:t>20 de septiembre de 2019</w:t>
            </w:r>
          </w:p>
          <w:p w14:paraId="1C784FF3" w14:textId="77777777" w:rsidR="00EE27C3" w:rsidRDefault="00EE27C3" w:rsidP="00EE27C3">
            <w:pPr>
              <w:spacing w:line="240" w:lineRule="exact"/>
            </w:pPr>
            <w:r>
              <w:t>Español</w:t>
            </w:r>
          </w:p>
          <w:p w14:paraId="4E9FD938" w14:textId="77777777" w:rsidR="00EE27C3" w:rsidRDefault="00EE27C3" w:rsidP="00EE27C3">
            <w:pPr>
              <w:spacing w:line="240" w:lineRule="exact"/>
            </w:pPr>
            <w:r>
              <w:t>Original: inglés</w:t>
            </w:r>
          </w:p>
        </w:tc>
      </w:tr>
    </w:tbl>
    <w:p w14:paraId="4081AF0E" w14:textId="77777777" w:rsidR="00EE27C3" w:rsidRPr="00EE27C3" w:rsidRDefault="00EE27C3" w:rsidP="00EE27C3">
      <w:pPr>
        <w:spacing w:before="120"/>
        <w:rPr>
          <w:b/>
          <w:sz w:val="24"/>
          <w:lang w:val="es-ES_tradnl"/>
        </w:rPr>
      </w:pPr>
      <w:r w:rsidRPr="00EE27C3">
        <w:rPr>
          <w:b/>
          <w:sz w:val="24"/>
          <w:lang w:val="es-ES_tradnl"/>
        </w:rPr>
        <w:t>Consejo de Derechos Humanos</w:t>
      </w:r>
    </w:p>
    <w:p w14:paraId="4A257E48" w14:textId="77777777" w:rsidR="00EE27C3" w:rsidRPr="00EE27C3" w:rsidRDefault="00EE27C3" w:rsidP="00EE27C3">
      <w:pPr>
        <w:rPr>
          <w:b/>
          <w:lang w:val="es-ES_tradnl"/>
        </w:rPr>
      </w:pPr>
      <w:r w:rsidRPr="00EE27C3">
        <w:rPr>
          <w:b/>
          <w:lang w:val="es-ES_tradnl"/>
        </w:rPr>
        <w:t>42º período de sesiones</w:t>
      </w:r>
    </w:p>
    <w:p w14:paraId="1B6A73F7" w14:textId="77777777" w:rsidR="00EE27C3" w:rsidRPr="00EE27C3" w:rsidRDefault="00EE27C3" w:rsidP="00EE27C3">
      <w:pPr>
        <w:rPr>
          <w:lang w:val="es-ES_tradnl"/>
        </w:rPr>
      </w:pPr>
      <w:r w:rsidRPr="00EE27C3">
        <w:rPr>
          <w:lang w:val="es-ES_tradnl"/>
        </w:rPr>
        <w:t>9 a 27 de septiembre de 2019</w:t>
      </w:r>
    </w:p>
    <w:p w14:paraId="5DEF7C1B" w14:textId="77777777" w:rsidR="00EE27C3" w:rsidRPr="00EE27C3" w:rsidRDefault="00EE27C3" w:rsidP="00EE27C3">
      <w:pPr>
        <w:rPr>
          <w:lang w:val="es-ES_tradnl"/>
        </w:rPr>
      </w:pPr>
      <w:r w:rsidRPr="00EE27C3">
        <w:rPr>
          <w:lang w:val="es-ES_tradnl"/>
        </w:rPr>
        <w:t>Tema 3 de la agenda</w:t>
      </w:r>
    </w:p>
    <w:p w14:paraId="47790C8C" w14:textId="77777777" w:rsidR="00EE27C3" w:rsidRDefault="00EE27C3" w:rsidP="00EE27C3">
      <w:pPr>
        <w:rPr>
          <w:b/>
          <w:lang w:val="es-ES_tradnl"/>
        </w:rPr>
      </w:pPr>
      <w:r w:rsidRPr="00EE27C3">
        <w:rPr>
          <w:b/>
          <w:lang w:val="es-ES_tradnl"/>
        </w:rPr>
        <w:t>Promoción y protección de todos los derechos humanos,</w:t>
      </w:r>
    </w:p>
    <w:p w14:paraId="09E3308D" w14:textId="77777777" w:rsidR="00EE27C3" w:rsidRDefault="00EE27C3" w:rsidP="00EE27C3">
      <w:pPr>
        <w:rPr>
          <w:b/>
          <w:lang w:val="es-ES_tradnl"/>
        </w:rPr>
      </w:pPr>
      <w:r w:rsidRPr="00EE27C3">
        <w:rPr>
          <w:b/>
          <w:lang w:val="es-ES_tradnl"/>
        </w:rPr>
        <w:t>civiles, políticos, económicos, sociales y culturales,</w:t>
      </w:r>
    </w:p>
    <w:p w14:paraId="6BCA54F5" w14:textId="77777777" w:rsidR="00EE27C3" w:rsidRPr="00EE27C3" w:rsidRDefault="00EE27C3" w:rsidP="00EE27C3">
      <w:pPr>
        <w:rPr>
          <w:b/>
          <w:lang w:val="es-ES_tradnl"/>
        </w:rPr>
      </w:pPr>
      <w:r w:rsidRPr="00EE27C3">
        <w:rPr>
          <w:b/>
          <w:lang w:val="es-ES_tradnl"/>
        </w:rPr>
        <w:t>incluido el derecho al desarrollo</w:t>
      </w:r>
    </w:p>
    <w:p w14:paraId="4C2A1CA3" w14:textId="77777777" w:rsidR="00EE27C3" w:rsidRPr="00EE27C3" w:rsidRDefault="00EE27C3" w:rsidP="00EE27C3">
      <w:pPr>
        <w:pStyle w:val="H23G"/>
        <w:rPr>
          <w:lang w:val="es-ES_tradnl"/>
        </w:rPr>
      </w:pPr>
      <w:r>
        <w:rPr>
          <w:lang w:val="es-ES_tradnl"/>
        </w:rPr>
        <w:tab/>
      </w:r>
      <w:r w:rsidRPr="00EE27C3">
        <w:rPr>
          <w:lang w:val="es-ES_tradnl"/>
        </w:rPr>
        <w:tab/>
        <w:t>Albania</w:t>
      </w:r>
      <w:r w:rsidRPr="00EE27C3">
        <w:rPr>
          <w:rStyle w:val="Refdenotaalpie"/>
          <w:b w:val="0"/>
          <w:sz w:val="20"/>
          <w:vertAlign w:val="baseline"/>
          <w:lang w:val="es-ES_tradnl"/>
        </w:rPr>
        <w:footnoteReference w:customMarkFollows="1" w:id="1"/>
        <w:t>*</w:t>
      </w:r>
      <w:r>
        <w:rPr>
          <w:lang w:val="es-ES_tradnl"/>
        </w:rPr>
        <w:t>,</w:t>
      </w:r>
      <w:r w:rsidRPr="00EE27C3">
        <w:rPr>
          <w:lang w:val="es-ES_tradnl"/>
        </w:rPr>
        <w:t xml:space="preserve"> Alemania</w:t>
      </w:r>
      <w:r w:rsidRPr="00EE27C3">
        <w:rPr>
          <w:b w:val="0"/>
          <w:lang w:val="es-ES_tradnl"/>
        </w:rPr>
        <w:t>*</w:t>
      </w:r>
      <w:r w:rsidRPr="00EE27C3">
        <w:rPr>
          <w:lang w:val="es-ES_tradnl"/>
        </w:rPr>
        <w:t>, Arabia Saudita, Argelia</w:t>
      </w:r>
      <w:r w:rsidRPr="00EE27C3">
        <w:rPr>
          <w:b w:val="0"/>
          <w:lang w:val="es-ES_tradnl"/>
        </w:rPr>
        <w:t>*</w:t>
      </w:r>
      <w:r w:rsidRPr="00EE27C3">
        <w:rPr>
          <w:lang w:val="es-ES_tradnl"/>
        </w:rPr>
        <w:t>, Armenia</w:t>
      </w:r>
      <w:r w:rsidRPr="00EE27C3">
        <w:rPr>
          <w:b w:val="0"/>
          <w:lang w:val="es-ES_tradnl"/>
        </w:rPr>
        <w:t>*</w:t>
      </w:r>
      <w:r w:rsidRPr="00EE27C3">
        <w:rPr>
          <w:lang w:val="es-ES_tradnl"/>
        </w:rPr>
        <w:t>, Austria, Azerbaiyán</w:t>
      </w:r>
      <w:r w:rsidRPr="00EE27C3">
        <w:rPr>
          <w:b w:val="0"/>
          <w:lang w:val="es-ES_tradnl"/>
        </w:rPr>
        <w:t>*</w:t>
      </w:r>
      <w:r w:rsidRPr="00EE27C3">
        <w:rPr>
          <w:lang w:val="es-ES_tradnl"/>
        </w:rPr>
        <w:t>, Bélgica</w:t>
      </w:r>
      <w:r w:rsidRPr="00EE27C3">
        <w:rPr>
          <w:b w:val="0"/>
          <w:lang w:val="es-ES_tradnl"/>
        </w:rPr>
        <w:t>*</w:t>
      </w:r>
      <w:r w:rsidRPr="00EE27C3">
        <w:rPr>
          <w:lang w:val="es-ES_tradnl"/>
        </w:rPr>
        <w:t>, Bolivia (Estado Plurinacional de)</w:t>
      </w:r>
      <w:r w:rsidRPr="00EE27C3">
        <w:rPr>
          <w:b w:val="0"/>
          <w:lang w:val="es-ES_tradnl"/>
        </w:rPr>
        <w:t>*</w:t>
      </w:r>
      <w:r w:rsidRPr="00EE27C3">
        <w:rPr>
          <w:lang w:val="es-ES_tradnl"/>
        </w:rPr>
        <w:t>, Bulgaria, Canadá</w:t>
      </w:r>
      <w:r w:rsidRPr="00EE27C3">
        <w:rPr>
          <w:b w:val="0"/>
          <w:lang w:val="es-ES_tradnl"/>
        </w:rPr>
        <w:t>*</w:t>
      </w:r>
      <w:r w:rsidRPr="00EE27C3">
        <w:rPr>
          <w:lang w:val="es-ES_tradnl"/>
        </w:rPr>
        <w:t>, Chile, Chipre</w:t>
      </w:r>
      <w:r w:rsidRPr="00EE27C3">
        <w:rPr>
          <w:b w:val="0"/>
          <w:lang w:val="es-ES_tradnl"/>
        </w:rPr>
        <w:t>*</w:t>
      </w:r>
      <w:r w:rsidRPr="00EE27C3">
        <w:rPr>
          <w:lang w:val="es-ES_tradnl"/>
        </w:rPr>
        <w:t>, Croacia, Dinamarca, Eslovaquia, Eslovenia</w:t>
      </w:r>
      <w:r w:rsidRPr="00EE27C3">
        <w:rPr>
          <w:b w:val="0"/>
          <w:lang w:val="es-ES_tradnl"/>
        </w:rPr>
        <w:t>*</w:t>
      </w:r>
      <w:r w:rsidRPr="00EE27C3">
        <w:rPr>
          <w:lang w:val="es-ES_tradnl"/>
        </w:rPr>
        <w:t>, España, Estonia</w:t>
      </w:r>
      <w:r w:rsidRPr="00EE27C3">
        <w:rPr>
          <w:b w:val="0"/>
          <w:lang w:val="es-ES_tradnl"/>
        </w:rPr>
        <w:t>*</w:t>
      </w:r>
      <w:r w:rsidRPr="00EE27C3">
        <w:rPr>
          <w:lang w:val="es-ES_tradnl"/>
        </w:rPr>
        <w:t>, Fiji, Finlandia</w:t>
      </w:r>
      <w:r w:rsidRPr="00EE27C3">
        <w:rPr>
          <w:b w:val="0"/>
          <w:lang w:val="es-ES_tradnl"/>
        </w:rPr>
        <w:t>*</w:t>
      </w:r>
      <w:r w:rsidRPr="00EE27C3">
        <w:rPr>
          <w:lang w:val="es-ES_tradnl"/>
        </w:rPr>
        <w:t>, Francia</w:t>
      </w:r>
      <w:r w:rsidRPr="00EE27C3">
        <w:rPr>
          <w:b w:val="0"/>
          <w:lang w:val="es-ES_tradnl"/>
        </w:rPr>
        <w:t>*</w:t>
      </w:r>
      <w:r w:rsidRPr="00EE27C3">
        <w:rPr>
          <w:lang w:val="es-ES_tradnl"/>
        </w:rPr>
        <w:t>, Georgia</w:t>
      </w:r>
      <w:r w:rsidRPr="00EE27C3">
        <w:rPr>
          <w:b w:val="0"/>
          <w:lang w:val="es-ES_tradnl"/>
        </w:rPr>
        <w:t>*</w:t>
      </w:r>
      <w:r w:rsidRPr="00EE27C3">
        <w:rPr>
          <w:lang w:val="es-ES_tradnl"/>
        </w:rPr>
        <w:t>, Grecia</w:t>
      </w:r>
      <w:r w:rsidRPr="00EE27C3">
        <w:rPr>
          <w:b w:val="0"/>
          <w:lang w:val="es-ES_tradnl"/>
        </w:rPr>
        <w:t>*</w:t>
      </w:r>
      <w:r w:rsidRPr="00EE27C3">
        <w:rPr>
          <w:lang w:val="es-ES_tradnl"/>
        </w:rPr>
        <w:t>, Haití</w:t>
      </w:r>
      <w:r w:rsidRPr="00EE27C3">
        <w:rPr>
          <w:b w:val="0"/>
          <w:lang w:val="es-ES_tradnl"/>
        </w:rPr>
        <w:t>*</w:t>
      </w:r>
      <w:r w:rsidRPr="00EE27C3">
        <w:rPr>
          <w:lang w:val="es-ES_tradnl"/>
        </w:rPr>
        <w:t>, Hungría, Irán (República Islámica del)</w:t>
      </w:r>
      <w:r w:rsidRPr="00EE27C3">
        <w:rPr>
          <w:b w:val="0"/>
          <w:lang w:val="es-ES_tradnl"/>
        </w:rPr>
        <w:t>*</w:t>
      </w:r>
      <w:r w:rsidRPr="00EE27C3">
        <w:rPr>
          <w:lang w:val="es-ES_tradnl"/>
        </w:rPr>
        <w:t>, Iraq,</w:t>
      </w:r>
      <w:r>
        <w:rPr>
          <w:lang w:val="es-ES_tradnl"/>
        </w:rPr>
        <w:t> </w:t>
      </w:r>
      <w:r w:rsidRPr="00EE27C3">
        <w:rPr>
          <w:lang w:val="es-ES_tradnl"/>
        </w:rPr>
        <w:t>Irlanda</w:t>
      </w:r>
      <w:r w:rsidRPr="00EE27C3">
        <w:rPr>
          <w:b w:val="0"/>
          <w:lang w:val="es-ES_tradnl"/>
        </w:rPr>
        <w:t>*</w:t>
      </w:r>
      <w:r w:rsidRPr="00EE27C3">
        <w:rPr>
          <w:lang w:val="es-ES_tradnl"/>
        </w:rPr>
        <w:t>, Islandia, Italia, Jordania</w:t>
      </w:r>
      <w:r w:rsidRPr="00EE27C3">
        <w:rPr>
          <w:b w:val="0"/>
          <w:lang w:val="es-ES_tradnl"/>
        </w:rPr>
        <w:t>*</w:t>
      </w:r>
      <w:r w:rsidRPr="00EE27C3">
        <w:rPr>
          <w:lang w:val="es-ES_tradnl"/>
        </w:rPr>
        <w:t>, Letonia</w:t>
      </w:r>
      <w:r w:rsidRPr="00EE27C3">
        <w:rPr>
          <w:b w:val="0"/>
          <w:lang w:val="es-ES_tradnl"/>
        </w:rPr>
        <w:t>*</w:t>
      </w:r>
      <w:r w:rsidRPr="00EE27C3">
        <w:rPr>
          <w:lang w:val="es-ES_tradnl"/>
        </w:rPr>
        <w:t>, Líbano</w:t>
      </w:r>
      <w:r w:rsidRPr="00EE27C3">
        <w:rPr>
          <w:b w:val="0"/>
          <w:lang w:val="es-ES_tradnl"/>
        </w:rPr>
        <w:t>*</w:t>
      </w:r>
      <w:r w:rsidRPr="00EE27C3">
        <w:rPr>
          <w:lang w:val="es-ES_tradnl"/>
        </w:rPr>
        <w:t>, Libia</w:t>
      </w:r>
      <w:r w:rsidRPr="00EE27C3">
        <w:rPr>
          <w:b w:val="0"/>
          <w:lang w:val="es-ES_tradnl"/>
        </w:rPr>
        <w:t>*</w:t>
      </w:r>
      <w:r w:rsidRPr="00EE27C3">
        <w:rPr>
          <w:lang w:val="es-ES_tradnl"/>
        </w:rPr>
        <w:t>, Liechtenstein</w:t>
      </w:r>
      <w:r w:rsidRPr="00EE27C3">
        <w:rPr>
          <w:b w:val="0"/>
          <w:lang w:val="es-ES_tradnl"/>
        </w:rPr>
        <w:t>*</w:t>
      </w:r>
      <w:r w:rsidRPr="00EE27C3">
        <w:rPr>
          <w:lang w:val="es-ES_tradnl"/>
        </w:rPr>
        <w:t>,</w:t>
      </w:r>
      <w:r>
        <w:rPr>
          <w:lang w:val="es-ES_tradnl"/>
        </w:rPr>
        <w:t> </w:t>
      </w:r>
      <w:r w:rsidRPr="00EE27C3">
        <w:rPr>
          <w:lang w:val="es-ES_tradnl"/>
        </w:rPr>
        <w:t>Lituania</w:t>
      </w:r>
      <w:r w:rsidRPr="00EE27C3">
        <w:rPr>
          <w:b w:val="0"/>
          <w:lang w:val="es-ES_tradnl"/>
        </w:rPr>
        <w:t>*</w:t>
      </w:r>
      <w:r w:rsidRPr="00EE27C3">
        <w:rPr>
          <w:lang w:val="es-ES_tradnl"/>
        </w:rPr>
        <w:t>, Luxemburgo</w:t>
      </w:r>
      <w:r w:rsidRPr="00EE27C3">
        <w:rPr>
          <w:b w:val="0"/>
          <w:lang w:val="es-ES_tradnl"/>
        </w:rPr>
        <w:t>*</w:t>
      </w:r>
      <w:r w:rsidRPr="00EE27C3">
        <w:rPr>
          <w:lang w:val="es-ES_tradnl"/>
        </w:rPr>
        <w:t>, Macedonia del Norte</w:t>
      </w:r>
      <w:r w:rsidRPr="00EE27C3">
        <w:rPr>
          <w:b w:val="0"/>
          <w:lang w:val="es-ES_tradnl"/>
        </w:rPr>
        <w:t>*</w:t>
      </w:r>
      <w:r w:rsidRPr="00EE27C3">
        <w:rPr>
          <w:lang w:val="es-ES_tradnl"/>
        </w:rPr>
        <w:t>, Malta</w:t>
      </w:r>
      <w:r w:rsidRPr="00EE27C3">
        <w:rPr>
          <w:b w:val="0"/>
          <w:lang w:val="es-ES_tradnl"/>
        </w:rPr>
        <w:t>*</w:t>
      </w:r>
      <w:r w:rsidRPr="00EE27C3">
        <w:rPr>
          <w:lang w:val="es-ES_tradnl"/>
        </w:rPr>
        <w:t>, Mónaco</w:t>
      </w:r>
      <w:r w:rsidRPr="00EE27C3">
        <w:rPr>
          <w:b w:val="0"/>
          <w:lang w:val="es-ES_tradnl"/>
        </w:rPr>
        <w:t>*</w:t>
      </w:r>
      <w:r w:rsidRPr="00EE27C3">
        <w:rPr>
          <w:lang w:val="es-ES_tradnl"/>
        </w:rPr>
        <w:t>,</w:t>
      </w:r>
      <w:r>
        <w:rPr>
          <w:lang w:val="es-ES_tradnl"/>
        </w:rPr>
        <w:t> </w:t>
      </w:r>
      <w:r w:rsidRPr="00EE27C3">
        <w:rPr>
          <w:lang w:val="es-ES_tradnl"/>
        </w:rPr>
        <w:t>Montenegro</w:t>
      </w:r>
      <w:r w:rsidRPr="00EE27C3">
        <w:rPr>
          <w:b w:val="0"/>
          <w:lang w:val="es-ES_tradnl"/>
        </w:rPr>
        <w:t>*</w:t>
      </w:r>
      <w:r w:rsidRPr="00EE27C3">
        <w:rPr>
          <w:lang w:val="es-ES_tradnl"/>
        </w:rPr>
        <w:t>, Noruega</w:t>
      </w:r>
      <w:r w:rsidRPr="00EE27C3">
        <w:rPr>
          <w:b w:val="0"/>
          <w:lang w:val="es-ES_tradnl"/>
        </w:rPr>
        <w:t>*</w:t>
      </w:r>
      <w:r w:rsidRPr="00EE27C3">
        <w:rPr>
          <w:lang w:val="es-ES_tradnl"/>
        </w:rPr>
        <w:t>, Paraguay</w:t>
      </w:r>
      <w:r w:rsidRPr="00EE27C3">
        <w:rPr>
          <w:b w:val="0"/>
          <w:lang w:val="es-ES_tradnl"/>
        </w:rPr>
        <w:t>*</w:t>
      </w:r>
      <w:r w:rsidRPr="00EE27C3">
        <w:rPr>
          <w:lang w:val="es-ES_tradnl"/>
        </w:rPr>
        <w:t>, Portugal</w:t>
      </w:r>
      <w:r w:rsidRPr="00EE27C3">
        <w:rPr>
          <w:b w:val="0"/>
          <w:lang w:val="es-ES_tradnl"/>
        </w:rPr>
        <w:t>*</w:t>
      </w:r>
      <w:r w:rsidRPr="00EE27C3">
        <w:rPr>
          <w:lang w:val="es-ES_tradnl"/>
        </w:rPr>
        <w:t>, Qatar, Rumania</w:t>
      </w:r>
      <w:r w:rsidRPr="00EE27C3">
        <w:rPr>
          <w:b w:val="0"/>
          <w:lang w:val="es-ES_tradnl"/>
        </w:rPr>
        <w:t>*</w:t>
      </w:r>
      <w:r w:rsidRPr="00EE27C3">
        <w:rPr>
          <w:lang w:val="es-ES_tradnl"/>
        </w:rPr>
        <w:t>, Suecia</w:t>
      </w:r>
      <w:r w:rsidRPr="00EE27C3">
        <w:rPr>
          <w:b w:val="0"/>
          <w:lang w:val="es-ES_tradnl"/>
        </w:rPr>
        <w:t>*</w:t>
      </w:r>
      <w:r w:rsidRPr="00EE27C3">
        <w:rPr>
          <w:lang w:val="es-ES_tradnl"/>
        </w:rPr>
        <w:t>,</w:t>
      </w:r>
      <w:r>
        <w:rPr>
          <w:lang w:val="es-ES_tradnl"/>
        </w:rPr>
        <w:t> </w:t>
      </w:r>
      <w:r w:rsidRPr="00EE27C3">
        <w:rPr>
          <w:lang w:val="es-ES_tradnl"/>
        </w:rPr>
        <w:t>Suiza</w:t>
      </w:r>
      <w:r w:rsidRPr="00EE27C3">
        <w:rPr>
          <w:b w:val="0"/>
          <w:lang w:val="es-ES_tradnl"/>
        </w:rPr>
        <w:t>*</w:t>
      </w:r>
      <w:r w:rsidRPr="00EE27C3">
        <w:rPr>
          <w:lang w:val="es-ES_tradnl"/>
        </w:rPr>
        <w:t>, Ucrania y Estado de Palestina</w:t>
      </w:r>
      <w:r w:rsidRPr="00EE27C3">
        <w:rPr>
          <w:b w:val="0"/>
          <w:lang w:val="es-ES_tradnl"/>
        </w:rPr>
        <w:t>*</w:t>
      </w:r>
      <w:r w:rsidRPr="00EE27C3">
        <w:rPr>
          <w:lang w:val="es-ES_tradnl"/>
        </w:rPr>
        <w:t>: proyecto de resolución</w:t>
      </w:r>
    </w:p>
    <w:p w14:paraId="069966C5" w14:textId="77777777" w:rsidR="00EE27C3" w:rsidRPr="00EE27C3" w:rsidRDefault="00EE27C3" w:rsidP="00EE27C3">
      <w:pPr>
        <w:pStyle w:val="H1G"/>
        <w:tabs>
          <w:tab w:val="left" w:pos="1843"/>
        </w:tabs>
        <w:rPr>
          <w:lang w:val="es-ES_tradnl"/>
        </w:rPr>
      </w:pPr>
      <w:r>
        <w:rPr>
          <w:lang w:val="es-ES_tradnl"/>
        </w:rPr>
        <w:tab/>
      </w:r>
      <w:r>
        <w:rPr>
          <w:lang w:val="es-ES_tradnl"/>
        </w:rPr>
        <w:tab/>
      </w:r>
      <w:r w:rsidRPr="00EE27C3">
        <w:rPr>
          <w:lang w:val="es-ES_tradnl"/>
        </w:rPr>
        <w:t>42/</w:t>
      </w:r>
      <w:r>
        <w:rPr>
          <w:lang w:val="es-ES_tradnl"/>
        </w:rPr>
        <w:t>...</w:t>
      </w:r>
      <w:r w:rsidRPr="00EE27C3">
        <w:rPr>
          <w:lang w:val="es-ES_tradnl"/>
        </w:rPr>
        <w:tab/>
        <w:t>Los derechos humanos al agua potable y al saneamiento</w:t>
      </w:r>
    </w:p>
    <w:p w14:paraId="460846F8" w14:textId="77777777" w:rsidR="00EE27C3" w:rsidRPr="00EE27C3" w:rsidRDefault="00EE27C3" w:rsidP="00EE27C3">
      <w:pPr>
        <w:pStyle w:val="SingleTxtG"/>
        <w:rPr>
          <w:lang w:val="es-ES_tradnl"/>
        </w:rPr>
      </w:pPr>
      <w:r w:rsidRPr="00EE27C3">
        <w:rPr>
          <w:lang w:val="es-ES_tradnl"/>
        </w:rPr>
        <w:tab/>
      </w:r>
      <w:r w:rsidRPr="00EE27C3">
        <w:rPr>
          <w:i/>
          <w:iCs/>
          <w:lang w:val="es-ES_tradnl"/>
        </w:rPr>
        <w:t>El Consejo de Derechos Humanos</w:t>
      </w:r>
      <w:r w:rsidRPr="00EE27C3">
        <w:rPr>
          <w:lang w:val="es-ES_tradnl"/>
        </w:rPr>
        <w:t>,</w:t>
      </w:r>
    </w:p>
    <w:p w14:paraId="469762CC" w14:textId="77777777" w:rsidR="00EE27C3" w:rsidRPr="00EE27C3" w:rsidRDefault="00EE27C3" w:rsidP="00EE27C3">
      <w:pPr>
        <w:pStyle w:val="SingleTxtG"/>
        <w:rPr>
          <w:lang w:val="es-ES_tradnl"/>
        </w:rPr>
      </w:pPr>
      <w:r>
        <w:rPr>
          <w:i/>
          <w:iCs/>
          <w:lang w:val="es-ES_tradnl"/>
        </w:rPr>
        <w:tab/>
      </w:r>
      <w:r w:rsidRPr="00EE27C3">
        <w:rPr>
          <w:i/>
          <w:iCs/>
          <w:lang w:val="es-ES_tradnl"/>
        </w:rPr>
        <w:t>Guiado</w:t>
      </w:r>
      <w:r w:rsidRPr="00EE27C3">
        <w:rPr>
          <w:lang w:val="es-ES_tradnl"/>
        </w:rPr>
        <w:t xml:space="preserve"> por los propósitos y principios de la Carta de las Naciones Unidas,</w:t>
      </w:r>
    </w:p>
    <w:p w14:paraId="38B6099F" w14:textId="77777777" w:rsidR="00EE27C3" w:rsidRPr="00EE27C3" w:rsidRDefault="00EE27C3" w:rsidP="00EE27C3">
      <w:pPr>
        <w:pStyle w:val="SingleTxtG"/>
        <w:rPr>
          <w:lang w:val="es-ES_tradnl"/>
        </w:rPr>
      </w:pPr>
      <w:r>
        <w:rPr>
          <w:i/>
          <w:iCs/>
          <w:lang w:val="es-ES_tradnl"/>
        </w:rPr>
        <w:tab/>
      </w:r>
      <w:r w:rsidRPr="00EE27C3">
        <w:rPr>
          <w:i/>
          <w:iCs/>
          <w:lang w:val="es-ES_tradnl"/>
        </w:rPr>
        <w:t>Recordando</w:t>
      </w:r>
      <w:r w:rsidRPr="00EE27C3">
        <w:rPr>
          <w:lang w:val="es-ES_tradnl"/>
        </w:rPr>
        <w:t xml:space="preserve"> la Declaración Universal de Derechos Humanos, 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sobre los Derechos del Niño y la Convención sobre los Derechos de las Personas con Discapacidad,</w:t>
      </w:r>
    </w:p>
    <w:p w14:paraId="3A9BE69D" w14:textId="77777777" w:rsidR="00EE27C3" w:rsidRPr="00EE27C3" w:rsidRDefault="00EE27C3" w:rsidP="00EE27C3">
      <w:pPr>
        <w:pStyle w:val="SingleTxtG"/>
        <w:rPr>
          <w:lang w:val="es-ES_tradnl"/>
        </w:rPr>
      </w:pPr>
      <w:r>
        <w:rPr>
          <w:i/>
          <w:iCs/>
          <w:lang w:val="es-ES_tradnl"/>
        </w:rPr>
        <w:tab/>
      </w:r>
      <w:r w:rsidRPr="00EE27C3">
        <w:rPr>
          <w:i/>
          <w:iCs/>
          <w:lang w:val="es-ES_tradnl"/>
        </w:rPr>
        <w:t>Recordando también</w:t>
      </w:r>
      <w:r w:rsidRPr="00EE27C3">
        <w:rPr>
          <w:lang w:val="es-ES_tradnl"/>
        </w:rPr>
        <w:t xml:space="preserve"> la resolución 70/1 de la Asamblea General, de 25 de septiembre de 2015, titulada “Transformar nuestro mundo: la Agenda 2030 para el Desarrollo Sostenible”, en la que la Asamblea se comprometió a no dejar a nadie atrás,</w:t>
      </w:r>
    </w:p>
    <w:p w14:paraId="09EAE450" w14:textId="77777777" w:rsidR="00EE27C3" w:rsidRPr="00EE27C3" w:rsidRDefault="00EE27C3" w:rsidP="00EE27C3">
      <w:pPr>
        <w:pStyle w:val="SingleTxtG"/>
        <w:rPr>
          <w:lang w:val="es-ES_tradnl"/>
        </w:rPr>
      </w:pPr>
      <w:r>
        <w:rPr>
          <w:i/>
          <w:iCs/>
          <w:lang w:val="es-ES_tradnl"/>
        </w:rPr>
        <w:tab/>
      </w:r>
      <w:r w:rsidRPr="00EE27C3">
        <w:rPr>
          <w:i/>
          <w:iCs/>
          <w:lang w:val="es-ES_tradnl"/>
        </w:rPr>
        <w:t>Reafirmando</w:t>
      </w:r>
      <w:r w:rsidRPr="00EE27C3">
        <w:rPr>
          <w:lang w:val="es-ES_tradnl"/>
        </w:rPr>
        <w:t xml:space="preserve"> todas las resoluciones anteriores del Consejo de Derechos Humanos relativas a los derechos humanos al agua potable y al saneamiento,</w:t>
      </w:r>
    </w:p>
    <w:p w14:paraId="13458B49" w14:textId="77777777" w:rsidR="00EE27C3" w:rsidRPr="00EE27C3" w:rsidRDefault="00EE27C3" w:rsidP="00EE27C3">
      <w:pPr>
        <w:pStyle w:val="SingleTxtG"/>
        <w:rPr>
          <w:lang w:val="es-ES_tradnl"/>
        </w:rPr>
      </w:pPr>
      <w:r>
        <w:rPr>
          <w:i/>
          <w:iCs/>
          <w:lang w:val="es-ES_tradnl"/>
        </w:rPr>
        <w:tab/>
      </w:r>
      <w:r w:rsidRPr="00EE27C3">
        <w:rPr>
          <w:i/>
          <w:iCs/>
          <w:lang w:val="es-ES_tradnl"/>
        </w:rPr>
        <w:t>Recordando</w:t>
      </w:r>
      <w:r w:rsidRPr="00EE27C3">
        <w:rPr>
          <w:lang w:val="es-ES_tradnl"/>
        </w:rPr>
        <w:t xml:space="preserve"> todas las resoluciones anteriores de la Asamblea General relativas a los derechos humanos al agua potable y al saneamiento, incluida la resolución 64/292, de 28 de julio de 2010,</w:t>
      </w:r>
    </w:p>
    <w:p w14:paraId="6DFD282A" w14:textId="77777777" w:rsidR="00EE27C3" w:rsidRPr="00EE27C3" w:rsidRDefault="00EE27C3" w:rsidP="00EE27C3">
      <w:pPr>
        <w:pStyle w:val="SingleTxtG"/>
        <w:rPr>
          <w:lang w:val="es-ES_tradnl"/>
        </w:rPr>
      </w:pPr>
      <w:r>
        <w:rPr>
          <w:lang w:val="es-ES_tradnl"/>
        </w:rPr>
        <w:tab/>
      </w:r>
      <w:r w:rsidRPr="00EE27C3">
        <w:rPr>
          <w:lang w:val="es-ES_tradnl"/>
        </w:rPr>
        <w:t>1.</w:t>
      </w:r>
      <w:r w:rsidRPr="00EE27C3">
        <w:rPr>
          <w:lang w:val="es-ES_tradnl"/>
        </w:rPr>
        <w:tab/>
      </w:r>
      <w:r w:rsidRPr="00EE27C3">
        <w:rPr>
          <w:i/>
          <w:iCs/>
          <w:lang w:val="es-ES_tradnl"/>
        </w:rPr>
        <w:t>Acoge con beneplácito</w:t>
      </w:r>
      <w:r w:rsidRPr="00EE27C3">
        <w:rPr>
          <w:lang w:val="es-ES_tradnl"/>
        </w:rPr>
        <w:t xml:space="preserve"> la labor del Relator Especial sobre los derechos humanos al agua potable y al saneamiento</w:t>
      </w:r>
      <w:r w:rsidRPr="00EE27C3">
        <w:rPr>
          <w:sz w:val="18"/>
          <w:vertAlign w:val="superscript"/>
          <w:lang w:val="es-ES_tradnl"/>
        </w:rPr>
        <w:footnoteReference w:id="2"/>
      </w:r>
      <w:r w:rsidRPr="00EE27C3">
        <w:rPr>
          <w:lang w:val="es-ES_tradnl"/>
        </w:rPr>
        <w:t>;</w:t>
      </w:r>
    </w:p>
    <w:p w14:paraId="23FAB963" w14:textId="77777777" w:rsidR="00EE27C3" w:rsidRPr="00EE27C3" w:rsidRDefault="00EE27C3" w:rsidP="00EE27C3">
      <w:pPr>
        <w:pStyle w:val="SingleTxtG"/>
        <w:rPr>
          <w:lang w:val="es-ES_tradnl"/>
        </w:rPr>
      </w:pPr>
      <w:r>
        <w:rPr>
          <w:lang w:val="es-ES_tradnl"/>
        </w:rPr>
        <w:tab/>
      </w:r>
      <w:r w:rsidRPr="00EE27C3">
        <w:rPr>
          <w:lang w:val="es-ES_tradnl"/>
        </w:rPr>
        <w:t>2.</w:t>
      </w:r>
      <w:r w:rsidRPr="00EE27C3">
        <w:rPr>
          <w:lang w:val="es-ES_tradnl"/>
        </w:rPr>
        <w:tab/>
      </w:r>
      <w:r w:rsidRPr="00EE27C3">
        <w:rPr>
          <w:i/>
          <w:iCs/>
          <w:lang w:val="es-ES_tradnl"/>
        </w:rPr>
        <w:t>Decide</w:t>
      </w:r>
      <w:r w:rsidRPr="00EE27C3">
        <w:rPr>
          <w:lang w:val="es-ES_tradnl"/>
        </w:rPr>
        <w:t xml:space="preserve"> prorrogar el mandato del Relator Especial sobre los derechos humanos al agua potable y al saneamiento por un período de tres años;</w:t>
      </w:r>
    </w:p>
    <w:p w14:paraId="64A6D49E" w14:textId="77777777" w:rsidR="00EE27C3" w:rsidRPr="00EE27C3" w:rsidRDefault="00EE27C3" w:rsidP="00EE27C3">
      <w:pPr>
        <w:pStyle w:val="SingleTxtG"/>
        <w:rPr>
          <w:lang w:val="es-ES_tradnl"/>
        </w:rPr>
      </w:pPr>
      <w:r>
        <w:rPr>
          <w:lang w:val="es-ES_tradnl"/>
        </w:rPr>
        <w:lastRenderedPageBreak/>
        <w:tab/>
      </w:r>
      <w:r w:rsidRPr="00EE27C3">
        <w:rPr>
          <w:lang w:val="es-ES_tradnl"/>
        </w:rPr>
        <w:t>3.</w:t>
      </w:r>
      <w:r w:rsidRPr="00EE27C3">
        <w:rPr>
          <w:lang w:val="es-ES_tradnl"/>
        </w:rPr>
        <w:tab/>
      </w:r>
      <w:r w:rsidRPr="00EE27C3">
        <w:rPr>
          <w:i/>
          <w:iCs/>
          <w:lang w:val="es-ES_tradnl"/>
        </w:rPr>
        <w:t>Solicita</w:t>
      </w:r>
      <w:r w:rsidRPr="00EE27C3">
        <w:rPr>
          <w:lang w:val="es-ES_tradnl"/>
        </w:rPr>
        <w:t xml:space="preserve"> al Relator Especial que siga informando anualmente al Consejo de Derechos Humanos y presente un informe anual a la Asamblea General;</w:t>
      </w:r>
    </w:p>
    <w:p w14:paraId="6F37A071" w14:textId="77777777" w:rsidR="00EE27C3" w:rsidRPr="00EE27C3" w:rsidRDefault="00EE27C3" w:rsidP="00EE27C3">
      <w:pPr>
        <w:pStyle w:val="SingleTxtG"/>
        <w:rPr>
          <w:lang w:val="es-ES_tradnl"/>
        </w:rPr>
      </w:pPr>
      <w:r>
        <w:rPr>
          <w:lang w:val="es-ES_tradnl"/>
        </w:rPr>
        <w:tab/>
      </w:r>
      <w:r w:rsidRPr="00EE27C3">
        <w:rPr>
          <w:lang w:val="es-ES_tradnl"/>
        </w:rPr>
        <w:t>4.</w:t>
      </w:r>
      <w:r w:rsidRPr="00EE27C3">
        <w:rPr>
          <w:lang w:val="es-ES_tradnl"/>
        </w:rPr>
        <w:tab/>
      </w:r>
      <w:r w:rsidRPr="00EE27C3">
        <w:rPr>
          <w:i/>
          <w:iCs/>
          <w:lang w:val="es-ES_tradnl"/>
        </w:rPr>
        <w:t>Solicita</w:t>
      </w:r>
      <w:r w:rsidRPr="00EE27C3">
        <w:rPr>
          <w:lang w:val="es-ES_tradnl"/>
        </w:rPr>
        <w:t xml:space="preserve"> al Relator Especial que, con motivo del décimo aniversario de la resolución 64/292 de la Asamblea General y de la resolución 15/9 del Consejo de Derechos Humanos, de 30 de septiembre de 2010, en las que se reconocen los derechos humanos al agua potable y al saneamiento, organice actividades de sensibilización, entre otras cosas a través de los medios sociales y con material accesible, y participe en ellas, y que, en colaboración con los Estados, recopile buenas prácticas en los planos local, nacional, regional e internacional para promover que se hagan progresivamente efectivos los derechos humanos al agua potable y al saneamiento, e informe al respecto al Consejo de Derechos Humanos en su 45º período de sesiones;</w:t>
      </w:r>
    </w:p>
    <w:p w14:paraId="4412F03C" w14:textId="77777777" w:rsidR="00EE27C3" w:rsidRPr="00EE27C3" w:rsidRDefault="00EE27C3" w:rsidP="00EE27C3">
      <w:pPr>
        <w:pStyle w:val="SingleTxtG"/>
        <w:rPr>
          <w:lang w:val="es-ES_tradnl"/>
        </w:rPr>
      </w:pPr>
      <w:r>
        <w:rPr>
          <w:lang w:val="es-ES_tradnl"/>
        </w:rPr>
        <w:tab/>
      </w:r>
      <w:r w:rsidRPr="00EE27C3">
        <w:rPr>
          <w:lang w:val="es-ES_tradnl"/>
        </w:rPr>
        <w:t>5.</w:t>
      </w:r>
      <w:r w:rsidRPr="00EE27C3">
        <w:rPr>
          <w:lang w:val="es-ES_tradnl"/>
        </w:rPr>
        <w:tab/>
      </w:r>
      <w:r w:rsidRPr="00EE27C3">
        <w:rPr>
          <w:i/>
          <w:iCs/>
          <w:lang w:val="es-ES_tradnl"/>
        </w:rPr>
        <w:t>Alienta</w:t>
      </w:r>
      <w:r w:rsidRPr="00EE27C3">
        <w:rPr>
          <w:lang w:val="es-ES_tradnl"/>
        </w:rPr>
        <w:t xml:space="preserve"> al Relator Especial a que facilite la prestación de asistencia técnica para hacer efectivos los derechos humanos al agua potable y al saneamiento, entre otras cosas entablando contacto con los interesados pertinentes;</w:t>
      </w:r>
    </w:p>
    <w:p w14:paraId="2596F7E7" w14:textId="77777777" w:rsidR="00EE27C3" w:rsidRPr="00EE27C3" w:rsidRDefault="00EE27C3" w:rsidP="00EE27C3">
      <w:pPr>
        <w:pStyle w:val="SingleTxtG"/>
        <w:rPr>
          <w:lang w:val="es-ES_tradnl"/>
        </w:rPr>
      </w:pPr>
      <w:r>
        <w:rPr>
          <w:lang w:val="es-ES_tradnl"/>
        </w:rPr>
        <w:tab/>
      </w:r>
      <w:r w:rsidRPr="00EE27C3">
        <w:rPr>
          <w:lang w:val="es-ES_tradnl"/>
        </w:rPr>
        <w:t>6.</w:t>
      </w:r>
      <w:r w:rsidRPr="00EE27C3">
        <w:rPr>
          <w:lang w:val="es-ES_tradnl"/>
        </w:rPr>
        <w:tab/>
      </w:r>
      <w:r w:rsidRPr="00EE27C3">
        <w:rPr>
          <w:i/>
          <w:iCs/>
          <w:lang w:val="es-ES_tradnl"/>
        </w:rPr>
        <w:t>Alienta</w:t>
      </w:r>
      <w:r w:rsidRPr="00EE27C3">
        <w:rPr>
          <w:lang w:val="es-ES_tradnl"/>
        </w:rPr>
        <w:t xml:space="preserve"> a todos los Gobiernos a que respondan favorablemente a las solicitudes de visitas y de información del Relator Especial, den seguimiento efectivo a las recomendaciones del titular del mandato y presenten información sobre las medidas adoptadas a ese respecto;</w:t>
      </w:r>
    </w:p>
    <w:p w14:paraId="2BB1250C" w14:textId="77777777" w:rsidR="00EE27C3" w:rsidRPr="00EE27C3" w:rsidRDefault="00EE27C3" w:rsidP="00EE27C3">
      <w:pPr>
        <w:pStyle w:val="SingleTxtG"/>
        <w:rPr>
          <w:lang w:val="es-ES_tradnl"/>
        </w:rPr>
      </w:pPr>
      <w:r>
        <w:rPr>
          <w:lang w:val="es-ES_tradnl"/>
        </w:rPr>
        <w:tab/>
      </w:r>
      <w:r w:rsidRPr="00EE27C3">
        <w:rPr>
          <w:lang w:val="es-ES_tradnl"/>
        </w:rPr>
        <w:t>7.</w:t>
      </w:r>
      <w:r w:rsidRPr="00EE27C3">
        <w:rPr>
          <w:lang w:val="es-ES_tradnl"/>
        </w:rPr>
        <w:tab/>
      </w:r>
      <w:r w:rsidRPr="00EE27C3">
        <w:rPr>
          <w:i/>
          <w:iCs/>
          <w:lang w:val="es-ES_tradnl"/>
        </w:rPr>
        <w:t xml:space="preserve">Solicita </w:t>
      </w:r>
      <w:r w:rsidRPr="00EE27C3">
        <w:rPr>
          <w:lang w:val="es-ES_tradnl"/>
        </w:rPr>
        <w:t>al Secretario General y la Alta Comisionada de las Naciones Unidas para los Derechos Humanos que proporcionen al Relator Especial todos los recursos y la asistencia necesarios para que pueda llevar a cabo su mandato con eficacia;</w:t>
      </w:r>
    </w:p>
    <w:p w14:paraId="45E705D1" w14:textId="77777777" w:rsidR="00EE27C3" w:rsidRDefault="00EE27C3" w:rsidP="00EE27C3">
      <w:pPr>
        <w:pStyle w:val="SingleTxtG"/>
        <w:rPr>
          <w:lang w:val="es-ES_tradnl"/>
        </w:rPr>
      </w:pPr>
      <w:r>
        <w:rPr>
          <w:lang w:val="es-ES_tradnl"/>
        </w:rPr>
        <w:tab/>
      </w:r>
      <w:r w:rsidRPr="00EE27C3">
        <w:rPr>
          <w:lang w:val="es-ES_tradnl"/>
        </w:rPr>
        <w:t>8.</w:t>
      </w:r>
      <w:r w:rsidRPr="00EE27C3">
        <w:rPr>
          <w:lang w:val="es-ES_tradnl"/>
        </w:rPr>
        <w:tab/>
      </w:r>
      <w:r w:rsidRPr="00EE27C3">
        <w:rPr>
          <w:i/>
          <w:iCs/>
          <w:lang w:val="es-ES_tradnl"/>
        </w:rPr>
        <w:t>Decide</w:t>
      </w:r>
      <w:r w:rsidRPr="00EE27C3">
        <w:rPr>
          <w:lang w:val="es-ES_tradnl"/>
        </w:rPr>
        <w:t xml:space="preserve"> seguir examinando este asunto.</w:t>
      </w:r>
    </w:p>
    <w:p w14:paraId="4AD6EF34" w14:textId="77777777" w:rsidR="00EE27C3" w:rsidRPr="00EE27C3" w:rsidRDefault="00EE27C3" w:rsidP="00EE27C3">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EE27C3" w:rsidRPr="00EE27C3" w:rsidSect="00EE27C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AF62E" w14:textId="77777777" w:rsidR="002F0610" w:rsidRPr="00A312BC" w:rsidRDefault="002F0610" w:rsidP="00A312BC">
      <w:pPr>
        <w:pStyle w:val="Piedepgina"/>
      </w:pPr>
    </w:p>
  </w:endnote>
  <w:endnote w:type="continuationSeparator" w:id="0">
    <w:p w14:paraId="25723D12" w14:textId="77777777" w:rsidR="002F0610" w:rsidRPr="00A312BC" w:rsidRDefault="002F0610"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D9D5" w14:textId="77777777" w:rsidR="00EE27C3" w:rsidRPr="00EE27C3" w:rsidRDefault="00EE27C3" w:rsidP="00EE27C3">
    <w:pPr>
      <w:pStyle w:val="Piedepgina"/>
      <w:tabs>
        <w:tab w:val="right" w:pos="9638"/>
      </w:tabs>
    </w:pPr>
    <w:r w:rsidRPr="00EE27C3">
      <w:rPr>
        <w:b/>
        <w:sz w:val="18"/>
      </w:rPr>
      <w:fldChar w:fldCharType="begin"/>
    </w:r>
    <w:r w:rsidRPr="00EE27C3">
      <w:rPr>
        <w:b/>
        <w:sz w:val="18"/>
      </w:rPr>
      <w:instrText xml:space="preserve"> PAGE  \* MERGEFORMAT </w:instrText>
    </w:r>
    <w:r w:rsidRPr="00EE27C3">
      <w:rPr>
        <w:b/>
        <w:sz w:val="18"/>
      </w:rPr>
      <w:fldChar w:fldCharType="separate"/>
    </w:r>
    <w:r w:rsidRPr="00EE27C3">
      <w:rPr>
        <w:b/>
        <w:noProof/>
        <w:sz w:val="18"/>
      </w:rPr>
      <w:t>2</w:t>
    </w:r>
    <w:r w:rsidRPr="00EE27C3">
      <w:rPr>
        <w:b/>
        <w:sz w:val="18"/>
      </w:rPr>
      <w:fldChar w:fldCharType="end"/>
    </w:r>
    <w:r>
      <w:rPr>
        <w:b/>
        <w:sz w:val="18"/>
      </w:rPr>
      <w:tab/>
    </w:r>
    <w:r>
      <w:t>GE.19-15963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8B82" w14:textId="77777777" w:rsidR="00EE27C3" w:rsidRPr="00EE27C3" w:rsidRDefault="00EE27C3" w:rsidP="00EE27C3">
    <w:pPr>
      <w:pStyle w:val="Piedepgina"/>
      <w:tabs>
        <w:tab w:val="right" w:pos="9638"/>
      </w:tabs>
      <w:rPr>
        <w:b/>
        <w:sz w:val="18"/>
      </w:rPr>
    </w:pPr>
    <w:r>
      <w:t>GE.19-15963</w:t>
    </w:r>
    <w:r>
      <w:tab/>
    </w:r>
    <w:r w:rsidRPr="00EE27C3">
      <w:rPr>
        <w:b/>
        <w:sz w:val="18"/>
      </w:rPr>
      <w:fldChar w:fldCharType="begin"/>
    </w:r>
    <w:r w:rsidRPr="00EE27C3">
      <w:rPr>
        <w:b/>
        <w:sz w:val="18"/>
      </w:rPr>
      <w:instrText xml:space="preserve"> PAGE  \* MERGEFORMAT </w:instrText>
    </w:r>
    <w:r w:rsidRPr="00EE27C3">
      <w:rPr>
        <w:b/>
        <w:sz w:val="18"/>
      </w:rPr>
      <w:fldChar w:fldCharType="separate"/>
    </w:r>
    <w:r w:rsidRPr="00EE27C3">
      <w:rPr>
        <w:b/>
        <w:noProof/>
        <w:sz w:val="18"/>
      </w:rPr>
      <w:t>3</w:t>
    </w:r>
    <w:r w:rsidRPr="00EE27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8939" w14:textId="77777777" w:rsidR="00042B72" w:rsidRPr="00EE27C3" w:rsidRDefault="00EE27C3" w:rsidP="00EE27C3">
    <w:pPr>
      <w:pStyle w:val="Piedepgina"/>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01E9CBD8" wp14:editId="013DDB83">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19-15963  (S)    200919    200919</w:t>
    </w:r>
    <w:r>
      <w:rPr>
        <w:sz w:val="20"/>
      </w:rPr>
      <w:br/>
    </w:r>
    <w:r w:rsidRPr="00EE27C3">
      <w:rPr>
        <w:rFonts w:ascii="C39T30Lfz" w:hAnsi="C39T30Lfz"/>
        <w:sz w:val="56"/>
      </w:rPr>
      <w:t></w:t>
    </w:r>
    <w:r w:rsidRPr="00EE27C3">
      <w:rPr>
        <w:rFonts w:ascii="C39T30Lfz" w:hAnsi="C39T30Lfz"/>
        <w:sz w:val="56"/>
      </w:rPr>
      <w:t></w:t>
    </w:r>
    <w:r w:rsidRPr="00EE27C3">
      <w:rPr>
        <w:rFonts w:ascii="C39T30Lfz" w:hAnsi="C39T30Lfz"/>
        <w:sz w:val="56"/>
      </w:rPr>
      <w:t></w:t>
    </w:r>
    <w:r w:rsidRPr="00EE27C3">
      <w:rPr>
        <w:rFonts w:ascii="C39T30Lfz" w:hAnsi="C39T30Lfz"/>
        <w:sz w:val="56"/>
      </w:rPr>
      <w:t></w:t>
    </w:r>
    <w:r w:rsidRPr="00EE27C3">
      <w:rPr>
        <w:rFonts w:ascii="C39T30Lfz" w:hAnsi="C39T30Lfz"/>
        <w:sz w:val="56"/>
      </w:rPr>
      <w:t></w:t>
    </w:r>
    <w:r w:rsidRPr="00EE27C3">
      <w:rPr>
        <w:rFonts w:ascii="C39T30Lfz" w:hAnsi="C39T30Lfz"/>
        <w:sz w:val="56"/>
      </w:rPr>
      <w:t></w:t>
    </w:r>
    <w:r w:rsidRPr="00EE27C3">
      <w:rPr>
        <w:rFonts w:ascii="C39T30Lfz" w:hAnsi="C39T30Lfz"/>
        <w:sz w:val="56"/>
      </w:rPr>
      <w:t></w:t>
    </w:r>
    <w:r w:rsidRPr="00EE27C3">
      <w:rPr>
        <w:rFonts w:ascii="C39T30Lfz" w:hAnsi="C39T30Lfz"/>
        <w:sz w:val="56"/>
      </w:rPr>
      <w:t></w:t>
    </w:r>
    <w:r w:rsidRPr="00EE27C3">
      <w:rPr>
        <w:rFonts w:ascii="C39T30Lfz" w:hAnsi="C39T30Lfz"/>
        <w:sz w:val="56"/>
      </w:rPr>
      <w:t></w:t>
    </w:r>
    <w:r>
      <w:rPr>
        <w:noProof/>
        <w:sz w:val="20"/>
      </w:rPr>
      <w:drawing>
        <wp:anchor distT="0" distB="0" distL="114300" distR="114300" simplePos="0" relativeHeight="251658752" behindDoc="0" locked="0" layoutInCell="1" allowOverlap="1" wp14:anchorId="3D1AF35B" wp14:editId="4DF6AE76">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42/L.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L.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096BA" w14:textId="77777777" w:rsidR="002F0610" w:rsidRPr="001075E9" w:rsidRDefault="002F0610" w:rsidP="001075E9">
      <w:pPr>
        <w:tabs>
          <w:tab w:val="right" w:pos="2155"/>
        </w:tabs>
        <w:spacing w:after="80" w:line="240" w:lineRule="auto"/>
        <w:ind w:left="680"/>
        <w:rPr>
          <w:u w:val="single"/>
        </w:rPr>
      </w:pPr>
      <w:r>
        <w:rPr>
          <w:u w:val="single"/>
        </w:rPr>
        <w:tab/>
      </w:r>
    </w:p>
  </w:footnote>
  <w:footnote w:type="continuationSeparator" w:id="0">
    <w:p w14:paraId="68EE988A" w14:textId="77777777" w:rsidR="002F0610" w:rsidRDefault="002F0610" w:rsidP="00407B78">
      <w:pPr>
        <w:tabs>
          <w:tab w:val="right" w:pos="2155"/>
        </w:tabs>
        <w:spacing w:after="80"/>
        <w:ind w:left="680"/>
        <w:rPr>
          <w:u w:val="single"/>
        </w:rPr>
      </w:pPr>
      <w:r>
        <w:rPr>
          <w:u w:val="single"/>
        </w:rPr>
        <w:tab/>
      </w:r>
    </w:p>
  </w:footnote>
  <w:footnote w:id="1">
    <w:p w14:paraId="0B8FCBBF" w14:textId="77777777" w:rsidR="00EE27C3" w:rsidRPr="00EE27C3" w:rsidRDefault="00EE27C3">
      <w:pPr>
        <w:pStyle w:val="Textonotapie"/>
        <w:rPr>
          <w:sz w:val="20"/>
        </w:rPr>
      </w:pPr>
      <w:r>
        <w:tab/>
      </w:r>
      <w:r w:rsidRPr="00EE27C3">
        <w:rPr>
          <w:rStyle w:val="Refdenotaalpie"/>
          <w:sz w:val="20"/>
          <w:vertAlign w:val="baseline"/>
        </w:rPr>
        <w:t>*</w:t>
      </w:r>
      <w:r w:rsidRPr="00EE27C3">
        <w:rPr>
          <w:rStyle w:val="Refdenotaalpie"/>
          <w:vertAlign w:val="baseline"/>
        </w:rPr>
        <w:tab/>
      </w:r>
      <w:r w:rsidRPr="00EE27C3">
        <w:t>Estado no miembro del Consejo de Derechos Humanos.</w:t>
      </w:r>
    </w:p>
  </w:footnote>
  <w:footnote w:id="2">
    <w:p w14:paraId="268820ED" w14:textId="77777777" w:rsidR="00EE27C3" w:rsidRPr="00A75794" w:rsidRDefault="00EE27C3" w:rsidP="00EE27C3">
      <w:pPr>
        <w:pStyle w:val="Textonotapie"/>
      </w:pPr>
      <w:r w:rsidRPr="00A75794">
        <w:tab/>
      </w:r>
      <w:r w:rsidRPr="00A75794">
        <w:rPr>
          <w:rStyle w:val="Refdenotaalpie"/>
        </w:rPr>
        <w:footnoteRef/>
      </w:r>
      <w:r w:rsidRPr="00A75794">
        <w:tab/>
        <w:t>A/HRC/42/47 y Add.1 a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98F" w14:textId="53492158" w:rsidR="00EE27C3" w:rsidRPr="00EE27C3" w:rsidRDefault="00FE5EE3">
    <w:pPr>
      <w:pStyle w:val="Encabezado"/>
    </w:pPr>
    <w:r>
      <w:fldChar w:fldCharType="begin"/>
    </w:r>
    <w:r>
      <w:instrText xml:space="preserve"> TITLE  \* MERGEFORMAT </w:instrText>
    </w:r>
    <w:r>
      <w:fldChar w:fldCharType="separate"/>
    </w:r>
    <w:r w:rsidR="00BC436D">
      <w:t>A/</w:t>
    </w:r>
    <w:proofErr w:type="spellStart"/>
    <w:r w:rsidR="00BC436D">
      <w:t>HRC</w:t>
    </w:r>
    <w:proofErr w:type="spellEnd"/>
    <w:r w:rsidR="00BC436D">
      <w:t>/42/</w:t>
    </w:r>
    <w:proofErr w:type="spellStart"/>
    <w:r w:rsidR="00BC436D">
      <w:t>L.1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F6EB" w14:textId="5562666F" w:rsidR="00EE27C3" w:rsidRPr="00EE27C3" w:rsidRDefault="00FE5EE3" w:rsidP="00EE27C3">
    <w:pPr>
      <w:pStyle w:val="Encabezado"/>
      <w:jc w:val="right"/>
    </w:pPr>
    <w:r>
      <w:fldChar w:fldCharType="begin"/>
    </w:r>
    <w:r>
      <w:instrText xml:space="preserve"> TITLE  \* MERGEFORMAT </w:instrText>
    </w:r>
    <w:r>
      <w:fldChar w:fldCharType="separate"/>
    </w:r>
    <w:r w:rsidR="00BC436D">
      <w:t>A/</w:t>
    </w:r>
    <w:proofErr w:type="spellStart"/>
    <w:r w:rsidR="00BC436D">
      <w:t>HRC</w:t>
    </w:r>
    <w:proofErr w:type="spellEnd"/>
    <w:r w:rsidR="00BC436D">
      <w:t>/42/</w:t>
    </w:r>
    <w:proofErr w:type="spellStart"/>
    <w:r w:rsidR="00BC436D">
      <w:t>L.1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0610"/>
    <w:rsid w:val="00033EE1"/>
    <w:rsid w:val="00042B72"/>
    <w:rsid w:val="000558BD"/>
    <w:rsid w:val="0008244E"/>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E5067"/>
    <w:rsid w:val="002F0610"/>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50108D"/>
    <w:rsid w:val="00513081"/>
    <w:rsid w:val="00517901"/>
    <w:rsid w:val="00526683"/>
    <w:rsid w:val="00551A39"/>
    <w:rsid w:val="005709E0"/>
    <w:rsid w:val="00572E19"/>
    <w:rsid w:val="005827DA"/>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9A24AC"/>
    <w:rsid w:val="00A312BC"/>
    <w:rsid w:val="00A84021"/>
    <w:rsid w:val="00A84D35"/>
    <w:rsid w:val="00A917B3"/>
    <w:rsid w:val="00AB4B51"/>
    <w:rsid w:val="00B10CC7"/>
    <w:rsid w:val="00B539E7"/>
    <w:rsid w:val="00B62458"/>
    <w:rsid w:val="00BC18B2"/>
    <w:rsid w:val="00BC436D"/>
    <w:rsid w:val="00BD33EE"/>
    <w:rsid w:val="00C106D6"/>
    <w:rsid w:val="00C60F0C"/>
    <w:rsid w:val="00C805C9"/>
    <w:rsid w:val="00C92939"/>
    <w:rsid w:val="00CA1679"/>
    <w:rsid w:val="00CB151C"/>
    <w:rsid w:val="00CD0C97"/>
    <w:rsid w:val="00CE5A1A"/>
    <w:rsid w:val="00CF55F6"/>
    <w:rsid w:val="00D33D63"/>
    <w:rsid w:val="00D90138"/>
    <w:rsid w:val="00DA5C9C"/>
    <w:rsid w:val="00E73F76"/>
    <w:rsid w:val="00EA2C9F"/>
    <w:rsid w:val="00ED0BDA"/>
    <w:rsid w:val="00EE27C3"/>
    <w:rsid w:val="00EF1360"/>
    <w:rsid w:val="00EF3220"/>
    <w:rsid w:val="00F94155"/>
    <w:rsid w:val="00F9783F"/>
    <w:rsid w:val="00FD2EF7"/>
    <w:rsid w:val="00FE447E"/>
    <w:rsid w:val="00FE5EE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DC35AD"/>
  <w15:docId w15:val="{D9C5A672-7EBE-409E-AE46-3907AA8C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2</Pages>
  <Words>617</Words>
  <Characters>3511</Characters>
  <Application>Microsoft Office Word</Application>
  <DocSecurity>0</DocSecurity>
  <Lines>68</Lines>
  <Paragraphs>35</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A/HRC/42/L.1</dc:title>
  <dc:subject/>
  <dc:creator>Angel MORENO TORRES</dc:creator>
  <cp:keywords/>
  <cp:lastModifiedBy>Romina Valeria MERINO MAC-KAY</cp:lastModifiedBy>
  <cp:revision>3</cp:revision>
  <cp:lastPrinted>2019-09-20T10:24:00Z</cp:lastPrinted>
  <dcterms:created xsi:type="dcterms:W3CDTF">2019-09-20T10:24:00Z</dcterms:created>
  <dcterms:modified xsi:type="dcterms:W3CDTF">2019-09-20T10:24:00Z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