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281242">
        <w:trPr>
          <w:trHeight w:hRule="exact" w:val="851"/>
        </w:trPr>
        <w:tc>
          <w:tcPr>
            <w:tcW w:w="1274" w:type="dxa"/>
            <w:tcBorders>
              <w:bottom w:val="single" w:sz="4" w:space="0" w:color="auto"/>
            </w:tcBorders>
            <w:shd w:val="clear" w:color="auto" w:fill="auto"/>
          </w:tcPr>
          <w:p w:rsidR="006B3E27" w:rsidRPr="003E159A" w:rsidRDefault="006B3E27" w:rsidP="00281242">
            <w:pPr>
              <w:pStyle w:val="Roman1GA"/>
            </w:pPr>
          </w:p>
        </w:tc>
        <w:tc>
          <w:tcPr>
            <w:tcW w:w="4963" w:type="dxa"/>
            <w:tcBorders>
              <w:bottom w:val="single" w:sz="4" w:space="0" w:color="auto"/>
            </w:tcBorders>
            <w:shd w:val="clear" w:color="auto" w:fill="auto"/>
            <w:vAlign w:val="bottom"/>
          </w:tcPr>
          <w:p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281242" w:rsidRDefault="00F85893" w:rsidP="006B0159">
            <w:pPr>
              <w:bidi w:val="0"/>
              <w:spacing w:after="20"/>
              <w:jc w:val="left"/>
              <w:rPr>
                <w:szCs w:val="20"/>
              </w:rPr>
            </w:pPr>
            <w:r w:rsidRPr="00F85893">
              <w:rPr>
                <w:sz w:val="40"/>
                <w:szCs w:val="20"/>
              </w:rPr>
              <w:t>A</w:t>
            </w:r>
            <w:r>
              <w:rPr>
                <w:szCs w:val="20"/>
              </w:rPr>
              <w:t>/HRC/</w:t>
            </w:r>
            <w:r w:rsidRPr="006B0159">
              <w:rPr>
                <w:szCs w:val="20"/>
              </w:rPr>
              <w:t>43</w:t>
            </w:r>
            <w:r>
              <w:rPr>
                <w:szCs w:val="20"/>
              </w:rPr>
              <w:t>/L.</w:t>
            </w:r>
            <w:r w:rsidRPr="006B0159">
              <w:rPr>
                <w:szCs w:val="20"/>
              </w:rPr>
              <w:t>32</w:t>
            </w:r>
          </w:p>
        </w:tc>
      </w:tr>
      <w:tr w:rsidR="006B3E27" w:rsidRPr="00ED7442" w:rsidTr="00281242">
        <w:trPr>
          <w:trHeight w:hRule="exact" w:val="2835"/>
        </w:trPr>
        <w:tc>
          <w:tcPr>
            <w:tcW w:w="1274" w:type="dxa"/>
            <w:tcBorders>
              <w:top w:val="single" w:sz="4" w:space="0" w:color="auto"/>
              <w:bottom w:val="single" w:sz="12" w:space="0" w:color="auto"/>
            </w:tcBorders>
            <w:shd w:val="clear" w:color="auto" w:fill="auto"/>
          </w:tcPr>
          <w:p w:rsidR="006B3E27" w:rsidRPr="00281242" w:rsidRDefault="00D2403D" w:rsidP="00281242">
            <w:pPr>
              <w:jc w:val="center"/>
              <w:rPr>
                <w:sz w:val="56"/>
                <w:szCs w:val="56"/>
                <w:rtl/>
              </w:rPr>
            </w:pPr>
            <w:r>
              <w:rPr>
                <w:noProof/>
                <w:sz w:val="56"/>
                <w:szCs w:val="56"/>
              </w:rPr>
              <w:drawing>
                <wp:inline distT="0" distB="0" distL="0" distR="0">
                  <wp:extent cx="62928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rsidR="006B3E27" w:rsidRDefault="006B0159" w:rsidP="006B0159">
            <w:pPr>
              <w:bidi w:val="0"/>
              <w:spacing w:before="240"/>
              <w:jc w:val="left"/>
              <w:rPr>
                <w:szCs w:val="20"/>
              </w:rPr>
            </w:pPr>
            <w:r>
              <w:rPr>
                <w:szCs w:val="20"/>
              </w:rPr>
              <w:t>Distr.: Limited</w:t>
            </w:r>
          </w:p>
          <w:p w:rsidR="006B0159" w:rsidRDefault="006B0159" w:rsidP="006B0159">
            <w:pPr>
              <w:bidi w:val="0"/>
              <w:jc w:val="left"/>
              <w:rPr>
                <w:szCs w:val="20"/>
              </w:rPr>
            </w:pPr>
            <w:r w:rsidRPr="006B0159">
              <w:rPr>
                <w:szCs w:val="20"/>
              </w:rPr>
              <w:t>1</w:t>
            </w:r>
            <w:r>
              <w:rPr>
                <w:szCs w:val="20"/>
              </w:rPr>
              <w:t xml:space="preserve"> April </w:t>
            </w:r>
            <w:r w:rsidRPr="006B0159">
              <w:rPr>
                <w:szCs w:val="20"/>
              </w:rPr>
              <w:t>2020</w:t>
            </w:r>
          </w:p>
          <w:p w:rsidR="006B0159" w:rsidRDefault="006B0159" w:rsidP="006B0159">
            <w:pPr>
              <w:bidi w:val="0"/>
              <w:jc w:val="left"/>
              <w:rPr>
                <w:szCs w:val="20"/>
              </w:rPr>
            </w:pPr>
            <w:r>
              <w:rPr>
                <w:szCs w:val="20"/>
              </w:rPr>
              <w:t>Arabic</w:t>
            </w:r>
          </w:p>
          <w:p w:rsidR="006B0159" w:rsidRPr="00281242" w:rsidRDefault="006B0159" w:rsidP="006B0159">
            <w:pPr>
              <w:bidi w:val="0"/>
              <w:jc w:val="left"/>
              <w:rPr>
                <w:szCs w:val="20"/>
              </w:rPr>
            </w:pPr>
            <w:r>
              <w:rPr>
                <w:szCs w:val="20"/>
              </w:rPr>
              <w:t>Original: English</w:t>
            </w:r>
          </w:p>
        </w:tc>
      </w:tr>
    </w:tbl>
    <w:p w:rsidR="006B0159" w:rsidRDefault="00673245" w:rsidP="006B0159">
      <w:pPr>
        <w:pStyle w:val="SingleTxtGA"/>
        <w:spacing w:before="120" w:after="0"/>
        <w:ind w:left="0"/>
        <w:rPr>
          <w:b/>
          <w:bCs/>
          <w:sz w:val="36"/>
          <w:szCs w:val="36"/>
          <w:rtl/>
        </w:rPr>
      </w:pPr>
      <w:r w:rsidRPr="00673245">
        <w:rPr>
          <w:rFonts w:hint="cs"/>
          <w:b/>
          <w:bCs/>
          <w:sz w:val="36"/>
          <w:szCs w:val="36"/>
          <w:rtl/>
        </w:rPr>
        <w:t>مجلس حقوق الإنسان</w:t>
      </w:r>
    </w:p>
    <w:p w:rsidR="006B0159" w:rsidRPr="008E10D0" w:rsidRDefault="006B0159" w:rsidP="006B0159">
      <w:pPr>
        <w:spacing w:line="360" w:lineRule="exact"/>
        <w:textDirection w:val="tbRlV"/>
        <w:rPr>
          <w:rFonts w:eastAsiaTheme="minorEastAsia"/>
          <w:b/>
          <w:szCs w:val="20"/>
          <w:lang w:eastAsia="zh-TW" w:bidi="en-GB"/>
        </w:rPr>
      </w:pPr>
      <w:r w:rsidRPr="006B0159">
        <w:rPr>
          <w:rFonts w:eastAsiaTheme="minorEastAsia"/>
          <w:b/>
          <w:bCs/>
          <w:rtl/>
        </w:rPr>
        <w:t>الدورة الثالثة والأربعون</w:t>
      </w:r>
    </w:p>
    <w:p w:rsidR="006B0159" w:rsidRPr="006B0159" w:rsidRDefault="006B0159" w:rsidP="006B0159">
      <w:pPr>
        <w:spacing w:line="360" w:lineRule="exact"/>
        <w:textDirection w:val="tbRlV"/>
        <w:rPr>
          <w:rFonts w:eastAsiaTheme="minorEastAsia"/>
          <w:szCs w:val="20"/>
          <w:lang w:val="ar-SA" w:eastAsia="zh-TW" w:bidi="en-GB"/>
        </w:rPr>
      </w:pPr>
      <w:r w:rsidRPr="006B0159">
        <w:rPr>
          <w:rFonts w:eastAsiaTheme="minorEastAsia"/>
          <w:szCs w:val="20"/>
          <w:rtl/>
        </w:rPr>
        <w:t>24</w:t>
      </w:r>
      <w:r w:rsidRPr="006B0159">
        <w:rPr>
          <w:rFonts w:eastAsiaTheme="minorEastAsia"/>
          <w:rtl/>
        </w:rPr>
        <w:t xml:space="preserve"> شباط/فبراير - </w:t>
      </w:r>
      <w:bookmarkStart w:id="0" w:name="_GoBack"/>
      <w:bookmarkEnd w:id="0"/>
      <w:r w:rsidRPr="006B0159">
        <w:rPr>
          <w:rFonts w:eastAsiaTheme="minorEastAsia"/>
          <w:szCs w:val="20"/>
          <w:rtl/>
        </w:rPr>
        <w:t>20</w:t>
      </w:r>
      <w:r w:rsidRPr="006B0159">
        <w:rPr>
          <w:rFonts w:eastAsiaTheme="minorEastAsia"/>
          <w:rtl/>
        </w:rPr>
        <w:t xml:space="preserve"> آذار/مارس </w:t>
      </w:r>
      <w:r w:rsidRPr="006B0159">
        <w:rPr>
          <w:rFonts w:eastAsiaTheme="minorEastAsia"/>
          <w:szCs w:val="20"/>
          <w:rtl/>
        </w:rPr>
        <w:t>2020</w:t>
      </w:r>
    </w:p>
    <w:p w:rsidR="006B0159" w:rsidRPr="006B0159" w:rsidRDefault="006B0159" w:rsidP="006B0159">
      <w:pPr>
        <w:spacing w:line="360" w:lineRule="exact"/>
        <w:textDirection w:val="tbRlV"/>
        <w:rPr>
          <w:rFonts w:eastAsiaTheme="minorEastAsia"/>
          <w:szCs w:val="20"/>
          <w:lang w:eastAsia="zh-TW" w:bidi="en-GB"/>
        </w:rPr>
      </w:pPr>
      <w:r w:rsidRPr="006B0159">
        <w:rPr>
          <w:rFonts w:eastAsiaTheme="minorEastAsia"/>
          <w:rtl/>
        </w:rPr>
        <w:t xml:space="preserve">البند </w:t>
      </w:r>
      <w:r w:rsidRPr="006B0159">
        <w:rPr>
          <w:rFonts w:eastAsiaTheme="minorEastAsia"/>
          <w:szCs w:val="20"/>
          <w:rtl/>
        </w:rPr>
        <w:t>3</w:t>
      </w:r>
      <w:r w:rsidRPr="006B0159">
        <w:rPr>
          <w:rFonts w:eastAsiaTheme="minorEastAsia"/>
          <w:rtl/>
        </w:rPr>
        <w:t xml:space="preserve"> من جدول الأعمال</w:t>
      </w:r>
    </w:p>
    <w:p w:rsidR="006B0159" w:rsidRPr="006B0159" w:rsidRDefault="006B0159" w:rsidP="006B0159">
      <w:pPr>
        <w:spacing w:line="360" w:lineRule="exact"/>
        <w:ind w:right="4592"/>
        <w:textDirection w:val="tbRlV"/>
        <w:rPr>
          <w:rFonts w:eastAsiaTheme="minorEastAsia"/>
          <w:b/>
          <w:szCs w:val="20"/>
          <w:lang w:val="ar-SA" w:eastAsia="zh-TW" w:bidi="en-GB"/>
        </w:rPr>
      </w:pPr>
      <w:r w:rsidRPr="006B0159">
        <w:rPr>
          <w:rFonts w:eastAsiaTheme="minorEastAsia"/>
          <w:b/>
          <w:bCs/>
          <w:rtl/>
        </w:rPr>
        <w:t>تعزيز وحماية جميع حقوق الإنسان، المدنية والسياسية والاقتصادية والاجتماعية والثقافية، بما في ذلك الحق في التنمية</w:t>
      </w:r>
    </w:p>
    <w:p w:rsidR="006B0159" w:rsidRPr="006B0159" w:rsidRDefault="006B0159" w:rsidP="006B0159">
      <w:pPr>
        <w:pStyle w:val="H23GA"/>
        <w:rPr>
          <w:rFonts w:ascii="Times New Roman" w:eastAsiaTheme="minorEastAsia" w:hAnsi="Times New Roman"/>
          <w:lang w:val="ar-SA" w:eastAsia="zh-TW" w:bidi="en-GB"/>
        </w:rPr>
      </w:pPr>
      <w:r w:rsidRPr="006B0159">
        <w:rPr>
          <w:rFonts w:ascii="Times New Roman" w:eastAsiaTheme="minorEastAsia" w:hAnsi="Times New Roman"/>
          <w:rtl/>
        </w:rPr>
        <w:tab/>
      </w:r>
      <w:r w:rsidRPr="006B0159">
        <w:rPr>
          <w:rFonts w:ascii="Times New Roman" w:eastAsiaTheme="minorEastAsia" w:hAnsi="Times New Roman"/>
          <w:rtl/>
        </w:rPr>
        <w:tab/>
        <w:t>الأرجنتين، إسبانيا، أستراليا، إستونيا</w:t>
      </w:r>
      <w:r w:rsidRPr="006B0159">
        <w:rPr>
          <w:rStyle w:val="FootnoteReference"/>
          <w:rFonts w:ascii="Times New Roman" w:eastAsiaTheme="minorEastAsia" w:hAnsi="Times New Roman"/>
          <w:sz w:val="20"/>
          <w:szCs w:val="28"/>
          <w:vertAlign w:val="baseline"/>
          <w:rtl/>
        </w:rPr>
        <w:footnoteReference w:customMarkFollows="1" w:id="1"/>
        <w:t>*</w:t>
      </w:r>
      <w:r w:rsidRPr="006B0159">
        <w:rPr>
          <w:rFonts w:ascii="Times New Roman" w:eastAsiaTheme="minorEastAsia" w:hAnsi="Times New Roman"/>
          <w:rtl/>
        </w:rPr>
        <w:t>، إكوادور*، ألبانيا</w:t>
      </w:r>
      <w:r w:rsidRPr="006B0159">
        <w:rPr>
          <w:rFonts w:ascii="Times New Roman" w:eastAsiaTheme="minorEastAsia" w:hAnsi="Times New Roman" w:hint="cs"/>
          <w:rtl/>
        </w:rPr>
        <w:t>*</w:t>
      </w:r>
      <w:r w:rsidRPr="006B0159">
        <w:rPr>
          <w:rFonts w:ascii="Times New Roman" w:eastAsiaTheme="minorEastAsia" w:hAnsi="Times New Roman"/>
          <w:rtl/>
        </w:rPr>
        <w:t xml:space="preserve">، ألمانيا، أنتيغوا وبربودا*، أوروغواي، أوكرانيا، أيرلندا*، آيسلندا*، إيطاليا، باراغواي*، البرازيل، بربادوس*، البرتغال*، بلجيكا*، بلغاريا، بليز*، بنما*، بولندا، بوليفيا (دولة </w:t>
      </w:r>
      <w:r w:rsidRPr="006B0159">
        <w:rPr>
          <w:rFonts w:ascii="Times New Roman" w:eastAsiaTheme="minorEastAsia" w:hAnsi="Times New Roman" w:hint="cs"/>
          <w:rtl/>
        </w:rPr>
        <w:t>-</w:t>
      </w:r>
      <w:r w:rsidRPr="006B0159">
        <w:rPr>
          <w:rFonts w:ascii="Times New Roman" w:eastAsiaTheme="minorEastAsia" w:hAnsi="Times New Roman"/>
          <w:rtl/>
        </w:rPr>
        <w:t xml:space="preserve"> المتعددة القوميات)*، بيرو، تايلند*، تركيا*، ترينيداد وتوباغو*، تشيكيا، تونس*، جامايكا*، الجبل الأسود*، جزر البهاما، جزر مارشال، الجمهورية الدومينيكية*، جورجيا*، الدانمرك، دومينيكا*، رومانيا*، سانت فنسنت وجزر غرينادين*، سانت كيتس ونيفس*، سانت لوسيا*، السلفادور*، سلوفاكيا، سلوفينيا*، سورينام*، السويد*، شيلي، صربيا*، غرينادا*، غواتيمالا*، غيانا*، فرنسا*، الفلبين، فنزويلا (جمهورية </w:t>
      </w:r>
      <w:r w:rsidRPr="006B0159">
        <w:rPr>
          <w:rFonts w:ascii="Times New Roman" w:eastAsiaTheme="minorEastAsia" w:hAnsi="Times New Roman" w:hint="cs"/>
          <w:rtl/>
        </w:rPr>
        <w:t>-</w:t>
      </w:r>
      <w:r w:rsidRPr="006B0159">
        <w:rPr>
          <w:rFonts w:ascii="Times New Roman" w:eastAsiaTheme="minorEastAsia" w:hAnsi="Times New Roman"/>
          <w:rtl/>
        </w:rPr>
        <w:t xml:space="preserve"> البوليفارية)، فنلندا*، فيجي، قبرص*، كرواتيا*، كندا*، كوبا*، كوستاريكا*، كولومبيا*، لاتفيا*، لكسمبرغ*، ليتوانيا*، ليختنشتاين*، مالطة*، ماليزيا*، مصر*، مقدونيا الشمالية*، المكسيك، المملكة المتحدة لبريطانيا العظمى وأيرلندا الشمالية*، موناكو*، النرويج*، النمسا، نيكاراغوا*، نيوزيلندا*، هايتي*، هندوراس*، هنغاريا*، هولندا، اليونان*: مشروع قرار</w:t>
      </w:r>
    </w:p>
    <w:p w:rsidR="006B0159" w:rsidRPr="006B0159" w:rsidRDefault="006B0159" w:rsidP="006B0159">
      <w:pPr>
        <w:pStyle w:val="H1GA"/>
        <w:ind w:left="2094" w:hanging="847"/>
        <w:rPr>
          <w:rFonts w:eastAsiaTheme="minorEastAsia"/>
          <w:szCs w:val="20"/>
          <w:lang w:val="ar-SA" w:eastAsia="zh-TW" w:bidi="en-GB"/>
        </w:rPr>
      </w:pPr>
      <w:r w:rsidRPr="006B0159">
        <w:rPr>
          <w:rFonts w:eastAsiaTheme="minorEastAsia"/>
          <w:szCs w:val="24"/>
          <w:rtl/>
        </w:rPr>
        <w:t>43</w:t>
      </w:r>
      <w:r w:rsidRPr="006B0159">
        <w:rPr>
          <w:rFonts w:eastAsiaTheme="minorEastAsia"/>
          <w:szCs w:val="20"/>
          <w:rtl/>
        </w:rPr>
        <w:t>/...</w:t>
      </w:r>
      <w:r w:rsidRPr="006B0159">
        <w:rPr>
          <w:rFonts w:eastAsiaTheme="minorEastAsia"/>
          <w:rtl/>
        </w:rPr>
        <w:tab/>
        <w:t>ولاية المقررة الخاصة المعنية ببيع الأطفال واستغلالهم جنسياً، بما في ذلك استغلالهم في البغاء وفي المواد الإباحية وغيرها من مواد الاعتداء الجنسي على الأطفال</w:t>
      </w:r>
    </w:p>
    <w:p w:rsidR="006B0159" w:rsidRPr="006B0159" w:rsidRDefault="006B0159" w:rsidP="006B0159">
      <w:pPr>
        <w:pStyle w:val="SingleTxtGA"/>
        <w:rPr>
          <w:rFonts w:eastAsiaTheme="minorEastAsia"/>
          <w:i/>
          <w:iCs/>
          <w:szCs w:val="20"/>
          <w:lang w:eastAsia="zh-TW" w:bidi="en-GB"/>
        </w:rPr>
      </w:pPr>
      <w:r w:rsidRPr="006B0159">
        <w:rPr>
          <w:rFonts w:eastAsiaTheme="minorEastAsia"/>
          <w:i/>
          <w:iCs/>
          <w:rtl/>
        </w:rPr>
        <w:tab/>
        <w:t>إن مجلس حقوق الإنسان،</w:t>
      </w:r>
    </w:p>
    <w:p w:rsidR="006B0159" w:rsidRPr="006B0159" w:rsidRDefault="006B0159" w:rsidP="006B0159">
      <w:pPr>
        <w:pStyle w:val="SingleTxtGA"/>
        <w:rPr>
          <w:rFonts w:eastAsiaTheme="minorEastAsia"/>
          <w:szCs w:val="20"/>
          <w:lang w:val="ar-SA" w:eastAsia="zh-TW" w:bidi="en-GB"/>
        </w:rPr>
      </w:pPr>
      <w:r w:rsidRPr="006B0159">
        <w:rPr>
          <w:rFonts w:eastAsiaTheme="minorEastAsia"/>
          <w:i/>
          <w:iCs/>
          <w:rtl/>
        </w:rPr>
        <w:tab/>
      </w:r>
      <w:r w:rsidRPr="006B0159">
        <w:rPr>
          <w:rFonts w:eastAsiaTheme="minorEastAsia"/>
          <w:i/>
          <w:iCs/>
          <w:rtl/>
        </w:rPr>
        <w:t xml:space="preserve">إذ يشير </w:t>
      </w:r>
      <w:r w:rsidRPr="006B0159">
        <w:rPr>
          <w:rFonts w:eastAsiaTheme="minorEastAsia"/>
          <w:rtl/>
        </w:rPr>
        <w:t xml:space="preserve">إلى قراري مجلس حقوق الإنسان </w:t>
      </w:r>
      <w:r w:rsidRPr="006B0159">
        <w:rPr>
          <w:rFonts w:eastAsiaTheme="minorEastAsia"/>
          <w:szCs w:val="20"/>
          <w:rtl/>
        </w:rPr>
        <w:t>7/13</w:t>
      </w:r>
      <w:r w:rsidRPr="006B0159">
        <w:rPr>
          <w:rFonts w:eastAsiaTheme="minorEastAsia"/>
          <w:rtl/>
        </w:rPr>
        <w:t xml:space="preserve"> المؤرخ </w:t>
      </w:r>
      <w:r w:rsidRPr="006B0159">
        <w:rPr>
          <w:rFonts w:eastAsiaTheme="minorEastAsia"/>
          <w:szCs w:val="20"/>
          <w:rtl/>
        </w:rPr>
        <w:t>27</w:t>
      </w:r>
      <w:r w:rsidRPr="006B0159">
        <w:rPr>
          <w:rFonts w:eastAsiaTheme="minorEastAsia"/>
          <w:rtl/>
        </w:rPr>
        <w:t xml:space="preserve"> آذار/مارس </w:t>
      </w:r>
      <w:r w:rsidRPr="006B0159">
        <w:rPr>
          <w:rFonts w:eastAsiaTheme="minorEastAsia"/>
          <w:szCs w:val="20"/>
          <w:rtl/>
        </w:rPr>
        <w:t>2008</w:t>
      </w:r>
      <w:r w:rsidRPr="006B0159">
        <w:rPr>
          <w:rFonts w:eastAsiaTheme="minorEastAsia"/>
          <w:rtl/>
        </w:rPr>
        <w:t xml:space="preserve"> و</w:t>
      </w:r>
      <w:r w:rsidRPr="006B0159">
        <w:rPr>
          <w:rFonts w:eastAsiaTheme="minorEastAsia"/>
          <w:szCs w:val="20"/>
          <w:rtl/>
        </w:rPr>
        <w:t>34/16</w:t>
      </w:r>
      <w:r w:rsidRPr="006B0159">
        <w:rPr>
          <w:rFonts w:eastAsiaTheme="minorEastAsia"/>
          <w:rtl/>
        </w:rPr>
        <w:t xml:space="preserve"> المؤرخ</w:t>
      </w:r>
      <w:r w:rsidRPr="006B0159">
        <w:rPr>
          <w:rFonts w:eastAsiaTheme="minorEastAsia" w:hint="cs"/>
          <w:rtl/>
        </w:rPr>
        <w:t> </w:t>
      </w:r>
      <w:r w:rsidRPr="006B0159">
        <w:rPr>
          <w:rFonts w:eastAsiaTheme="minorEastAsia"/>
          <w:szCs w:val="20"/>
          <w:rtl/>
        </w:rPr>
        <w:t>24</w:t>
      </w:r>
      <w:r w:rsidRPr="006B0159">
        <w:rPr>
          <w:rFonts w:eastAsiaTheme="minorEastAsia"/>
          <w:rtl/>
        </w:rPr>
        <w:t xml:space="preserve"> آذار/مارس </w:t>
      </w:r>
      <w:r w:rsidRPr="006B0159">
        <w:rPr>
          <w:rFonts w:eastAsiaTheme="minorEastAsia"/>
          <w:szCs w:val="20"/>
          <w:rtl/>
        </w:rPr>
        <w:t>2017</w:t>
      </w:r>
      <w:r w:rsidRPr="006B0159">
        <w:rPr>
          <w:rFonts w:eastAsiaTheme="minorEastAsia"/>
          <w:rtl/>
        </w:rPr>
        <w:t>، وإلى جميع قرارات لجنة حقوق الإنسان ذات الصلة، ولا سيما قرار اللجنة</w:t>
      </w:r>
      <w:r w:rsidRPr="006B0159">
        <w:rPr>
          <w:rFonts w:eastAsiaTheme="minorEastAsia" w:hint="cs"/>
          <w:rtl/>
        </w:rPr>
        <w:t> </w:t>
      </w:r>
      <w:r w:rsidRPr="006B0159">
        <w:rPr>
          <w:rFonts w:eastAsiaTheme="minorEastAsia"/>
          <w:szCs w:val="20"/>
          <w:rtl/>
        </w:rPr>
        <w:t>1990/68</w:t>
      </w:r>
      <w:r w:rsidRPr="006B0159">
        <w:rPr>
          <w:rFonts w:eastAsiaTheme="minorEastAsia"/>
          <w:rtl/>
        </w:rPr>
        <w:t xml:space="preserve"> المؤرخ </w:t>
      </w:r>
      <w:r w:rsidRPr="006B0159">
        <w:rPr>
          <w:rFonts w:eastAsiaTheme="minorEastAsia"/>
          <w:szCs w:val="20"/>
          <w:rtl/>
        </w:rPr>
        <w:t>7</w:t>
      </w:r>
      <w:r w:rsidRPr="006B0159">
        <w:rPr>
          <w:rFonts w:eastAsiaTheme="minorEastAsia"/>
          <w:rtl/>
        </w:rPr>
        <w:t xml:space="preserve"> آذار/مارس </w:t>
      </w:r>
      <w:r w:rsidRPr="006B0159">
        <w:rPr>
          <w:rFonts w:eastAsiaTheme="minorEastAsia"/>
          <w:szCs w:val="20"/>
          <w:rtl/>
        </w:rPr>
        <w:t>1990</w:t>
      </w:r>
      <w:r w:rsidRPr="006B0159">
        <w:rPr>
          <w:rFonts w:eastAsiaTheme="minorEastAsia"/>
          <w:rtl/>
        </w:rPr>
        <w:t xml:space="preserve">، وإلى مقرر المجلس الاقتصادي والاجتماعي </w:t>
      </w:r>
      <w:r w:rsidRPr="006B0159">
        <w:rPr>
          <w:rFonts w:eastAsiaTheme="minorEastAsia"/>
          <w:szCs w:val="20"/>
          <w:rtl/>
        </w:rPr>
        <w:t>2004/285</w:t>
      </w:r>
      <w:r w:rsidRPr="006B0159">
        <w:rPr>
          <w:rFonts w:eastAsiaTheme="minorEastAsia"/>
          <w:rtl/>
        </w:rPr>
        <w:t xml:space="preserve"> المؤرخ </w:t>
      </w:r>
      <w:r w:rsidRPr="006B0159">
        <w:rPr>
          <w:rFonts w:eastAsiaTheme="minorEastAsia"/>
          <w:szCs w:val="20"/>
          <w:rtl/>
        </w:rPr>
        <w:t>22</w:t>
      </w:r>
      <w:r w:rsidRPr="006B0159">
        <w:rPr>
          <w:rFonts w:eastAsiaTheme="minorEastAsia"/>
          <w:rtl/>
        </w:rPr>
        <w:t xml:space="preserve"> تموز/يوليه </w:t>
      </w:r>
      <w:r w:rsidRPr="006B0159">
        <w:rPr>
          <w:rFonts w:eastAsiaTheme="minorEastAsia"/>
          <w:szCs w:val="20"/>
          <w:rtl/>
        </w:rPr>
        <w:t>2004</w:t>
      </w:r>
      <w:r w:rsidRPr="006B0159">
        <w:rPr>
          <w:rFonts w:eastAsiaTheme="minorEastAsia"/>
          <w:rtl/>
        </w:rPr>
        <w:t>،</w:t>
      </w:r>
    </w:p>
    <w:p w:rsidR="006B0159" w:rsidRPr="006B0159" w:rsidRDefault="006B0159" w:rsidP="006B0159">
      <w:pPr>
        <w:pStyle w:val="SingleTxtGA"/>
        <w:rPr>
          <w:rFonts w:eastAsiaTheme="minorEastAsia"/>
          <w:szCs w:val="20"/>
          <w:lang w:val="ar-SA" w:eastAsia="zh-TW" w:bidi="en-GB"/>
        </w:rPr>
      </w:pPr>
      <w:r w:rsidRPr="006B0159">
        <w:rPr>
          <w:rFonts w:eastAsiaTheme="minorEastAsia"/>
          <w:i/>
          <w:iCs/>
          <w:rtl/>
        </w:rPr>
        <w:lastRenderedPageBreak/>
        <w:tab/>
      </w:r>
      <w:r w:rsidRPr="006B0159">
        <w:rPr>
          <w:rFonts w:eastAsiaTheme="minorEastAsia"/>
          <w:i/>
          <w:iCs/>
          <w:rtl/>
        </w:rPr>
        <w:t xml:space="preserve">وإذ يشدد </w:t>
      </w:r>
      <w:r w:rsidRPr="006B0159">
        <w:rPr>
          <w:rFonts w:eastAsiaTheme="minorEastAsia"/>
          <w:rtl/>
        </w:rPr>
        <w:t>على أن اتفاقية حقوق الطفل تشكل المعيار الذي يُستند إليه في تعزيز حقوق الطفل وحمايتها، ويضع في اعتباره أهمية البروتوكولات الاختيارية للاتفاقية، ويدعو إلى تصديق الجميع عليها وتنفيذها تنفيذاً فعالاً،</w:t>
      </w:r>
    </w:p>
    <w:p w:rsidR="006B0159" w:rsidRPr="006B0159" w:rsidRDefault="006B0159" w:rsidP="006B0159">
      <w:pPr>
        <w:pStyle w:val="SingleTxtGA"/>
        <w:rPr>
          <w:rFonts w:eastAsiaTheme="minorEastAsia"/>
          <w:b/>
          <w:szCs w:val="20"/>
          <w:lang w:val="ar-SA" w:eastAsia="zh-TW" w:bidi="en-GB"/>
        </w:rPr>
      </w:pPr>
      <w:r w:rsidRPr="006B0159">
        <w:rPr>
          <w:rFonts w:eastAsiaTheme="minorEastAsia"/>
          <w:b/>
          <w:i/>
          <w:iCs/>
          <w:rtl/>
        </w:rPr>
        <w:tab/>
      </w:r>
      <w:r w:rsidRPr="006B0159">
        <w:rPr>
          <w:rFonts w:eastAsiaTheme="minorEastAsia"/>
          <w:b/>
          <w:i/>
          <w:iCs/>
          <w:rtl/>
        </w:rPr>
        <w:t xml:space="preserve">وإذ يساوره بالغ القلق </w:t>
      </w:r>
      <w:r w:rsidRPr="006B0159">
        <w:rPr>
          <w:rFonts w:eastAsiaTheme="minorEastAsia"/>
          <w:b/>
          <w:rtl/>
        </w:rPr>
        <w:t xml:space="preserve">إزاء استمرار بيع الأطفال واستغلالهم والاعتداء عليهم جنسياً، </w:t>
      </w:r>
    </w:p>
    <w:p w:rsidR="006B0159" w:rsidRPr="006B0159" w:rsidRDefault="006B0159" w:rsidP="006B0159">
      <w:pPr>
        <w:pStyle w:val="SingleTxtGA"/>
        <w:rPr>
          <w:rFonts w:eastAsiaTheme="minorEastAsia"/>
          <w:szCs w:val="20"/>
          <w:lang w:val="ar-SA" w:eastAsia="zh-TW" w:bidi="en-GB"/>
        </w:rPr>
      </w:pPr>
      <w:r w:rsidRPr="006B0159">
        <w:rPr>
          <w:rFonts w:eastAsiaTheme="minorEastAsia"/>
          <w:i/>
          <w:iCs/>
          <w:rtl/>
        </w:rPr>
        <w:tab/>
      </w:r>
      <w:r w:rsidRPr="006B0159">
        <w:rPr>
          <w:rFonts w:eastAsiaTheme="minorEastAsia"/>
          <w:i/>
          <w:iCs/>
          <w:rtl/>
        </w:rPr>
        <w:t xml:space="preserve">وإذ يسلم </w:t>
      </w:r>
      <w:r w:rsidRPr="006B0159">
        <w:rPr>
          <w:rFonts w:eastAsiaTheme="minorEastAsia"/>
          <w:rtl/>
        </w:rPr>
        <w:t>بحجم وتعقيد جميع أشكال بيع الأطفال واستغلالهم والاعتداء عليهم جنسياً، بما في ذلك على الإنترنت، وبالضرر الفردي والمجتمعي الجسيم الناجم عنها،</w:t>
      </w:r>
    </w:p>
    <w:p w:rsidR="006B0159" w:rsidRPr="006B60D8" w:rsidRDefault="006B0159" w:rsidP="006B0159">
      <w:pPr>
        <w:pStyle w:val="SingleTxtGA"/>
        <w:rPr>
          <w:rFonts w:eastAsiaTheme="minorEastAsia"/>
          <w:szCs w:val="20"/>
          <w:lang w:eastAsia="zh-TW" w:bidi="en-GB"/>
        </w:rPr>
      </w:pPr>
      <w:r w:rsidRPr="006B0159">
        <w:rPr>
          <w:rFonts w:eastAsiaTheme="minorEastAsia"/>
          <w:i/>
          <w:iCs/>
          <w:rtl/>
        </w:rPr>
        <w:tab/>
      </w:r>
      <w:r w:rsidRPr="006B0159">
        <w:rPr>
          <w:rFonts w:eastAsiaTheme="minorEastAsia"/>
          <w:i/>
          <w:iCs/>
          <w:rtl/>
        </w:rPr>
        <w:t xml:space="preserve">وإذ يشير </w:t>
      </w:r>
      <w:r w:rsidRPr="006B0159">
        <w:rPr>
          <w:rFonts w:eastAsiaTheme="minorEastAsia"/>
          <w:rtl/>
        </w:rPr>
        <w:t xml:space="preserve">إلى قراري مجلس حقوق الإنسان </w:t>
      </w:r>
      <w:r w:rsidRPr="006B0159">
        <w:rPr>
          <w:rFonts w:eastAsiaTheme="minorEastAsia"/>
          <w:szCs w:val="20"/>
          <w:rtl/>
        </w:rPr>
        <w:t>5/1</w:t>
      </w:r>
      <w:r w:rsidRPr="006B0159">
        <w:rPr>
          <w:rFonts w:eastAsiaTheme="minorEastAsia"/>
          <w:rtl/>
        </w:rPr>
        <w:t xml:space="preserve"> بشأن بناء مؤسسات مجلس حقوق الإنسان و</w:t>
      </w:r>
      <w:r w:rsidRPr="006B0159">
        <w:rPr>
          <w:rFonts w:eastAsiaTheme="minorEastAsia"/>
          <w:szCs w:val="20"/>
          <w:rtl/>
        </w:rPr>
        <w:t>5/2</w:t>
      </w:r>
      <w:r w:rsidRPr="006B0159">
        <w:rPr>
          <w:rFonts w:eastAsiaTheme="minorEastAsia"/>
          <w:rtl/>
        </w:rPr>
        <w:t xml:space="preserve"> بشأن مدونة قواعد السلوك للمكلفين بولايات في إطار الإجراءات الخاصة التابعة للمجلس، المؤرخيْن </w:t>
      </w:r>
      <w:r w:rsidRPr="006B0159">
        <w:rPr>
          <w:rFonts w:eastAsiaTheme="minorEastAsia"/>
          <w:szCs w:val="20"/>
          <w:rtl/>
        </w:rPr>
        <w:t>18</w:t>
      </w:r>
      <w:r w:rsidRPr="006B0159">
        <w:rPr>
          <w:rFonts w:eastAsiaTheme="minorEastAsia"/>
          <w:rtl/>
        </w:rPr>
        <w:t xml:space="preserve"> حزيران/يونيه </w:t>
      </w:r>
      <w:r w:rsidRPr="006B0159">
        <w:rPr>
          <w:rFonts w:eastAsiaTheme="minorEastAsia"/>
          <w:szCs w:val="20"/>
          <w:rtl/>
        </w:rPr>
        <w:t>2007</w:t>
      </w:r>
      <w:r w:rsidRPr="006B0159">
        <w:rPr>
          <w:rFonts w:eastAsiaTheme="minorEastAsia"/>
          <w:rtl/>
        </w:rPr>
        <w:t>، وإذ يشدد على أن تضطلع المكلفة بالولاية بواجباتها طبقاً للقرارين المذكورين ومرفقيهما،</w:t>
      </w:r>
    </w:p>
    <w:p w:rsidR="006B0159" w:rsidRPr="006B0159" w:rsidRDefault="006B0159" w:rsidP="006B0159">
      <w:pPr>
        <w:pStyle w:val="SingleTxtGA"/>
        <w:rPr>
          <w:rFonts w:eastAsiaTheme="minorEastAsia"/>
          <w:szCs w:val="20"/>
          <w:lang w:val="ar-SA" w:eastAsia="zh-TW" w:bidi="en-GB"/>
        </w:rPr>
      </w:pPr>
      <w:r w:rsidRPr="006B0159">
        <w:rPr>
          <w:rFonts w:eastAsiaTheme="minorEastAsia"/>
          <w:szCs w:val="20"/>
          <w:rtl/>
        </w:rPr>
        <w:tab/>
      </w:r>
      <w:r w:rsidRPr="006B0159">
        <w:rPr>
          <w:rFonts w:eastAsiaTheme="minorEastAsia"/>
          <w:szCs w:val="20"/>
          <w:rtl/>
        </w:rPr>
        <w:t>1-</w:t>
      </w:r>
      <w:r w:rsidRPr="006B0159">
        <w:rPr>
          <w:rFonts w:eastAsiaTheme="minorEastAsia"/>
          <w:rtl/>
        </w:rPr>
        <w:tab/>
      </w:r>
      <w:r w:rsidRPr="006B0159">
        <w:rPr>
          <w:rFonts w:eastAsiaTheme="minorEastAsia"/>
          <w:i/>
          <w:iCs/>
          <w:rtl/>
        </w:rPr>
        <w:t>يرحب</w:t>
      </w:r>
      <w:r w:rsidRPr="006B0159">
        <w:rPr>
          <w:rFonts w:eastAsiaTheme="minorEastAsia"/>
          <w:rtl/>
        </w:rPr>
        <w:t xml:space="preserve"> بعمل وإسهامات المقررة الخاصة المعنية ببيع الأطفال واستغلالهم جنسياً، بما</w:t>
      </w:r>
      <w:r w:rsidR="006B60D8">
        <w:rPr>
          <w:rFonts w:eastAsiaTheme="minorEastAsia" w:hint="cs"/>
          <w:rtl/>
        </w:rPr>
        <w:t> </w:t>
      </w:r>
      <w:r w:rsidRPr="006B0159">
        <w:rPr>
          <w:rFonts w:eastAsiaTheme="minorEastAsia"/>
          <w:rtl/>
        </w:rPr>
        <w:t>في ذلك استغلالهم في البغاء وفي المواد الإباحية وغيرها من مواد الاعتداء الجنسي على الأطفال؛</w:t>
      </w:r>
    </w:p>
    <w:p w:rsidR="006B0159" w:rsidRPr="006B60D8" w:rsidRDefault="006B0159" w:rsidP="006B0159">
      <w:pPr>
        <w:pStyle w:val="SingleTxtGA"/>
        <w:rPr>
          <w:rFonts w:eastAsiaTheme="minorEastAsia" w:hint="cs"/>
          <w:szCs w:val="20"/>
          <w:lang w:eastAsia="zh-TW" w:bidi="en-GB"/>
        </w:rPr>
      </w:pPr>
      <w:r w:rsidRPr="006B0159">
        <w:rPr>
          <w:rFonts w:eastAsiaTheme="minorEastAsia"/>
          <w:szCs w:val="20"/>
          <w:rtl/>
        </w:rPr>
        <w:tab/>
      </w:r>
      <w:r w:rsidRPr="006B0159">
        <w:rPr>
          <w:rFonts w:eastAsiaTheme="minorEastAsia"/>
          <w:szCs w:val="20"/>
          <w:rtl/>
        </w:rPr>
        <w:t>2-</w:t>
      </w:r>
      <w:r w:rsidRPr="006B0159">
        <w:rPr>
          <w:rFonts w:eastAsiaTheme="minorEastAsia"/>
          <w:rtl/>
        </w:rPr>
        <w:tab/>
      </w:r>
      <w:r w:rsidRPr="006B0159">
        <w:rPr>
          <w:rFonts w:eastAsiaTheme="minorEastAsia"/>
          <w:i/>
          <w:iCs/>
          <w:rtl/>
        </w:rPr>
        <w:t>يقرر</w:t>
      </w:r>
      <w:r w:rsidRPr="006B0159">
        <w:rPr>
          <w:rFonts w:eastAsiaTheme="minorEastAsia"/>
          <w:rtl/>
        </w:rPr>
        <w:t xml:space="preserve"> تمديد ولاية المقررة الخاصة وفقاً لقراري مجلس حقوق الإنسان </w:t>
      </w:r>
      <w:r w:rsidRPr="006B0159">
        <w:rPr>
          <w:rFonts w:eastAsiaTheme="minorEastAsia"/>
          <w:szCs w:val="20"/>
          <w:rtl/>
        </w:rPr>
        <w:t>7/13</w:t>
      </w:r>
      <w:r w:rsidRPr="006B0159">
        <w:rPr>
          <w:rFonts w:eastAsiaTheme="minorEastAsia"/>
          <w:rtl/>
        </w:rPr>
        <w:t xml:space="preserve"> و</w:t>
      </w:r>
      <w:r w:rsidRPr="006B0159">
        <w:rPr>
          <w:rFonts w:eastAsiaTheme="minorEastAsia"/>
          <w:szCs w:val="20"/>
          <w:rtl/>
        </w:rPr>
        <w:t>34/16</w:t>
      </w:r>
      <w:r w:rsidRPr="006B0159">
        <w:rPr>
          <w:rFonts w:eastAsiaTheme="minorEastAsia"/>
          <w:rtl/>
        </w:rPr>
        <w:t xml:space="preserve"> لفترة ثلاث سنوات إضافية؛</w:t>
      </w:r>
    </w:p>
    <w:p w:rsidR="006B0159" w:rsidRPr="006B0159" w:rsidRDefault="006B0159" w:rsidP="006B0159">
      <w:pPr>
        <w:pStyle w:val="SingleTxtGA"/>
        <w:rPr>
          <w:rFonts w:eastAsiaTheme="minorEastAsia"/>
          <w:szCs w:val="20"/>
          <w:lang w:val="ar-SA" w:eastAsia="zh-TW" w:bidi="en-GB"/>
        </w:rPr>
      </w:pPr>
      <w:r w:rsidRPr="006B0159">
        <w:rPr>
          <w:rFonts w:eastAsiaTheme="minorEastAsia"/>
          <w:szCs w:val="20"/>
          <w:rtl/>
        </w:rPr>
        <w:tab/>
      </w:r>
      <w:r w:rsidRPr="006B0159">
        <w:rPr>
          <w:rFonts w:eastAsiaTheme="minorEastAsia"/>
          <w:szCs w:val="20"/>
          <w:rtl/>
        </w:rPr>
        <w:t>3-</w:t>
      </w:r>
      <w:r w:rsidRPr="006B0159">
        <w:rPr>
          <w:rFonts w:eastAsiaTheme="minorEastAsia"/>
          <w:rtl/>
        </w:rPr>
        <w:tab/>
      </w:r>
      <w:r w:rsidRPr="006B0159">
        <w:rPr>
          <w:rFonts w:eastAsiaTheme="minorEastAsia"/>
          <w:i/>
          <w:iCs/>
          <w:rtl/>
        </w:rPr>
        <w:t>يطلب</w:t>
      </w:r>
      <w:r w:rsidRPr="006B0159">
        <w:rPr>
          <w:rFonts w:eastAsiaTheme="minorEastAsia"/>
          <w:rtl/>
        </w:rPr>
        <w:t xml:space="preserve"> إلى المقررة الخاصة أن تدعم الدول في وضع أطر قانونية وسياساتية واستراتيجيات لحماية الطفل بطريقة مراعية لاحتياجات الطفل وللمنظور الجنساني ومؤاتية للطفل من أجل منع الأشكال الجديدة والناشئة من بيع الأطفال واستغلالهم والاعتداء عليهم جنسياً عبر الإنترنت والقضاء عليها على نحو فعال، وفقاً للقانون الدولي لحقوق الإنسان؛</w:t>
      </w:r>
    </w:p>
    <w:p w:rsidR="006B0159" w:rsidRPr="006B0159" w:rsidRDefault="006B0159" w:rsidP="006B0159">
      <w:pPr>
        <w:pStyle w:val="SingleTxtGA"/>
        <w:rPr>
          <w:rFonts w:eastAsiaTheme="minorEastAsia"/>
          <w:szCs w:val="20"/>
          <w:lang w:val="ar-SA" w:eastAsia="zh-TW" w:bidi="en-GB"/>
        </w:rPr>
      </w:pPr>
      <w:r w:rsidRPr="006B0159">
        <w:rPr>
          <w:rFonts w:eastAsiaTheme="minorEastAsia"/>
          <w:szCs w:val="20"/>
          <w:rtl/>
        </w:rPr>
        <w:tab/>
      </w:r>
      <w:r w:rsidRPr="006B0159">
        <w:rPr>
          <w:rFonts w:eastAsiaTheme="minorEastAsia"/>
          <w:szCs w:val="20"/>
          <w:rtl/>
        </w:rPr>
        <w:t>4-</w:t>
      </w:r>
      <w:r w:rsidRPr="006B0159">
        <w:rPr>
          <w:rFonts w:eastAsiaTheme="minorEastAsia"/>
          <w:rtl/>
        </w:rPr>
        <w:tab/>
      </w:r>
      <w:r w:rsidRPr="006B0159">
        <w:rPr>
          <w:rFonts w:eastAsiaTheme="minorEastAsia"/>
          <w:i/>
          <w:iCs/>
          <w:rtl/>
        </w:rPr>
        <w:t>يطلب</w:t>
      </w:r>
      <w:r w:rsidRPr="006B0159">
        <w:rPr>
          <w:rFonts w:eastAsiaTheme="minorEastAsia"/>
          <w:rtl/>
        </w:rPr>
        <w:t xml:space="preserve"> </w:t>
      </w:r>
      <w:r w:rsidRPr="006B0159">
        <w:rPr>
          <w:rFonts w:eastAsiaTheme="minorEastAsia"/>
          <w:i/>
          <w:iCs/>
          <w:rtl/>
        </w:rPr>
        <w:t>أيضاً</w:t>
      </w:r>
      <w:r w:rsidRPr="006B0159">
        <w:rPr>
          <w:rFonts w:eastAsiaTheme="minorEastAsia"/>
          <w:rtl/>
        </w:rPr>
        <w:t xml:space="preserve"> إلى المقررة الخاصة أن تواصل تقديم تقارير سنوية عن تنفيذ الولاية إلى مجلس حقوق الإنسان والجمعية العامة، وفقاً لبرامج عمل كل منهما، مع تقديم اقتراحات وتوصيات بشأن منع بيع الأطفال واستغلالهم والاعتداء عليهم جنسياً وبشأن إعادة تأهيل الأطفال الضحايا والناجين وتعافيهم وإعادة إدماجهم، بطريقة تراعي المنظور الجنساني وتستند إلى حقوق الطفل؛</w:t>
      </w:r>
    </w:p>
    <w:p w:rsidR="006B0159" w:rsidRPr="008E10D0" w:rsidRDefault="006B0159" w:rsidP="006B0159">
      <w:pPr>
        <w:pStyle w:val="SingleTxtGA"/>
        <w:rPr>
          <w:rFonts w:eastAsiaTheme="minorEastAsia" w:hint="cs"/>
          <w:szCs w:val="20"/>
          <w:lang w:eastAsia="zh-TW" w:bidi="en-GB"/>
        </w:rPr>
      </w:pPr>
      <w:bookmarkStart w:id="1" w:name="_30j0zll" w:colFirst="0" w:colLast="0"/>
      <w:bookmarkEnd w:id="1"/>
      <w:r w:rsidRPr="006B0159">
        <w:rPr>
          <w:rFonts w:eastAsiaTheme="minorEastAsia"/>
          <w:szCs w:val="20"/>
          <w:rtl/>
        </w:rPr>
        <w:tab/>
      </w:r>
      <w:r w:rsidRPr="006B0159">
        <w:rPr>
          <w:rFonts w:eastAsiaTheme="minorEastAsia"/>
          <w:szCs w:val="20"/>
          <w:rtl/>
        </w:rPr>
        <w:t>5-</w:t>
      </w:r>
      <w:r w:rsidRPr="006B0159">
        <w:rPr>
          <w:rFonts w:eastAsiaTheme="minorEastAsia"/>
          <w:rtl/>
        </w:rPr>
        <w:tab/>
      </w:r>
      <w:r w:rsidRPr="006B0159">
        <w:rPr>
          <w:rFonts w:eastAsiaTheme="minorEastAsia"/>
          <w:i/>
          <w:iCs/>
          <w:rtl/>
        </w:rPr>
        <w:t>يطلب</w:t>
      </w:r>
      <w:r w:rsidRPr="006B0159">
        <w:rPr>
          <w:rFonts w:eastAsiaTheme="minorEastAsia"/>
          <w:rtl/>
        </w:rPr>
        <w:t xml:space="preserve"> إلى جميع الدول أن تتعاون تعاوناً كاملاً مع المقررة الخاصة وأن تساعدها في أداء مهامها، وأن تقدم إليها جميع المعلومات اللازمة التي تطلبها، وأن تستجيب لطلباتها المتعلقة بالزيارات وبتنفيذ توصياتها؛</w:t>
      </w:r>
    </w:p>
    <w:p w:rsidR="006B0159" w:rsidRPr="006B0159" w:rsidRDefault="006B0159" w:rsidP="006B0159">
      <w:pPr>
        <w:pStyle w:val="SingleTxtGA"/>
        <w:rPr>
          <w:rFonts w:eastAsiaTheme="minorEastAsia"/>
          <w:szCs w:val="20"/>
          <w:lang w:eastAsia="zh-TW" w:bidi="en-GB"/>
        </w:rPr>
      </w:pPr>
      <w:r w:rsidRPr="006B0159">
        <w:rPr>
          <w:rFonts w:eastAsiaTheme="minorEastAsia"/>
          <w:szCs w:val="20"/>
          <w:rtl/>
        </w:rPr>
        <w:tab/>
      </w:r>
      <w:r w:rsidRPr="006B0159">
        <w:rPr>
          <w:rFonts w:eastAsiaTheme="minorEastAsia"/>
          <w:szCs w:val="20"/>
          <w:rtl/>
        </w:rPr>
        <w:t>6</w:t>
      </w:r>
      <w:r>
        <w:rPr>
          <w:rFonts w:eastAsiaTheme="minorEastAsia" w:hint="cs"/>
          <w:szCs w:val="20"/>
          <w:rtl/>
        </w:rPr>
        <w:t>-</w:t>
      </w:r>
      <w:r w:rsidRPr="006B0159">
        <w:rPr>
          <w:rFonts w:eastAsiaTheme="minorEastAsia"/>
          <w:rtl/>
        </w:rPr>
        <w:tab/>
      </w:r>
      <w:r w:rsidRPr="006B0159">
        <w:rPr>
          <w:rFonts w:eastAsiaTheme="minorEastAsia"/>
          <w:i/>
          <w:iCs/>
          <w:rtl/>
        </w:rPr>
        <w:t>يشجع</w:t>
      </w:r>
      <w:r w:rsidRPr="006B0159">
        <w:rPr>
          <w:rFonts w:eastAsiaTheme="minorEastAsia"/>
          <w:rtl/>
        </w:rPr>
        <w:t xml:space="preserve"> المقررة الخاصة على مواصلة التعاون مع المقررة الخاصة المعنية بأشكال الرق المعاصرة، بما في ذلك أسبابها وعواقبها، والمقررة الخاصة المعنية بالاتجار بالأشخاص، وبخاصة النساء والأطفال؛ </w:t>
      </w:r>
    </w:p>
    <w:p w:rsidR="006B0159" w:rsidRPr="006B0159" w:rsidRDefault="006B0159" w:rsidP="006B0159">
      <w:pPr>
        <w:pStyle w:val="SingleTxtGA"/>
        <w:rPr>
          <w:rFonts w:eastAsiaTheme="minorEastAsia"/>
          <w:szCs w:val="20"/>
          <w:lang w:val="ar-SA" w:eastAsia="zh-TW" w:bidi="en-GB"/>
        </w:rPr>
      </w:pPr>
      <w:r w:rsidRPr="006B0159">
        <w:rPr>
          <w:rFonts w:eastAsiaTheme="minorEastAsia"/>
          <w:szCs w:val="20"/>
          <w:rtl/>
        </w:rPr>
        <w:tab/>
      </w:r>
      <w:r w:rsidRPr="006B0159">
        <w:rPr>
          <w:rFonts w:eastAsiaTheme="minorEastAsia"/>
          <w:szCs w:val="20"/>
          <w:rtl/>
        </w:rPr>
        <w:t>7-</w:t>
      </w:r>
      <w:r w:rsidRPr="006B0159">
        <w:rPr>
          <w:rFonts w:eastAsiaTheme="minorEastAsia"/>
          <w:rtl/>
        </w:rPr>
        <w:tab/>
      </w:r>
      <w:r w:rsidRPr="006B0159">
        <w:rPr>
          <w:rFonts w:eastAsiaTheme="minorEastAsia"/>
          <w:i/>
          <w:iCs/>
          <w:rtl/>
        </w:rPr>
        <w:t>يطلب</w:t>
      </w:r>
      <w:r w:rsidRPr="006B0159">
        <w:rPr>
          <w:rFonts w:eastAsiaTheme="minorEastAsia"/>
          <w:rtl/>
        </w:rPr>
        <w:t xml:space="preserve"> إلى الأمين العام ومفوضة الأمم المتحدة السامية لحقوق الإنسان أن يقدما إلى المقررة الخاصة ما يلزمها من مساعدة لإنجاز ولايتها، لا سيما بوضع ما يكفي من الموارد البشرية والمادية تحت تصرفها؛</w:t>
      </w:r>
    </w:p>
    <w:p w:rsidR="006B0159" w:rsidRPr="006B0159" w:rsidRDefault="006B0159" w:rsidP="006B0159">
      <w:pPr>
        <w:pStyle w:val="SingleTxtGA"/>
        <w:rPr>
          <w:rFonts w:eastAsiaTheme="minorEastAsia"/>
          <w:szCs w:val="20"/>
          <w:lang w:val="ar-SA" w:eastAsia="zh-TW" w:bidi="en-GB"/>
        </w:rPr>
      </w:pPr>
      <w:r w:rsidRPr="006B0159">
        <w:rPr>
          <w:rFonts w:eastAsiaTheme="minorEastAsia"/>
          <w:szCs w:val="20"/>
          <w:rtl/>
        </w:rPr>
        <w:tab/>
      </w:r>
      <w:r w:rsidRPr="006B0159">
        <w:rPr>
          <w:rFonts w:eastAsiaTheme="minorEastAsia"/>
          <w:szCs w:val="20"/>
          <w:rtl/>
        </w:rPr>
        <w:t>8-</w:t>
      </w:r>
      <w:r w:rsidRPr="006B0159">
        <w:rPr>
          <w:rFonts w:eastAsiaTheme="minorEastAsia"/>
          <w:rtl/>
        </w:rPr>
        <w:tab/>
      </w:r>
      <w:r w:rsidRPr="006B0159">
        <w:rPr>
          <w:rFonts w:eastAsiaTheme="minorEastAsia"/>
          <w:i/>
          <w:iCs/>
          <w:rtl/>
        </w:rPr>
        <w:t>يقرر</w:t>
      </w:r>
      <w:r w:rsidRPr="006B0159">
        <w:rPr>
          <w:rFonts w:eastAsiaTheme="minorEastAsia"/>
          <w:rtl/>
        </w:rPr>
        <w:t xml:space="preserve"> مواصلة النظر في هذه المسألة وفقاً لبرنامج عمله.</w:t>
      </w:r>
    </w:p>
    <w:p w:rsidR="006B0159" w:rsidRPr="006B0159" w:rsidRDefault="006B0159" w:rsidP="006B0159">
      <w:pPr>
        <w:spacing w:before="120"/>
        <w:jc w:val="center"/>
        <w:rPr>
          <w:rFonts w:eastAsiaTheme="minorEastAsia" w:hint="cs"/>
          <w:u w:val="single"/>
          <w:rtl/>
        </w:rPr>
      </w:pPr>
      <w:r w:rsidRPr="006B0159">
        <w:rPr>
          <w:rFonts w:eastAsiaTheme="minorEastAsia"/>
          <w:u w:val="single"/>
          <w:rtl/>
        </w:rPr>
        <w:tab/>
      </w:r>
      <w:r w:rsidRPr="006B0159">
        <w:rPr>
          <w:rFonts w:eastAsiaTheme="minorEastAsia"/>
          <w:u w:val="single"/>
          <w:rtl/>
        </w:rPr>
        <w:tab/>
      </w:r>
      <w:r w:rsidRPr="006B0159">
        <w:rPr>
          <w:rFonts w:eastAsiaTheme="minorEastAsia"/>
          <w:u w:val="single"/>
          <w:rtl/>
        </w:rPr>
        <w:tab/>
      </w:r>
    </w:p>
    <w:sectPr w:rsidR="006B0159" w:rsidRPr="006B0159" w:rsidSect="00F8589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DB" w:rsidRPr="002901D9" w:rsidRDefault="00A739DB" w:rsidP="002901D9">
      <w:pPr>
        <w:spacing w:after="60" w:line="240" w:lineRule="auto"/>
        <w:rPr>
          <w:i/>
          <w:iCs/>
        </w:rPr>
      </w:pPr>
      <w:r>
        <w:rPr>
          <w:rFonts w:hint="cs"/>
          <w:i/>
          <w:iCs/>
          <w:rtl/>
        </w:rPr>
        <w:t>الحواشي</w:t>
      </w:r>
    </w:p>
  </w:endnote>
  <w:endnote w:type="continuationSeparator" w:id="0">
    <w:p w:rsidR="00A739DB" w:rsidRDefault="00A739D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93" w:rsidRPr="006B0159" w:rsidRDefault="006B0159" w:rsidP="006B0159">
    <w:pPr>
      <w:pStyle w:val="Footer"/>
      <w:tabs>
        <w:tab w:val="right" w:pos="9598"/>
      </w:tabs>
      <w:rPr>
        <w:sz w:val="17"/>
      </w:rPr>
    </w:pPr>
    <w:r>
      <w:rPr>
        <w:sz w:val="17"/>
      </w:rPr>
      <w:t>GE.20-03969</w:t>
    </w:r>
    <w:r>
      <w:rPr>
        <w:sz w:val="17"/>
      </w:rPr>
      <w:tab/>
    </w:r>
    <w:r w:rsidRPr="006B0159">
      <w:rPr>
        <w:b/>
        <w:sz w:val="18"/>
      </w:rPr>
      <w:fldChar w:fldCharType="begin"/>
    </w:r>
    <w:r w:rsidRPr="006B0159">
      <w:rPr>
        <w:b/>
        <w:sz w:val="18"/>
      </w:rPr>
      <w:instrText xml:space="preserve"> PAGE  \* MERGEFORMAT </w:instrText>
    </w:r>
    <w:r w:rsidRPr="006B0159">
      <w:rPr>
        <w:b/>
        <w:sz w:val="18"/>
      </w:rPr>
      <w:fldChar w:fldCharType="separate"/>
    </w:r>
    <w:r>
      <w:rPr>
        <w:b/>
        <w:sz w:val="18"/>
      </w:rPr>
      <w:t>2</w:t>
    </w:r>
    <w:r w:rsidRPr="006B015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6B0159" w:rsidRDefault="006B0159" w:rsidP="006959B0">
    <w:pPr>
      <w:pStyle w:val="Footer"/>
      <w:tabs>
        <w:tab w:val="right" w:pos="9599"/>
      </w:tabs>
      <w:jc w:val="left"/>
      <w:rPr>
        <w:b/>
        <w:sz w:val="18"/>
        <w:lang w:val="en-US"/>
      </w:rPr>
    </w:pPr>
    <w:r w:rsidRPr="006B0159">
      <w:rPr>
        <w:b/>
        <w:sz w:val="18"/>
        <w:lang w:val="en-US"/>
      </w:rPr>
      <w:fldChar w:fldCharType="begin"/>
    </w:r>
    <w:r w:rsidRPr="006B0159">
      <w:rPr>
        <w:b/>
        <w:sz w:val="18"/>
        <w:lang w:val="en-US"/>
      </w:rPr>
      <w:instrText xml:space="preserve"> PAGE  \* MERGEFORMAT </w:instrText>
    </w:r>
    <w:r w:rsidRPr="006B0159">
      <w:rPr>
        <w:b/>
        <w:sz w:val="18"/>
        <w:lang w:val="en-US"/>
      </w:rPr>
      <w:fldChar w:fldCharType="separate"/>
    </w:r>
    <w:r w:rsidRPr="006B0159">
      <w:rPr>
        <w:b/>
        <w:noProof/>
        <w:sz w:val="18"/>
        <w:lang w:val="en-US"/>
      </w:rPr>
      <w:t>3</w:t>
    </w:r>
    <w:r w:rsidRPr="006B0159">
      <w:rPr>
        <w:b/>
        <w:sz w:val="18"/>
        <w:lang w:val="en-US"/>
      </w:rPr>
      <w:fldChar w:fldCharType="end"/>
    </w:r>
    <w:r>
      <w:rPr>
        <w:b/>
        <w:sz w:val="18"/>
        <w:lang w:val="en-US"/>
      </w:rPr>
      <w:tab/>
    </w:r>
    <w:r>
      <w:rPr>
        <w:sz w:val="17"/>
        <w:lang w:val="en-US"/>
      </w:rPr>
      <w:t>GE.20-03969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F85893" w:rsidP="00F6741C">
    <w:pPr>
      <w:pStyle w:val="Footer"/>
      <w:spacing w:before="360"/>
      <w:jc w:val="right"/>
      <w:rPr>
        <w:sz w:val="20"/>
        <w:szCs w:val="20"/>
      </w:rPr>
    </w:pPr>
    <w:r>
      <w:rPr>
        <w:sz w:val="20"/>
        <w:szCs w:val="20"/>
      </w:rPr>
      <w:t>GE.20-03969</w:t>
    </w:r>
    <w:r w:rsidR="00D2403D">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F85893" w:rsidRPr="00F85893" w:rsidRDefault="00F85893" w:rsidP="00F8589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D2403D">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1340" cy="561340"/>
          <wp:effectExtent l="0" t="0" r="0" b="0"/>
          <wp:wrapNone/>
          <wp:docPr id="2" name="Picture 2" descr="http://undocs.org/m2/QRCode.ashx?DS=A/HRC/43/L.3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43/L.3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DB" w:rsidRPr="0054762C" w:rsidRDefault="00A739DB" w:rsidP="000E524A">
      <w:pPr>
        <w:pStyle w:val="Footer"/>
        <w:bidi/>
        <w:spacing w:after="80" w:line="200" w:lineRule="exact"/>
        <w:ind w:left="680"/>
      </w:pPr>
      <w:r>
        <w:rPr>
          <w:rtl/>
        </w:rPr>
        <w:t>__________</w:t>
      </w:r>
    </w:p>
  </w:footnote>
  <w:footnote w:type="continuationSeparator" w:id="0">
    <w:p w:rsidR="00A739DB" w:rsidRDefault="00A739DB" w:rsidP="00656392">
      <w:pPr>
        <w:spacing w:line="240" w:lineRule="auto"/>
      </w:pPr>
      <w:r>
        <w:continuationSeparator/>
      </w:r>
    </w:p>
  </w:footnote>
  <w:footnote w:id="1">
    <w:p w:rsidR="006B0159" w:rsidRPr="006B0159" w:rsidRDefault="006B0159" w:rsidP="006B0159">
      <w:pPr>
        <w:pStyle w:val="FootnoteText1"/>
        <w:rPr>
          <w:rFonts w:hint="cs"/>
          <w:sz w:val="16"/>
          <w:szCs w:val="24"/>
          <w:rtl/>
        </w:rPr>
      </w:pPr>
      <w:r>
        <w:rPr>
          <w:rtl/>
        </w:rPr>
        <w:t>*</w:t>
      </w:r>
      <w:r>
        <w:rPr>
          <w:rtl/>
        </w:rPr>
        <w:tab/>
      </w:r>
      <w:r w:rsidRPr="006B0159">
        <w:rPr>
          <w:rFonts w:hint="cs"/>
          <w:sz w:val="16"/>
          <w:szCs w:val="24"/>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93" w:rsidRPr="006B0159" w:rsidRDefault="006B0159" w:rsidP="006B0159">
    <w:pPr>
      <w:pStyle w:val="Header"/>
      <w:jc w:val="right"/>
    </w:pPr>
    <w:r w:rsidRPr="006B0159">
      <w:t>A/HRC/43/L.32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93" w:rsidRPr="006B0159" w:rsidRDefault="006B0159" w:rsidP="006B0159">
    <w:pPr>
      <w:pStyle w:val="Header"/>
      <w:jc w:val="left"/>
    </w:pPr>
    <w:r w:rsidRPr="006B0159">
      <w:t>A/HRC/43/L.32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739DB"/>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0159"/>
    <w:rsid w:val="006B3E27"/>
    <w:rsid w:val="006B60D8"/>
    <w:rsid w:val="006B6507"/>
    <w:rsid w:val="006C104C"/>
    <w:rsid w:val="00733704"/>
    <w:rsid w:val="00740188"/>
    <w:rsid w:val="00764796"/>
    <w:rsid w:val="0078071A"/>
    <w:rsid w:val="007A70BB"/>
    <w:rsid w:val="00852A9A"/>
    <w:rsid w:val="00871544"/>
    <w:rsid w:val="008930DB"/>
    <w:rsid w:val="00895D16"/>
    <w:rsid w:val="008E10D0"/>
    <w:rsid w:val="008F49E1"/>
    <w:rsid w:val="0090370F"/>
    <w:rsid w:val="009269D2"/>
    <w:rsid w:val="00942135"/>
    <w:rsid w:val="009521B0"/>
    <w:rsid w:val="009A7E9F"/>
    <w:rsid w:val="009E5018"/>
    <w:rsid w:val="00A12B37"/>
    <w:rsid w:val="00A50EC0"/>
    <w:rsid w:val="00A739DB"/>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2403D"/>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85893"/>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74ECB79"/>
  <w15:docId w15:val="{BD6A6A1D-B569-42E6-8FAE-4AEE451E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6B0159"/>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91CA-A247-4D6B-963A-B3A139B1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591</Words>
  <Characters>3454</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A/HRC/43/L.32</vt:lpstr>
    </vt:vector>
  </TitlesOfParts>
  <Company>DCM</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A/HRC/43/L.32</dc:title>
  <dc:subject>GE. 2003969A</dc:subject>
  <dc:creator>IBAL</dc:creator>
  <cp:keywords>ODS No.</cp:keywords>
  <dc:description>Original: English _x000d_
Distribution: Limited_x000d_
Date: 1 April 2020</dc:description>
  <cp:lastModifiedBy>Ibrahim Balan</cp:lastModifiedBy>
  <cp:revision>2</cp:revision>
  <dcterms:created xsi:type="dcterms:W3CDTF">2020-04-02T06:51:00Z</dcterms:created>
  <dcterms:modified xsi:type="dcterms:W3CDTF">2020-04-02T06:51:00Z</dcterms:modified>
  <cp:category>Final</cp:category>
</cp:coreProperties>
</file>