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14:paraId="40711067" w14:textId="77777777" w:rsidTr="00281242">
        <w:trPr>
          <w:trHeight w:hRule="exact" w:val="851"/>
        </w:trPr>
        <w:tc>
          <w:tcPr>
            <w:tcW w:w="1274" w:type="dxa"/>
            <w:tcBorders>
              <w:bottom w:val="single" w:sz="4" w:space="0" w:color="auto"/>
            </w:tcBorders>
            <w:shd w:val="clear" w:color="auto" w:fill="auto"/>
          </w:tcPr>
          <w:p w14:paraId="05CEBC53"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71B7DF0" w14:textId="77777777" w:rsidR="006B3E27" w:rsidRPr="00281242" w:rsidRDefault="006B3E27" w:rsidP="00281242">
            <w:pPr>
              <w:spacing w:after="80" w:line="480" w:lineRule="exact"/>
              <w:jc w:val="left"/>
              <w:rPr>
                <w:sz w:val="40"/>
                <w:szCs w:val="40"/>
                <w:rtl/>
              </w:rPr>
            </w:pPr>
            <w:r w:rsidRPr="00281242">
              <w:rPr>
                <w:rFonts w:hint="cs"/>
                <w:sz w:val="40"/>
                <w:szCs w:val="40"/>
                <w:rtl/>
              </w:rPr>
              <w:t>الأمم المتحدة</w:t>
            </w:r>
          </w:p>
        </w:tc>
        <w:tc>
          <w:tcPr>
            <w:tcW w:w="3402" w:type="dxa"/>
            <w:tcBorders>
              <w:bottom w:val="single" w:sz="4" w:space="0" w:color="auto"/>
            </w:tcBorders>
            <w:shd w:val="clear" w:color="auto" w:fill="auto"/>
            <w:vAlign w:val="bottom"/>
          </w:tcPr>
          <w:p w14:paraId="24BB4C76" w14:textId="77777777" w:rsidR="006B3E27" w:rsidRPr="00281242" w:rsidRDefault="00E93C57" w:rsidP="00595D32">
            <w:pPr>
              <w:bidi w:val="0"/>
              <w:spacing w:after="20"/>
              <w:jc w:val="left"/>
              <w:rPr>
                <w:szCs w:val="20"/>
              </w:rPr>
            </w:pPr>
            <w:r w:rsidRPr="00E93C57">
              <w:rPr>
                <w:sz w:val="40"/>
                <w:szCs w:val="20"/>
              </w:rPr>
              <w:t>A</w:t>
            </w:r>
            <w:r>
              <w:rPr>
                <w:szCs w:val="20"/>
              </w:rPr>
              <w:t>/HRC/</w:t>
            </w:r>
            <w:r w:rsidRPr="00A801BB">
              <w:rPr>
                <w:szCs w:val="20"/>
              </w:rPr>
              <w:t>43</w:t>
            </w:r>
            <w:r>
              <w:rPr>
                <w:szCs w:val="20"/>
              </w:rPr>
              <w:t>/L.</w:t>
            </w:r>
            <w:r w:rsidRPr="00A801BB">
              <w:rPr>
                <w:szCs w:val="20"/>
              </w:rPr>
              <w:t>31</w:t>
            </w:r>
            <w:r>
              <w:rPr>
                <w:szCs w:val="20"/>
              </w:rPr>
              <w:t>/Rev.</w:t>
            </w:r>
            <w:r w:rsidRPr="00A801BB">
              <w:rPr>
                <w:szCs w:val="20"/>
              </w:rPr>
              <w:t>1</w:t>
            </w:r>
          </w:p>
        </w:tc>
      </w:tr>
      <w:tr w:rsidR="006B3E27" w:rsidRPr="00ED7442" w14:paraId="6F73FD17" w14:textId="77777777" w:rsidTr="00281242">
        <w:trPr>
          <w:trHeight w:hRule="exact" w:val="2835"/>
        </w:trPr>
        <w:tc>
          <w:tcPr>
            <w:tcW w:w="1274" w:type="dxa"/>
            <w:tcBorders>
              <w:top w:val="single" w:sz="4" w:space="0" w:color="auto"/>
              <w:bottom w:val="single" w:sz="12" w:space="0" w:color="auto"/>
            </w:tcBorders>
            <w:shd w:val="clear" w:color="auto" w:fill="auto"/>
          </w:tcPr>
          <w:p w14:paraId="4C8F0879" w14:textId="57D5E534" w:rsidR="006B3E27" w:rsidRPr="00281242" w:rsidRDefault="005B034B" w:rsidP="00281242">
            <w:pPr>
              <w:jc w:val="center"/>
              <w:rPr>
                <w:sz w:val="56"/>
                <w:szCs w:val="56"/>
                <w:rtl/>
              </w:rPr>
            </w:pPr>
            <w:r>
              <w:rPr>
                <w:noProof/>
                <w:sz w:val="56"/>
                <w:szCs w:val="56"/>
              </w:rPr>
              <w:drawing>
                <wp:inline distT="0" distB="0" distL="0" distR="0" wp14:anchorId="5FFFEF69" wp14:editId="68712644">
                  <wp:extent cx="626745" cy="6140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6745" cy="614045"/>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2644E79F" w14:textId="77777777" w:rsidR="006B3E27" w:rsidRPr="00281242" w:rsidRDefault="001773DB" w:rsidP="00281242">
            <w:pPr>
              <w:spacing w:before="120" w:after="40" w:line="640" w:lineRule="exact"/>
              <w:jc w:val="left"/>
              <w:rPr>
                <w:b/>
                <w:bCs/>
                <w:sz w:val="56"/>
                <w:szCs w:val="56"/>
              </w:rPr>
            </w:pPr>
            <w:r w:rsidRPr="00281242">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3C767430" w14:textId="77777777" w:rsidR="006B3E27" w:rsidRDefault="00595D32" w:rsidP="00595D32">
            <w:pPr>
              <w:bidi w:val="0"/>
              <w:spacing w:before="240"/>
              <w:jc w:val="left"/>
              <w:rPr>
                <w:szCs w:val="20"/>
              </w:rPr>
            </w:pPr>
            <w:r>
              <w:rPr>
                <w:szCs w:val="20"/>
              </w:rPr>
              <w:t>Distr.: Limited</w:t>
            </w:r>
          </w:p>
          <w:p w14:paraId="27541C79" w14:textId="77777777" w:rsidR="00595D32" w:rsidRDefault="00595D32" w:rsidP="00595D32">
            <w:pPr>
              <w:bidi w:val="0"/>
              <w:jc w:val="left"/>
              <w:rPr>
                <w:szCs w:val="20"/>
              </w:rPr>
            </w:pPr>
            <w:r w:rsidRPr="00A801BB">
              <w:rPr>
                <w:szCs w:val="20"/>
              </w:rPr>
              <w:t>17</w:t>
            </w:r>
            <w:r>
              <w:rPr>
                <w:szCs w:val="20"/>
              </w:rPr>
              <w:t xml:space="preserve"> June </w:t>
            </w:r>
            <w:r w:rsidRPr="00A801BB">
              <w:rPr>
                <w:szCs w:val="20"/>
              </w:rPr>
              <w:t>2020</w:t>
            </w:r>
          </w:p>
          <w:p w14:paraId="60D508ED" w14:textId="77777777" w:rsidR="00595D32" w:rsidRDefault="00595D32" w:rsidP="00595D32">
            <w:pPr>
              <w:bidi w:val="0"/>
              <w:jc w:val="left"/>
              <w:rPr>
                <w:szCs w:val="20"/>
              </w:rPr>
            </w:pPr>
            <w:r>
              <w:rPr>
                <w:szCs w:val="20"/>
              </w:rPr>
              <w:t>Arabic</w:t>
            </w:r>
          </w:p>
          <w:p w14:paraId="67C44410" w14:textId="77777777" w:rsidR="00595D32" w:rsidRPr="00281242" w:rsidRDefault="00595D32" w:rsidP="00595D32">
            <w:pPr>
              <w:bidi w:val="0"/>
              <w:jc w:val="left"/>
              <w:rPr>
                <w:szCs w:val="20"/>
              </w:rPr>
            </w:pPr>
            <w:r>
              <w:rPr>
                <w:szCs w:val="20"/>
              </w:rPr>
              <w:t>Original: English</w:t>
            </w:r>
          </w:p>
        </w:tc>
      </w:tr>
    </w:tbl>
    <w:p w14:paraId="4FC14F0B" w14:textId="77777777" w:rsidR="00595D32" w:rsidRPr="00595D32" w:rsidRDefault="00673245" w:rsidP="00595D32">
      <w:pPr>
        <w:spacing w:before="120" w:line="360" w:lineRule="exact"/>
        <w:rPr>
          <w:b/>
          <w:bCs/>
          <w:rtl/>
        </w:rPr>
      </w:pPr>
      <w:r w:rsidRPr="00595D32">
        <w:rPr>
          <w:rFonts w:hint="cs"/>
          <w:b/>
          <w:bCs/>
          <w:sz w:val="28"/>
          <w:szCs w:val="36"/>
          <w:rtl/>
        </w:rPr>
        <w:t>مجلس حقوق الإنسان</w:t>
      </w:r>
    </w:p>
    <w:p w14:paraId="13EB9E33" w14:textId="77777777" w:rsidR="00595D32" w:rsidRPr="00595D32" w:rsidRDefault="00595D32" w:rsidP="00595D32">
      <w:pPr>
        <w:spacing w:line="360" w:lineRule="exact"/>
        <w:rPr>
          <w:rFonts w:hint="cs"/>
          <w:b/>
          <w:bCs/>
          <w:rtl/>
        </w:rPr>
      </w:pPr>
      <w:r w:rsidRPr="00595D32">
        <w:rPr>
          <w:b/>
          <w:bCs/>
          <w:rtl/>
        </w:rPr>
        <w:t>الدورة الثالثة والأربعون</w:t>
      </w:r>
    </w:p>
    <w:p w14:paraId="5120D83A" w14:textId="77777777" w:rsidR="00595D32" w:rsidRPr="003E35D0" w:rsidRDefault="00595D32" w:rsidP="00595D32">
      <w:pPr>
        <w:spacing w:line="360" w:lineRule="exact"/>
        <w:rPr>
          <w:rtl/>
        </w:rPr>
      </w:pPr>
      <w:r w:rsidRPr="00A801BB">
        <w:rPr>
          <w:szCs w:val="20"/>
          <w:rtl/>
        </w:rPr>
        <w:t>24</w:t>
      </w:r>
      <w:r w:rsidRPr="003E35D0">
        <w:rPr>
          <w:rtl/>
        </w:rPr>
        <w:t xml:space="preserve"> شباط/فبراير - </w:t>
      </w:r>
      <w:r w:rsidRPr="00A801BB">
        <w:rPr>
          <w:szCs w:val="20"/>
          <w:rtl/>
        </w:rPr>
        <w:t>20</w:t>
      </w:r>
      <w:r w:rsidRPr="003E35D0">
        <w:rPr>
          <w:rtl/>
        </w:rPr>
        <w:t xml:space="preserve"> آذار/مارس </w:t>
      </w:r>
      <w:r w:rsidRPr="00A801BB">
        <w:rPr>
          <w:szCs w:val="20"/>
          <w:rtl/>
        </w:rPr>
        <w:t>2020</w:t>
      </w:r>
    </w:p>
    <w:p w14:paraId="741410C5" w14:textId="77777777" w:rsidR="00595D32" w:rsidRPr="003E35D0" w:rsidRDefault="00595D32" w:rsidP="00595D32">
      <w:pPr>
        <w:spacing w:line="360" w:lineRule="exact"/>
        <w:rPr>
          <w:rFonts w:hint="cs"/>
          <w:rtl/>
        </w:rPr>
      </w:pPr>
      <w:r w:rsidRPr="003E35D0">
        <w:rPr>
          <w:rtl/>
        </w:rPr>
        <w:t xml:space="preserve">البند </w:t>
      </w:r>
      <w:r w:rsidRPr="00A801BB">
        <w:rPr>
          <w:szCs w:val="20"/>
          <w:rtl/>
        </w:rPr>
        <w:t>3</w:t>
      </w:r>
      <w:r w:rsidRPr="003E35D0">
        <w:rPr>
          <w:rtl/>
        </w:rPr>
        <w:t xml:space="preserve"> من جدول الأعمال</w:t>
      </w:r>
    </w:p>
    <w:p w14:paraId="40D43E64" w14:textId="77777777" w:rsidR="00595D32" w:rsidRPr="00595D32" w:rsidRDefault="00595D32" w:rsidP="00595D32">
      <w:pPr>
        <w:spacing w:line="360" w:lineRule="exact"/>
        <w:ind w:right="4830"/>
        <w:rPr>
          <w:b/>
          <w:bCs/>
          <w:rtl/>
        </w:rPr>
      </w:pPr>
      <w:r w:rsidRPr="00595D32">
        <w:rPr>
          <w:b/>
          <w:bCs/>
          <w:rtl/>
        </w:rPr>
        <w:t>تعزيز وحماية جميع حقوق الإنسان، المدنية والسياسية والاقتصادية والاجتماعية والثقافية، بما في ذلك الحق في التنمية</w:t>
      </w:r>
    </w:p>
    <w:p w14:paraId="296A60AA" w14:textId="6EFD7F24" w:rsidR="00595D32" w:rsidRPr="00A801BB" w:rsidRDefault="00595D32" w:rsidP="00A801BB">
      <w:pPr>
        <w:pStyle w:val="H23GA"/>
        <w:rPr>
          <w:rtl/>
        </w:rPr>
      </w:pPr>
      <w:r>
        <w:rPr>
          <w:rtl/>
        </w:rPr>
        <w:tab/>
      </w:r>
      <w:r w:rsidRPr="00A801BB">
        <w:rPr>
          <w:rtl/>
        </w:rPr>
        <w:tab/>
        <w:t>الاتحاد الروسي</w:t>
      </w:r>
      <w:r w:rsidRPr="00A801BB">
        <w:rPr>
          <w:rFonts w:hint="cs"/>
          <w:rtl/>
        </w:rPr>
        <w:t>*</w:t>
      </w:r>
      <w:r w:rsidRPr="00A801BB">
        <w:rPr>
          <w:rtl/>
        </w:rPr>
        <w:t xml:space="preserve">، إيران (جمهورية </w:t>
      </w:r>
      <w:r w:rsidRPr="00A801BB">
        <w:rPr>
          <w:rFonts w:hint="cs"/>
          <w:rtl/>
        </w:rPr>
        <w:t>-</w:t>
      </w:r>
      <w:r w:rsidRPr="00A801BB">
        <w:rPr>
          <w:rtl/>
        </w:rPr>
        <w:t xml:space="preserve"> الإسلامية)</w:t>
      </w:r>
      <w:r w:rsidRPr="00A801BB">
        <w:rPr>
          <w:rStyle w:val="FootnoteReference"/>
          <w:rFonts w:ascii="Times New Roman"/>
          <w:sz w:val="24"/>
          <w:szCs w:val="30"/>
          <w:vertAlign w:val="baseline"/>
          <w:rtl/>
        </w:rPr>
        <w:footnoteReference w:customMarkFollows="1" w:id="1"/>
        <w:t>*</w:t>
      </w:r>
      <w:r w:rsidRPr="00A801BB">
        <w:rPr>
          <w:rtl/>
        </w:rPr>
        <w:t>، باكستان، بوروندي*، بيلاروس*، تايلند*،</w:t>
      </w:r>
      <w:r w:rsidRPr="00A801BB">
        <w:rPr>
          <w:rFonts w:hint="cs"/>
          <w:rtl/>
        </w:rPr>
        <w:t xml:space="preserve"> الجمهورية العربية السورية*، جمهورية كوريا الشعبية الديمقراطية</w:t>
      </w:r>
      <w:r w:rsidRPr="00A801BB">
        <w:rPr>
          <w:rtl/>
        </w:rPr>
        <w:t>*</w:t>
      </w:r>
      <w:r w:rsidRPr="00A801BB">
        <w:rPr>
          <w:rFonts w:hint="cs"/>
          <w:rtl/>
        </w:rPr>
        <w:t>، الصومال،</w:t>
      </w:r>
      <w:r w:rsidRPr="00A801BB">
        <w:rPr>
          <w:rtl/>
        </w:rPr>
        <w:t xml:space="preserve"> الصين*، فنزويلا (جمهورية </w:t>
      </w:r>
      <w:r w:rsidRPr="00A801BB">
        <w:rPr>
          <w:rFonts w:hint="cs"/>
          <w:rtl/>
        </w:rPr>
        <w:t>-</w:t>
      </w:r>
      <w:r w:rsidRPr="00A801BB">
        <w:rPr>
          <w:rtl/>
        </w:rPr>
        <w:t xml:space="preserve"> البوليفارية)،</w:t>
      </w:r>
      <w:r w:rsidRPr="00A801BB">
        <w:rPr>
          <w:rFonts w:hint="cs"/>
          <w:rtl/>
        </w:rPr>
        <w:t xml:space="preserve"> كمبوديا</w:t>
      </w:r>
      <w:r w:rsidRPr="00A801BB">
        <w:rPr>
          <w:rtl/>
        </w:rPr>
        <w:t>*</w:t>
      </w:r>
      <w:r w:rsidRPr="00A801BB">
        <w:rPr>
          <w:rFonts w:hint="cs"/>
          <w:rtl/>
        </w:rPr>
        <w:t>،</w:t>
      </w:r>
      <w:r w:rsidRPr="00A801BB">
        <w:rPr>
          <w:rtl/>
        </w:rPr>
        <w:t xml:space="preserve"> كوبا*، ماليزيا*، </w:t>
      </w:r>
      <w:r w:rsidRPr="00A801BB">
        <w:rPr>
          <w:rFonts w:hint="cs"/>
          <w:rtl/>
        </w:rPr>
        <w:t>موزامبيق</w:t>
      </w:r>
      <w:r w:rsidRPr="00A801BB">
        <w:rPr>
          <w:rtl/>
        </w:rPr>
        <w:t>*</w:t>
      </w:r>
      <w:r w:rsidRPr="00A801BB">
        <w:rPr>
          <w:rFonts w:hint="cs"/>
          <w:rtl/>
        </w:rPr>
        <w:t xml:space="preserve">، </w:t>
      </w:r>
      <w:r w:rsidRPr="00A801BB">
        <w:rPr>
          <w:rtl/>
        </w:rPr>
        <w:t>ميانمار*، اليمن*: مشروع قرار</w:t>
      </w:r>
    </w:p>
    <w:p w14:paraId="710B2788" w14:textId="77777777" w:rsidR="00595D32" w:rsidRPr="005E7204" w:rsidRDefault="00595D32" w:rsidP="00A801BB">
      <w:pPr>
        <w:pStyle w:val="H1GA"/>
        <w:rPr>
          <w:rtl/>
        </w:rPr>
      </w:pPr>
      <w:r w:rsidRPr="005E7204">
        <w:rPr>
          <w:szCs w:val="20"/>
          <w:rtl/>
        </w:rPr>
        <w:tab/>
      </w:r>
      <w:r w:rsidRPr="005E7204">
        <w:rPr>
          <w:szCs w:val="20"/>
          <w:rtl/>
        </w:rPr>
        <w:tab/>
      </w:r>
      <w:r w:rsidRPr="00A801BB">
        <w:rPr>
          <w:sz w:val="30"/>
          <w:szCs w:val="24"/>
          <w:rtl/>
        </w:rPr>
        <w:t>43</w:t>
      </w:r>
      <w:r w:rsidRPr="005E7204">
        <w:rPr>
          <w:rtl/>
        </w:rPr>
        <w:t>/...</w:t>
      </w:r>
      <w:r w:rsidRPr="005E7204">
        <w:rPr>
          <w:rtl/>
        </w:rPr>
        <w:tab/>
        <w:t xml:space="preserve">تعزيز </w:t>
      </w:r>
      <w:r>
        <w:rPr>
          <w:rtl/>
        </w:rPr>
        <w:t>التعاون المفيد للجميع في ميدان حقوق الإنسان</w:t>
      </w:r>
    </w:p>
    <w:p w14:paraId="53F87B13" w14:textId="77777777" w:rsidR="00595D32" w:rsidRPr="00595D32" w:rsidRDefault="00595D32" w:rsidP="00595D32">
      <w:pPr>
        <w:pStyle w:val="SingleTxtGA"/>
        <w:rPr>
          <w:i/>
          <w:iCs/>
          <w:rtl/>
        </w:rPr>
      </w:pPr>
      <w:r w:rsidRPr="00595D32">
        <w:rPr>
          <w:i/>
          <w:iCs/>
          <w:rtl/>
        </w:rPr>
        <w:tab/>
      </w:r>
      <w:r w:rsidRPr="00595D32">
        <w:rPr>
          <w:rFonts w:hint="cs"/>
          <w:i/>
          <w:iCs/>
          <w:rtl/>
        </w:rPr>
        <w:t>إن مجلس حقوق الإنسان،</w:t>
      </w:r>
    </w:p>
    <w:p w14:paraId="7E966CAD" w14:textId="77777777" w:rsidR="00595D32" w:rsidRDefault="00595D32" w:rsidP="00595D32">
      <w:pPr>
        <w:pStyle w:val="SingleTxtGA"/>
        <w:rPr>
          <w:rtl/>
        </w:rPr>
      </w:pPr>
      <w:r>
        <w:rPr>
          <w:rtl/>
        </w:rPr>
        <w:tab/>
      </w:r>
      <w:r w:rsidRPr="003E35D0">
        <w:rPr>
          <w:rFonts w:hint="cs"/>
          <w:i/>
          <w:iCs/>
          <w:rtl/>
        </w:rPr>
        <w:t>إذ يسترشد</w:t>
      </w:r>
      <w:r>
        <w:rPr>
          <w:rFonts w:hint="cs"/>
          <w:rtl/>
        </w:rPr>
        <w:t xml:space="preserve"> </w:t>
      </w:r>
      <w:r>
        <w:rPr>
          <w:rtl/>
        </w:rPr>
        <w:t>بميثاق الأمم المتحدة،</w:t>
      </w:r>
    </w:p>
    <w:p w14:paraId="6BD434D0" w14:textId="77777777" w:rsidR="00595D32" w:rsidRDefault="00595D32" w:rsidP="00595D32">
      <w:pPr>
        <w:pStyle w:val="SingleTxtGA"/>
        <w:rPr>
          <w:rtl/>
        </w:rPr>
      </w:pPr>
      <w:r>
        <w:rPr>
          <w:rtl/>
        </w:rPr>
        <w:tab/>
      </w:r>
      <w:r w:rsidRPr="003E35D0">
        <w:rPr>
          <w:rFonts w:hint="cs"/>
          <w:i/>
          <w:iCs/>
          <w:rtl/>
        </w:rPr>
        <w:t>وإذ يؤكد من جديد</w:t>
      </w:r>
      <w:r>
        <w:rPr>
          <w:rFonts w:hint="cs"/>
          <w:rtl/>
        </w:rPr>
        <w:t xml:space="preserve"> </w:t>
      </w:r>
      <w:r>
        <w:rPr>
          <w:rtl/>
        </w:rPr>
        <w:t>الإعلان العالمي لحقوق الإنسان وإعلان وبرنامج عمل فيينا، وإذ يشير إلى جميع معاهدات حقوق الإنسان الدولية ذات الصلة، ولا سيما العهد الدولي الخاص بالحقوق المدنية والسياسية، والعهد الدولي الخاص بالحقوق الاقتصادية والاجتماعية والثقافية،</w:t>
      </w:r>
    </w:p>
    <w:p w14:paraId="46FAF517" w14:textId="77777777" w:rsidR="00595D32" w:rsidRDefault="00595D32" w:rsidP="00595D32">
      <w:pPr>
        <w:pStyle w:val="SingleTxtGA"/>
        <w:rPr>
          <w:rtl/>
        </w:rPr>
      </w:pPr>
      <w:r>
        <w:rPr>
          <w:rtl/>
        </w:rPr>
        <w:tab/>
      </w:r>
      <w:r w:rsidRPr="003E35D0">
        <w:rPr>
          <w:rFonts w:hint="cs"/>
          <w:i/>
          <w:iCs/>
          <w:rtl/>
        </w:rPr>
        <w:t>وإذ يشير</w:t>
      </w:r>
      <w:r>
        <w:rPr>
          <w:rFonts w:hint="cs"/>
          <w:rtl/>
        </w:rPr>
        <w:t xml:space="preserve"> </w:t>
      </w:r>
      <w:r>
        <w:rPr>
          <w:rtl/>
        </w:rPr>
        <w:t>إلى القرارات السابقة التي اعتمدتها الجمعية العامة ومجلس حقوق الإنسان بشأن التعاون الدولي في ميدان حقوق الإنسان،</w:t>
      </w:r>
    </w:p>
    <w:p w14:paraId="249951FE" w14:textId="77777777" w:rsidR="00595D32" w:rsidRDefault="00595D32" w:rsidP="00595D32">
      <w:pPr>
        <w:pStyle w:val="SingleTxtGA"/>
        <w:rPr>
          <w:rtl/>
        </w:rPr>
      </w:pPr>
      <w:r>
        <w:rPr>
          <w:rtl/>
        </w:rPr>
        <w:tab/>
      </w:r>
      <w:r w:rsidRPr="003E35D0">
        <w:rPr>
          <w:rFonts w:hint="cs"/>
          <w:i/>
          <w:iCs/>
          <w:rtl/>
        </w:rPr>
        <w:t>وإذ يؤكد من جديد</w:t>
      </w:r>
      <w:r>
        <w:rPr>
          <w:rFonts w:hint="cs"/>
          <w:rtl/>
        </w:rPr>
        <w:t xml:space="preserve"> </w:t>
      </w:r>
      <w:r>
        <w:rPr>
          <w:rtl/>
        </w:rPr>
        <w:t>أن جميع حقوق الإنسان عالمية وغير قابلة للتجزئة ومترابطة ومتشابكة ويعزز بعضها بعضاً، وأن من الواجب معاملة جميع حقوق الإنسان على نحو يُتوخَّى منه الإنصاف والتكافؤ، وعلى قدم المساواة وبنفس القدر من الاهتمام،</w:t>
      </w:r>
    </w:p>
    <w:p w14:paraId="28EB4090" w14:textId="77777777" w:rsidR="00595D32" w:rsidRDefault="00595D32" w:rsidP="00595D32">
      <w:pPr>
        <w:pStyle w:val="SingleTxtGA"/>
        <w:rPr>
          <w:rtl/>
        </w:rPr>
      </w:pPr>
      <w:r>
        <w:rPr>
          <w:rtl/>
        </w:rPr>
        <w:tab/>
      </w:r>
      <w:r w:rsidRPr="003E35D0">
        <w:rPr>
          <w:rFonts w:hint="cs"/>
          <w:i/>
          <w:iCs/>
          <w:rtl/>
        </w:rPr>
        <w:t>وإذ يؤكد من جديد أيضاً</w:t>
      </w:r>
      <w:r>
        <w:rPr>
          <w:rtl/>
        </w:rPr>
        <w:t xml:space="preserve"> أن جميع حقوق الإنسان نابعة من كرامة الإنسان وقيمته الأصيلتين فيه، وأن الإنسان هو محور حقوق الإنسان والحريات الأساسية، ومن ثَم</w:t>
      </w:r>
      <w:r>
        <w:rPr>
          <w:rFonts w:hint="cs"/>
          <w:rtl/>
        </w:rPr>
        <w:t xml:space="preserve"> ينبغي</w:t>
      </w:r>
      <w:r>
        <w:rPr>
          <w:rtl/>
        </w:rPr>
        <w:t xml:space="preserve"> أن يكون هو المستفيد الرئيس منها وأن يشارك بنشاط في إعمال هذه الحقوق والحريات،</w:t>
      </w:r>
    </w:p>
    <w:p w14:paraId="64188C22" w14:textId="77777777" w:rsidR="00595D32" w:rsidRDefault="00595D32" w:rsidP="00A801BB">
      <w:pPr>
        <w:pStyle w:val="SingleTxtGA"/>
        <w:rPr>
          <w:rtl/>
        </w:rPr>
      </w:pPr>
      <w:r>
        <w:rPr>
          <w:rtl/>
        </w:rPr>
        <w:tab/>
      </w:r>
      <w:r w:rsidRPr="003E35D0">
        <w:rPr>
          <w:rFonts w:hint="cs"/>
          <w:i/>
          <w:iCs/>
          <w:rtl/>
        </w:rPr>
        <w:t>وإذ يؤكد من جديد كذلك</w:t>
      </w:r>
      <w:r>
        <w:rPr>
          <w:rFonts w:hint="cs"/>
          <w:rtl/>
        </w:rPr>
        <w:t xml:space="preserve"> </w:t>
      </w:r>
      <w:r>
        <w:rPr>
          <w:rtl/>
        </w:rPr>
        <w:t xml:space="preserve">أن من واجب جميع الدول، بغض النظر عن أنظمتها السياسية والاقتصادية والثقافية، تعزيزُ وحماية جميع حقوق الإنسان والحريات الأساسية، </w:t>
      </w:r>
      <w:r>
        <w:rPr>
          <w:rFonts w:hint="cs"/>
          <w:rtl/>
        </w:rPr>
        <w:t>مع وجوب</w:t>
      </w:r>
      <w:r>
        <w:rPr>
          <w:rtl/>
        </w:rPr>
        <w:t xml:space="preserve"> مراعاة أهمية الخصوصيات الوطنية والإقليمية ومختلف الخلفيات التاريخية والثقافية والدينية،</w:t>
      </w:r>
    </w:p>
    <w:p w14:paraId="1CC4DA8E" w14:textId="77777777" w:rsidR="00595D32" w:rsidRDefault="00595D32" w:rsidP="00A801BB">
      <w:pPr>
        <w:pStyle w:val="SingleTxtGA"/>
        <w:rPr>
          <w:rtl/>
        </w:rPr>
      </w:pPr>
      <w:r>
        <w:rPr>
          <w:rtl/>
        </w:rPr>
        <w:tab/>
      </w:r>
      <w:r w:rsidRPr="003E35D0">
        <w:rPr>
          <w:rFonts w:hint="cs"/>
          <w:i/>
          <w:iCs/>
          <w:rtl/>
        </w:rPr>
        <w:t>وإذ يسلم</w:t>
      </w:r>
      <w:r>
        <w:rPr>
          <w:rFonts w:hint="cs"/>
          <w:rtl/>
        </w:rPr>
        <w:t xml:space="preserve"> </w:t>
      </w:r>
      <w:r>
        <w:rPr>
          <w:rtl/>
        </w:rPr>
        <w:t xml:space="preserve">بأن من شأن نهج تعددية الأطراف والدبلوماسية أن يعزز النهوض بالركائز الثلاث للأمم المتحدة، وهي التنمية المستدامة، والسلام والأمن، وحقوق الإنسان، وهي ركائز مترابطة يعزز كل منها الآخر، </w:t>
      </w:r>
      <w:r>
        <w:rPr>
          <w:rFonts w:hint="cs"/>
          <w:rtl/>
        </w:rPr>
        <w:t>مع التقيد</w:t>
      </w:r>
      <w:r>
        <w:rPr>
          <w:rtl/>
        </w:rPr>
        <w:t xml:space="preserve"> في الوقت ذاته </w:t>
      </w:r>
      <w:r>
        <w:rPr>
          <w:rFonts w:hint="cs"/>
          <w:rtl/>
        </w:rPr>
        <w:t>ب</w:t>
      </w:r>
      <w:r>
        <w:rPr>
          <w:rtl/>
        </w:rPr>
        <w:t>الولاية الخاصة بكل منها و</w:t>
      </w:r>
      <w:r>
        <w:rPr>
          <w:rFonts w:hint="cs"/>
          <w:rtl/>
        </w:rPr>
        <w:t>ب</w:t>
      </w:r>
      <w:r>
        <w:rPr>
          <w:rtl/>
        </w:rPr>
        <w:t>أحكام الميثاق، وإذ يسلم بالحاجة الملحة إلى تعزيز تعددية الأطراف وتوطيدها،</w:t>
      </w:r>
    </w:p>
    <w:p w14:paraId="47014A22" w14:textId="77777777" w:rsidR="00595D32" w:rsidRDefault="00595D32" w:rsidP="00A801BB">
      <w:pPr>
        <w:pStyle w:val="SingleTxtGA"/>
        <w:rPr>
          <w:rtl/>
        </w:rPr>
      </w:pPr>
      <w:r>
        <w:rPr>
          <w:rtl/>
        </w:rPr>
        <w:tab/>
      </w:r>
      <w:r w:rsidRPr="003E35D0">
        <w:rPr>
          <w:rFonts w:hint="cs"/>
          <w:i/>
          <w:iCs/>
          <w:rtl/>
        </w:rPr>
        <w:t>وإذ يسلم</w:t>
      </w:r>
      <w:r>
        <w:rPr>
          <w:rFonts w:hint="cs"/>
          <w:i/>
          <w:iCs/>
          <w:rtl/>
        </w:rPr>
        <w:t xml:space="preserve"> أيضاً</w:t>
      </w:r>
      <w:r>
        <w:rPr>
          <w:rFonts w:hint="cs"/>
          <w:rtl/>
        </w:rPr>
        <w:t xml:space="preserve"> </w:t>
      </w:r>
      <w:r>
        <w:rPr>
          <w:rtl/>
        </w:rPr>
        <w:t>بالدور الهام الذي قد يؤديه التعاون المفيد للجميع فيما بين جميع أصحاب المصلحة المعنيين في تعزيز وحماية جميع حقوق الإنسان في عالم لا ينفك يزداد ترابطاً،</w:t>
      </w:r>
    </w:p>
    <w:p w14:paraId="1785DE4F" w14:textId="77777777" w:rsidR="00595D32" w:rsidRDefault="00595D32" w:rsidP="00A801BB">
      <w:pPr>
        <w:pStyle w:val="SingleTxtGA"/>
        <w:rPr>
          <w:rtl/>
        </w:rPr>
      </w:pPr>
      <w:r>
        <w:rPr>
          <w:rtl/>
        </w:rPr>
        <w:tab/>
      </w:r>
      <w:r w:rsidRPr="003E35D0">
        <w:rPr>
          <w:rFonts w:hint="cs"/>
          <w:i/>
          <w:iCs/>
          <w:rtl/>
        </w:rPr>
        <w:t>وإذ يشدد</w:t>
      </w:r>
      <w:r>
        <w:rPr>
          <w:rFonts w:hint="cs"/>
          <w:rtl/>
        </w:rPr>
        <w:t xml:space="preserve"> </w:t>
      </w:r>
      <w:r>
        <w:rPr>
          <w:rtl/>
        </w:rPr>
        <w:t>على مسؤولية جميع الدول، وفقاً للميثاق، عن احترام حقوق الإنسان والحريات الأساسية للجميع، دون أي تمييز أياً كان نوعه،</w:t>
      </w:r>
    </w:p>
    <w:p w14:paraId="05AE3C04" w14:textId="77777777" w:rsidR="00595D32" w:rsidRDefault="00595D32" w:rsidP="00A801BB">
      <w:pPr>
        <w:pStyle w:val="SingleTxtGA"/>
        <w:rPr>
          <w:rtl/>
        </w:rPr>
      </w:pPr>
      <w:r>
        <w:rPr>
          <w:rtl/>
        </w:rPr>
        <w:tab/>
      </w:r>
      <w:r w:rsidRPr="003E35D0">
        <w:rPr>
          <w:rFonts w:hint="cs"/>
          <w:i/>
          <w:iCs/>
          <w:rtl/>
        </w:rPr>
        <w:t>وإذ يسلم</w:t>
      </w:r>
      <w:r>
        <w:rPr>
          <w:rFonts w:hint="cs"/>
          <w:rtl/>
        </w:rPr>
        <w:t xml:space="preserve"> </w:t>
      </w:r>
      <w:r>
        <w:rPr>
          <w:rtl/>
        </w:rPr>
        <w:t>بأهمية</w:t>
      </w:r>
      <w:r>
        <w:rPr>
          <w:rFonts w:hint="cs"/>
          <w:rtl/>
        </w:rPr>
        <w:t xml:space="preserve"> الحرص على مبادئ العالمية والموضوعية وعدم الانتقائية</w:t>
      </w:r>
      <w:r>
        <w:rPr>
          <w:rtl/>
        </w:rPr>
        <w:t>، عند النظر في قضايا حقوق الإنسان، وبأهمية نبذ ازدواجية المعايير والتسييس،</w:t>
      </w:r>
    </w:p>
    <w:p w14:paraId="08412B97" w14:textId="77777777" w:rsidR="00595D32" w:rsidRDefault="00595D32" w:rsidP="00A801BB">
      <w:pPr>
        <w:pStyle w:val="SingleTxtGA"/>
        <w:rPr>
          <w:rtl/>
        </w:rPr>
      </w:pPr>
      <w:r>
        <w:rPr>
          <w:rtl/>
        </w:rPr>
        <w:tab/>
      </w:r>
      <w:r w:rsidRPr="00822F3F">
        <w:rPr>
          <w:rFonts w:hint="eastAsia"/>
          <w:i/>
          <w:iCs/>
          <w:rtl/>
        </w:rPr>
        <w:t>وإذ</w:t>
      </w:r>
      <w:r w:rsidRPr="00822F3F">
        <w:rPr>
          <w:i/>
          <w:iCs/>
          <w:rtl/>
        </w:rPr>
        <w:t xml:space="preserve"> </w:t>
      </w:r>
      <w:r w:rsidRPr="005B4AAB">
        <w:rPr>
          <w:rFonts w:hint="cs"/>
          <w:i/>
          <w:iCs/>
          <w:spacing w:val="-4"/>
          <w:rtl/>
        </w:rPr>
        <w:t>يؤكد من جديد</w:t>
      </w:r>
      <w:r w:rsidRPr="005B4AAB">
        <w:rPr>
          <w:rFonts w:hint="cs"/>
          <w:spacing w:val="-4"/>
          <w:rtl/>
        </w:rPr>
        <w:t xml:space="preserve"> </w:t>
      </w:r>
      <w:r w:rsidRPr="005B4AAB">
        <w:rPr>
          <w:spacing w:val="-4"/>
          <w:rtl/>
        </w:rPr>
        <w:t xml:space="preserve">أن </w:t>
      </w:r>
      <w:r>
        <w:rPr>
          <w:rFonts w:hint="cs"/>
          <w:spacing w:val="-4"/>
          <w:rtl/>
        </w:rPr>
        <w:t>ل</w:t>
      </w:r>
      <w:r w:rsidRPr="005B4AAB">
        <w:rPr>
          <w:spacing w:val="-4"/>
          <w:rtl/>
        </w:rPr>
        <w:t>كل دولة حق</w:t>
      </w:r>
      <w:r>
        <w:rPr>
          <w:rFonts w:hint="cs"/>
          <w:spacing w:val="-4"/>
          <w:rtl/>
        </w:rPr>
        <w:t>اً</w:t>
      </w:r>
      <w:r w:rsidRPr="005B4AAB">
        <w:rPr>
          <w:spacing w:val="-4"/>
          <w:rtl/>
        </w:rPr>
        <w:t xml:space="preserve"> غير قابل للتصرف في أن تختار بحرية أنظمتها السياسية</w:t>
      </w:r>
      <w:r>
        <w:rPr>
          <w:rtl/>
        </w:rPr>
        <w:t xml:space="preserve"> والاجتماعية والاقتصادية والثقافية وأن تضع أنظمتها هذه بما يتفق مع إرادة شعبها المطلق</w:t>
      </w:r>
      <w:r>
        <w:rPr>
          <w:rFonts w:hint="cs"/>
          <w:rtl/>
        </w:rPr>
        <w:t>ة</w:t>
      </w:r>
      <w:r>
        <w:rPr>
          <w:rtl/>
        </w:rPr>
        <w:t>، دون تدخل أي دولة أخرى أو أي جهةٍ فاعلة من غير الدول، وبما يتفق تماماً مع أحكام الميثاق والإعلان العالمي لحقوق الإنسان وغيرهما من الصكوك الدولية ذات الصلة؛</w:t>
      </w:r>
    </w:p>
    <w:p w14:paraId="4731F3EE" w14:textId="59FC5E8D" w:rsidR="00595D32" w:rsidRDefault="00595D32" w:rsidP="00A801BB">
      <w:pPr>
        <w:pStyle w:val="SingleTxtGA"/>
        <w:rPr>
          <w:rtl/>
        </w:rPr>
      </w:pPr>
      <w:r>
        <w:rPr>
          <w:rtl/>
        </w:rPr>
        <w:tab/>
      </w:r>
      <w:r w:rsidRPr="003E35D0">
        <w:rPr>
          <w:rFonts w:hint="cs"/>
          <w:i/>
          <w:iCs/>
          <w:rtl/>
        </w:rPr>
        <w:t>وإذ يؤكد من جديد</w:t>
      </w:r>
      <w:r>
        <w:rPr>
          <w:rFonts w:hint="cs"/>
          <w:i/>
          <w:iCs/>
          <w:rtl/>
        </w:rPr>
        <w:t xml:space="preserve"> أيضاً</w:t>
      </w:r>
      <w:r>
        <w:rPr>
          <w:rFonts w:hint="cs"/>
          <w:rtl/>
        </w:rPr>
        <w:t xml:space="preserve"> </w:t>
      </w:r>
      <w:r>
        <w:rPr>
          <w:rtl/>
        </w:rPr>
        <w:t>ضرورة أن يسترشد مجلس حقوق الإنسان في عمله بمبادئ العالمية والحياد والموضوعية وعدم الانتقائية وأن يتوخى الحوار والتعاون البناءين على الصعيد الدولي زيادةً في تعزيز وحماية جميع حقوق الإنسان والحقوق المدنية والسياسية والاقتصادية والاجتماعية والثقافية، بما</w:t>
      </w:r>
      <w:r w:rsidR="00A801BB">
        <w:rPr>
          <w:rFonts w:hint="cs"/>
          <w:rtl/>
        </w:rPr>
        <w:t> </w:t>
      </w:r>
      <w:r>
        <w:rPr>
          <w:rtl/>
        </w:rPr>
        <w:t>فيها الحق في التنمية،</w:t>
      </w:r>
    </w:p>
    <w:p w14:paraId="6267D484" w14:textId="77777777" w:rsidR="00595D32" w:rsidRDefault="00595D32" w:rsidP="00A801BB">
      <w:pPr>
        <w:pStyle w:val="SingleTxtGA"/>
        <w:rPr>
          <w:rtl/>
        </w:rPr>
      </w:pPr>
      <w:r w:rsidRPr="005B4AAB">
        <w:rPr>
          <w:rtl/>
        </w:rPr>
        <w:tab/>
      </w:r>
      <w:r w:rsidRPr="005B4AAB">
        <w:rPr>
          <w:rFonts w:hint="cs"/>
          <w:i/>
          <w:iCs/>
          <w:rtl/>
        </w:rPr>
        <w:t>وإذ يشدد</w:t>
      </w:r>
      <w:r w:rsidRPr="005B4AAB">
        <w:rPr>
          <w:rFonts w:hint="cs"/>
          <w:rtl/>
        </w:rPr>
        <w:t xml:space="preserve"> </w:t>
      </w:r>
      <w:r w:rsidRPr="005B4AAB">
        <w:rPr>
          <w:rtl/>
        </w:rPr>
        <w:t xml:space="preserve">على الحاجة إلى </w:t>
      </w:r>
      <w:r>
        <w:rPr>
          <w:rFonts w:hint="cs"/>
          <w:rtl/>
        </w:rPr>
        <w:t>نهج تعاوني بنَّاء يتبعه</w:t>
      </w:r>
      <w:r w:rsidRPr="005B4AAB">
        <w:rPr>
          <w:rtl/>
        </w:rPr>
        <w:t xml:space="preserve"> جميع أصحاب المصلحة في حل قضايا</w:t>
      </w:r>
      <w:r>
        <w:rPr>
          <w:rtl/>
        </w:rPr>
        <w:t xml:space="preserve"> حقوق الإنسان في المحافل الدولية، إسهاماً منهم في تعزيز حقوق الإنسان وحمايتها،</w:t>
      </w:r>
    </w:p>
    <w:p w14:paraId="4450AABD" w14:textId="77777777" w:rsidR="00595D32" w:rsidRDefault="00595D32" w:rsidP="00A801BB">
      <w:pPr>
        <w:pStyle w:val="SingleTxtGA"/>
        <w:rPr>
          <w:rtl/>
        </w:rPr>
      </w:pPr>
      <w:r w:rsidRPr="005B4AAB">
        <w:rPr>
          <w:spacing w:val="-4"/>
          <w:rtl/>
        </w:rPr>
        <w:tab/>
      </w:r>
      <w:r w:rsidRPr="005B4AAB">
        <w:rPr>
          <w:rFonts w:hint="cs"/>
          <w:i/>
          <w:iCs/>
          <w:spacing w:val="-4"/>
          <w:rtl/>
        </w:rPr>
        <w:t>وإذ يسلم</w:t>
      </w:r>
      <w:r w:rsidRPr="005B4AAB">
        <w:rPr>
          <w:rFonts w:hint="cs"/>
          <w:spacing w:val="-4"/>
          <w:rtl/>
        </w:rPr>
        <w:t xml:space="preserve"> </w:t>
      </w:r>
      <w:r w:rsidRPr="005B4AAB">
        <w:rPr>
          <w:spacing w:val="-4"/>
          <w:rtl/>
        </w:rPr>
        <w:t>بأهمية عرض أفضل الممارسات والنتائج والخبرات الإيجابية في ميدان حقوق الإنسان، ولا</w:t>
      </w:r>
      <w:r>
        <w:rPr>
          <w:rtl/>
        </w:rPr>
        <w:t xml:space="preserve"> سيما دورها في تعزيز التعلم المتبادل والتفاهم، وفي تعزيز الحوار والمساعدة على تعزيز التعاون التقني فيما بين الدول،</w:t>
      </w:r>
    </w:p>
    <w:p w14:paraId="65B2E5E1" w14:textId="77777777" w:rsidR="00595D32" w:rsidRDefault="00595D32" w:rsidP="00A801BB">
      <w:pPr>
        <w:pStyle w:val="SingleTxtGA"/>
        <w:rPr>
          <w:rtl/>
        </w:rPr>
      </w:pPr>
      <w:r>
        <w:rPr>
          <w:rtl/>
        </w:rPr>
        <w:tab/>
      </w:r>
      <w:r w:rsidRPr="00B762D3">
        <w:rPr>
          <w:rFonts w:hint="cs"/>
          <w:i/>
          <w:iCs/>
          <w:spacing w:val="-2"/>
          <w:rtl/>
        </w:rPr>
        <w:t>وإذ يرى</w:t>
      </w:r>
      <w:r w:rsidRPr="00B762D3">
        <w:rPr>
          <w:rFonts w:hint="cs"/>
          <w:spacing w:val="-2"/>
          <w:rtl/>
        </w:rPr>
        <w:t xml:space="preserve"> </w:t>
      </w:r>
      <w:r w:rsidRPr="00B762D3">
        <w:rPr>
          <w:spacing w:val="-2"/>
          <w:rtl/>
        </w:rPr>
        <w:t>أن التعاون الدولي في ميدان حقوق الإنسان، وفقاً للمقاصد والمبادئ المنصوص عليها</w:t>
      </w:r>
      <w:r>
        <w:rPr>
          <w:rtl/>
        </w:rPr>
        <w:t xml:space="preserve"> في الميثاق والقانون الدولي واستناداً إلى مبدأي التعاون والحوار الصادق، يسهم إسهاماً فعالاً </w:t>
      </w:r>
      <w:r w:rsidRPr="005B4AAB">
        <w:rPr>
          <w:spacing w:val="-4"/>
          <w:rtl/>
        </w:rPr>
        <w:t>وعملياً في</w:t>
      </w:r>
      <w:r>
        <w:rPr>
          <w:rFonts w:hint="cs"/>
          <w:spacing w:val="-4"/>
          <w:rtl/>
        </w:rPr>
        <w:t> </w:t>
      </w:r>
      <w:r w:rsidRPr="005B4AAB">
        <w:rPr>
          <w:spacing w:val="-4"/>
          <w:rtl/>
        </w:rPr>
        <w:t>منع انتهاكات حقوق الإنسان والحريات الأساسية وفي جعل الدول أقدر على امتثال التزاماتها</w:t>
      </w:r>
      <w:r>
        <w:rPr>
          <w:rtl/>
        </w:rPr>
        <w:t xml:space="preserve"> في ميدان حقوق الإنسان بما يحقق مصلحة جميع البشر،</w:t>
      </w:r>
    </w:p>
    <w:p w14:paraId="1B29E50C" w14:textId="77777777" w:rsidR="00595D32" w:rsidRDefault="00595D32" w:rsidP="00A801BB">
      <w:pPr>
        <w:pStyle w:val="SingleTxtGA"/>
        <w:rPr>
          <w:rtl/>
        </w:rPr>
      </w:pPr>
      <w:r>
        <w:rPr>
          <w:rtl/>
        </w:rPr>
        <w:tab/>
      </w:r>
      <w:r w:rsidRPr="003E35D0">
        <w:rPr>
          <w:rFonts w:hint="cs"/>
          <w:i/>
          <w:iCs/>
          <w:rtl/>
        </w:rPr>
        <w:t>وإذ يشدد</w:t>
      </w:r>
      <w:r>
        <w:rPr>
          <w:rFonts w:hint="cs"/>
          <w:rtl/>
        </w:rPr>
        <w:t xml:space="preserve"> </w:t>
      </w:r>
      <w:r>
        <w:rPr>
          <w:rtl/>
        </w:rPr>
        <w:t>على أن الحوار الصادق والتعاون في ميدان حقوق الإنسان ينبغي أن يكونا بناءين وقائمين على</w:t>
      </w:r>
      <w:r>
        <w:rPr>
          <w:rFonts w:hint="cs"/>
          <w:rtl/>
        </w:rPr>
        <w:t xml:space="preserve"> مبادئ</w:t>
      </w:r>
      <w:r>
        <w:rPr>
          <w:rtl/>
        </w:rPr>
        <w:t xml:space="preserve"> </w:t>
      </w:r>
      <w:r>
        <w:rPr>
          <w:rFonts w:hint="cs"/>
          <w:rtl/>
        </w:rPr>
        <w:t>ال</w:t>
      </w:r>
      <w:r>
        <w:rPr>
          <w:rtl/>
        </w:rPr>
        <w:t xml:space="preserve">عالمية وعدم </w:t>
      </w:r>
      <w:r>
        <w:rPr>
          <w:rFonts w:hint="cs"/>
          <w:rtl/>
        </w:rPr>
        <w:t>قابلية</w:t>
      </w:r>
      <w:r>
        <w:rPr>
          <w:rtl/>
        </w:rPr>
        <w:t xml:space="preserve"> </w:t>
      </w:r>
      <w:r>
        <w:rPr>
          <w:rFonts w:hint="cs"/>
          <w:rtl/>
        </w:rPr>
        <w:t>ا</w:t>
      </w:r>
      <w:r>
        <w:rPr>
          <w:rtl/>
        </w:rPr>
        <w:t>لتجزئة</w:t>
      </w:r>
      <w:r>
        <w:rPr>
          <w:rFonts w:hint="cs"/>
          <w:rtl/>
        </w:rPr>
        <w:t>،</w:t>
      </w:r>
      <w:r>
        <w:rPr>
          <w:rtl/>
        </w:rPr>
        <w:t xml:space="preserve"> وعدم الانتقائية</w:t>
      </w:r>
      <w:r>
        <w:rPr>
          <w:rFonts w:hint="cs"/>
          <w:rtl/>
        </w:rPr>
        <w:t>،</w:t>
      </w:r>
      <w:r>
        <w:rPr>
          <w:rtl/>
        </w:rPr>
        <w:t xml:space="preserve"> وعدم التسييس</w:t>
      </w:r>
      <w:r>
        <w:rPr>
          <w:rFonts w:hint="cs"/>
          <w:rtl/>
        </w:rPr>
        <w:t>،</w:t>
      </w:r>
      <w:r>
        <w:rPr>
          <w:rtl/>
        </w:rPr>
        <w:t xml:space="preserve"> و</w:t>
      </w:r>
      <w:r>
        <w:rPr>
          <w:rFonts w:hint="cs"/>
          <w:rtl/>
        </w:rPr>
        <w:t xml:space="preserve">على </w:t>
      </w:r>
      <w:r>
        <w:rPr>
          <w:rtl/>
        </w:rPr>
        <w:t>المساواة والاحترام المتبادل، بهدف تعزيز التفاهم وتوسيع الأرضية المشتركة وتعزيز التعاون البناء، بوسائل منها بناء القدرات والتعاون التقني،</w:t>
      </w:r>
    </w:p>
    <w:p w14:paraId="3144BDF3" w14:textId="77777777" w:rsidR="00595D32" w:rsidRDefault="00595D32" w:rsidP="00A801BB">
      <w:pPr>
        <w:pStyle w:val="SingleTxtGA"/>
        <w:rPr>
          <w:rtl/>
        </w:rPr>
      </w:pPr>
      <w:r w:rsidRPr="005B4AAB">
        <w:rPr>
          <w:rtl/>
        </w:rPr>
        <w:tab/>
      </w:r>
      <w:r w:rsidRPr="005B4AAB">
        <w:rPr>
          <w:rFonts w:hint="cs"/>
          <w:i/>
          <w:iCs/>
          <w:rtl/>
        </w:rPr>
        <w:t>وإذ يسلم</w:t>
      </w:r>
      <w:r w:rsidRPr="005B4AAB">
        <w:rPr>
          <w:rFonts w:hint="cs"/>
          <w:rtl/>
        </w:rPr>
        <w:t xml:space="preserve"> </w:t>
      </w:r>
      <w:r w:rsidRPr="005B4AAB">
        <w:rPr>
          <w:rtl/>
        </w:rPr>
        <w:t>بأهمية ما يُقدَّم من مساعدة تقنية وبناء القدرات بالتشاور مع الدول المعنية وبموافقتها،</w:t>
      </w:r>
      <w:r>
        <w:rPr>
          <w:rtl/>
        </w:rPr>
        <w:t xml:space="preserve"> في تعزيز التعاون المفيد للجميع في ميدان حقوق الإنسان،</w:t>
      </w:r>
    </w:p>
    <w:p w14:paraId="3537DCC8" w14:textId="77777777" w:rsidR="00595D32" w:rsidRDefault="00595D32" w:rsidP="00A801BB">
      <w:pPr>
        <w:pStyle w:val="SingleTxtGA"/>
        <w:rPr>
          <w:rtl/>
        </w:rPr>
      </w:pPr>
      <w:r>
        <w:rPr>
          <w:rtl/>
        </w:rPr>
        <w:tab/>
      </w:r>
      <w:r w:rsidRPr="003E35D0">
        <w:rPr>
          <w:rFonts w:hint="cs"/>
          <w:i/>
          <w:iCs/>
          <w:rtl/>
        </w:rPr>
        <w:t>وإذ يكرر</w:t>
      </w:r>
      <w:r>
        <w:rPr>
          <w:rFonts w:hint="cs"/>
          <w:rtl/>
        </w:rPr>
        <w:t xml:space="preserve"> </w:t>
      </w:r>
      <w:r>
        <w:rPr>
          <w:rtl/>
        </w:rPr>
        <w:t xml:space="preserve">تأكيد الحاجة إلى مواصلة ترسيخ دور مجلس حقوق الإنسان في تعزيز المساعدة التقنية وبناء القدرات، بوسائل منها استكشاف السبل التي تمكن الدول من عرض إنجازاتها وممارساتها الجيدة في ميدان حقوق الإنسان، </w:t>
      </w:r>
      <w:r>
        <w:rPr>
          <w:rFonts w:hint="cs"/>
          <w:rtl/>
        </w:rPr>
        <w:t>والاطلاع</w:t>
      </w:r>
      <w:r>
        <w:rPr>
          <w:rtl/>
        </w:rPr>
        <w:t xml:space="preserve"> على تجاربها الواقعية وتبادل خبراتها في تعزيز حقوق الإنسان وحمايتها، </w:t>
      </w:r>
      <w:r>
        <w:rPr>
          <w:rFonts w:hint="cs"/>
          <w:rtl/>
        </w:rPr>
        <w:t>والتعهد</w:t>
      </w:r>
      <w:r>
        <w:rPr>
          <w:rtl/>
        </w:rPr>
        <w:t xml:space="preserve"> طوعاً بتقديم مساهماتها والتزاماتها،</w:t>
      </w:r>
    </w:p>
    <w:p w14:paraId="3B1DC5C4" w14:textId="77777777" w:rsidR="00595D32" w:rsidRDefault="00595D32" w:rsidP="00A801BB">
      <w:pPr>
        <w:pStyle w:val="SingleTxtGA"/>
        <w:rPr>
          <w:rtl/>
        </w:rPr>
      </w:pPr>
      <w:r>
        <w:rPr>
          <w:rtl/>
        </w:rPr>
        <w:tab/>
      </w:r>
      <w:r w:rsidRPr="003E35D0">
        <w:rPr>
          <w:rFonts w:hint="cs"/>
          <w:i/>
          <w:iCs/>
          <w:rtl/>
        </w:rPr>
        <w:t>وإذ يسلم</w:t>
      </w:r>
      <w:r>
        <w:rPr>
          <w:rFonts w:hint="cs"/>
          <w:rtl/>
        </w:rPr>
        <w:t xml:space="preserve"> </w:t>
      </w:r>
      <w:r>
        <w:rPr>
          <w:rtl/>
        </w:rPr>
        <w:t xml:space="preserve">بدور الاستعراض الدوري الشامل في أمور منها تعزيز عالمية جميع حقوق الإنسان وترابطها وعدم قابليتها للتجزئة وتشابكها، </w:t>
      </w:r>
      <w:r>
        <w:rPr>
          <w:rFonts w:hint="cs"/>
          <w:rtl/>
        </w:rPr>
        <w:t>وإنشاء</w:t>
      </w:r>
      <w:r>
        <w:rPr>
          <w:rtl/>
        </w:rPr>
        <w:t xml:space="preserve"> آلية تعاونية تستند إلى معلومات موضوعية وموثوق بها وإلى </w:t>
      </w:r>
      <w:r>
        <w:rPr>
          <w:rFonts w:hint="cs"/>
          <w:rtl/>
        </w:rPr>
        <w:t>التحاور</w:t>
      </w:r>
      <w:r>
        <w:rPr>
          <w:rtl/>
        </w:rPr>
        <w:t xml:space="preserve">، </w:t>
      </w:r>
      <w:r>
        <w:rPr>
          <w:rFonts w:hint="cs"/>
          <w:rtl/>
        </w:rPr>
        <w:t>وضمان</w:t>
      </w:r>
      <w:r>
        <w:rPr>
          <w:rtl/>
        </w:rPr>
        <w:t xml:space="preserve"> </w:t>
      </w:r>
      <w:r>
        <w:rPr>
          <w:rFonts w:hint="cs"/>
          <w:rtl/>
        </w:rPr>
        <w:t>العالمية في التغطية</w:t>
      </w:r>
      <w:r>
        <w:rPr>
          <w:rtl/>
        </w:rPr>
        <w:t xml:space="preserve"> </w:t>
      </w:r>
      <w:r>
        <w:rPr>
          <w:rFonts w:hint="cs"/>
          <w:rtl/>
        </w:rPr>
        <w:t>والمساواة في المعاملة ل</w:t>
      </w:r>
      <w:r>
        <w:rPr>
          <w:rtl/>
        </w:rPr>
        <w:t>جميع الدول من حيث الإسهام في تعزيز حقوق الإنسان وحمايتها والتعاون المفيد للجميع،</w:t>
      </w:r>
    </w:p>
    <w:p w14:paraId="0038B345" w14:textId="77777777" w:rsidR="00595D32" w:rsidRDefault="00595D32" w:rsidP="00A801BB">
      <w:pPr>
        <w:pStyle w:val="SingleTxtGA"/>
        <w:rPr>
          <w:rtl/>
        </w:rPr>
      </w:pPr>
      <w:r>
        <w:rPr>
          <w:rtl/>
        </w:rPr>
        <w:tab/>
      </w:r>
      <w:r w:rsidRPr="003E35D0">
        <w:rPr>
          <w:rFonts w:hint="cs"/>
          <w:i/>
          <w:iCs/>
          <w:rtl/>
        </w:rPr>
        <w:t xml:space="preserve">وإذ </w:t>
      </w:r>
      <w:r>
        <w:rPr>
          <w:rFonts w:hint="cs"/>
          <w:i/>
          <w:iCs/>
          <w:rtl/>
        </w:rPr>
        <w:t>يسلم</w:t>
      </w:r>
      <w:r w:rsidRPr="003E35D0">
        <w:rPr>
          <w:rFonts w:hint="cs"/>
          <w:i/>
          <w:iCs/>
          <w:rtl/>
        </w:rPr>
        <w:t xml:space="preserve"> أيضاً</w:t>
      </w:r>
      <w:r>
        <w:rPr>
          <w:rFonts w:hint="cs"/>
          <w:rtl/>
        </w:rPr>
        <w:t xml:space="preserve"> ب</w:t>
      </w:r>
      <w:r>
        <w:rPr>
          <w:rtl/>
        </w:rPr>
        <w:t>أن من شأن الحوار بين الأديان والثقافات والحضارات في ميدان حقوق الإنسان أن يسهم أيما إسهام في تعزيز التعاون الدولي في هذا الميدان،</w:t>
      </w:r>
    </w:p>
    <w:p w14:paraId="1A4200FC" w14:textId="77777777" w:rsidR="00595D32" w:rsidRDefault="00595D32" w:rsidP="00A801BB">
      <w:pPr>
        <w:pStyle w:val="SingleTxtGA"/>
        <w:rPr>
          <w:rtl/>
        </w:rPr>
      </w:pPr>
      <w:r>
        <w:rPr>
          <w:rtl/>
        </w:rPr>
        <w:tab/>
      </w:r>
      <w:r w:rsidRPr="003E35D0">
        <w:rPr>
          <w:rFonts w:hint="cs"/>
          <w:i/>
          <w:iCs/>
          <w:rtl/>
        </w:rPr>
        <w:t xml:space="preserve">وإذ </w:t>
      </w:r>
      <w:r>
        <w:rPr>
          <w:rFonts w:hint="cs"/>
          <w:i/>
          <w:iCs/>
          <w:rtl/>
        </w:rPr>
        <w:t>يسلم</w:t>
      </w:r>
      <w:r w:rsidRPr="003E35D0">
        <w:rPr>
          <w:rFonts w:hint="cs"/>
          <w:i/>
          <w:iCs/>
          <w:rtl/>
        </w:rPr>
        <w:t xml:space="preserve"> كذلك</w:t>
      </w:r>
      <w:r>
        <w:rPr>
          <w:rFonts w:hint="cs"/>
          <w:rtl/>
        </w:rPr>
        <w:t xml:space="preserve"> ب</w:t>
      </w:r>
      <w:r>
        <w:rPr>
          <w:rtl/>
        </w:rPr>
        <w:t xml:space="preserve">أهمية تعزيز العلاقات الدولية المبنية على الاحترام المتبادل والإنصاف والعدل والتعاون المفيد للجميع، وأهمية بناء مجتمع </w:t>
      </w:r>
      <w:r>
        <w:rPr>
          <w:rFonts w:hint="cs"/>
          <w:rtl/>
        </w:rPr>
        <w:t>ب</w:t>
      </w:r>
      <w:r>
        <w:rPr>
          <w:rtl/>
        </w:rPr>
        <w:t xml:space="preserve">مستقبل مشترك للبشرية يتمتع فيه </w:t>
      </w:r>
      <w:r>
        <w:rPr>
          <w:rFonts w:hint="cs"/>
          <w:rtl/>
        </w:rPr>
        <w:t>ال</w:t>
      </w:r>
      <w:r>
        <w:rPr>
          <w:rtl/>
        </w:rPr>
        <w:t>جميع بحقوق الإنسان،</w:t>
      </w:r>
    </w:p>
    <w:p w14:paraId="712C8FBF" w14:textId="77777777" w:rsidR="00595D32" w:rsidRDefault="00595D32" w:rsidP="00A801BB">
      <w:pPr>
        <w:pStyle w:val="SingleTxtGA"/>
        <w:rPr>
          <w:rtl/>
        </w:rPr>
      </w:pPr>
      <w:r w:rsidRPr="00B762D3">
        <w:rPr>
          <w:szCs w:val="20"/>
          <w:rtl/>
        </w:rPr>
        <w:tab/>
      </w:r>
      <w:r w:rsidRPr="00A801BB">
        <w:rPr>
          <w:szCs w:val="20"/>
          <w:rtl/>
        </w:rPr>
        <w:t>1</w:t>
      </w:r>
      <w:r w:rsidRPr="00B762D3">
        <w:rPr>
          <w:rtl/>
        </w:rPr>
        <w:t>-</w:t>
      </w:r>
      <w:r w:rsidRPr="00B762D3">
        <w:rPr>
          <w:rtl/>
        </w:rPr>
        <w:tab/>
      </w:r>
      <w:r w:rsidRPr="00B762D3">
        <w:rPr>
          <w:i/>
          <w:iCs/>
          <w:rtl/>
        </w:rPr>
        <w:t>يهيب</w:t>
      </w:r>
      <w:r w:rsidRPr="00B762D3">
        <w:rPr>
          <w:rtl/>
        </w:rPr>
        <w:t xml:space="preserve"> بجميع الدول </w:t>
      </w:r>
      <w:r>
        <w:rPr>
          <w:rFonts w:hint="cs"/>
          <w:rtl/>
        </w:rPr>
        <w:t>إلى</w:t>
      </w:r>
      <w:r w:rsidRPr="00B762D3">
        <w:rPr>
          <w:rtl/>
        </w:rPr>
        <w:t xml:space="preserve"> دعم تعددية الأطراف </w:t>
      </w:r>
      <w:r>
        <w:rPr>
          <w:rFonts w:hint="cs"/>
          <w:rtl/>
        </w:rPr>
        <w:t>والعمل</w:t>
      </w:r>
      <w:r w:rsidRPr="00B762D3">
        <w:rPr>
          <w:rtl/>
        </w:rPr>
        <w:t xml:space="preserve"> معاً على تعزيز التعاون المفيد</w:t>
      </w:r>
      <w:r w:rsidRPr="005B4AAB">
        <w:rPr>
          <w:rtl/>
        </w:rPr>
        <w:t xml:space="preserve"> للجميع في ميدان حقوق الإنسان، ويشجع الجهات الأخرى صاحبة المصلحة، بما فيها المنظمات</w:t>
      </w:r>
      <w:r>
        <w:rPr>
          <w:rtl/>
        </w:rPr>
        <w:t xml:space="preserve"> الدولية والإقليمية والمنظمات غير الحكومية، على الإسهام بهمة في هذا المسعى؛</w:t>
      </w:r>
    </w:p>
    <w:p w14:paraId="5593968A" w14:textId="77777777" w:rsidR="00595D32" w:rsidRDefault="00595D32" w:rsidP="00A801BB">
      <w:pPr>
        <w:pStyle w:val="SingleTxtGA"/>
        <w:rPr>
          <w:rtl/>
        </w:rPr>
      </w:pPr>
      <w:r>
        <w:rPr>
          <w:szCs w:val="20"/>
          <w:rtl/>
        </w:rPr>
        <w:tab/>
      </w:r>
      <w:r w:rsidRPr="00A801BB">
        <w:rPr>
          <w:szCs w:val="20"/>
          <w:rtl/>
        </w:rPr>
        <w:t>2</w:t>
      </w:r>
      <w:r>
        <w:rPr>
          <w:rtl/>
        </w:rPr>
        <w:t>-</w:t>
      </w:r>
      <w:r>
        <w:rPr>
          <w:rtl/>
        </w:rPr>
        <w:tab/>
      </w:r>
      <w:r w:rsidRPr="003E35D0">
        <w:rPr>
          <w:i/>
          <w:iCs/>
          <w:rtl/>
        </w:rPr>
        <w:t>يشدد</w:t>
      </w:r>
      <w:r>
        <w:rPr>
          <w:rtl/>
        </w:rPr>
        <w:t xml:space="preserve"> على الدور الحاسم الذي يؤديه مجلس حقوق الإنسان بوصفه الهيئة الحكومية الدولية الرئيسية المعنية بحقوق الإنسان داخل منظومة الأمم المتحدة، ويشدد على ضرورة أن يضطلع </w:t>
      </w:r>
      <w:r w:rsidRPr="005B4AAB">
        <w:rPr>
          <w:spacing w:val="-4"/>
          <w:rtl/>
        </w:rPr>
        <w:t>المجلس بولايته وهو على التزام شديد بتعددية الأطراف عن طريق تنفيذ مبادئ العالمية والحياد والموضوعية</w:t>
      </w:r>
      <w:r>
        <w:rPr>
          <w:rtl/>
        </w:rPr>
        <w:t xml:space="preserve"> وعدم الانتقائية والحوار والتعاون الدوليين البناءين، بقصد تعزيز وحماية جميع حقوق الإنسان؛</w:t>
      </w:r>
    </w:p>
    <w:p w14:paraId="1A031DCD" w14:textId="77777777" w:rsidR="00595D32" w:rsidRDefault="00595D32" w:rsidP="00A801BB">
      <w:pPr>
        <w:pStyle w:val="SingleTxtGA"/>
        <w:rPr>
          <w:rtl/>
        </w:rPr>
      </w:pPr>
      <w:r>
        <w:rPr>
          <w:szCs w:val="20"/>
          <w:rtl/>
        </w:rPr>
        <w:tab/>
      </w:r>
      <w:r w:rsidRPr="00A801BB">
        <w:rPr>
          <w:szCs w:val="20"/>
          <w:rtl/>
        </w:rPr>
        <w:t>3</w:t>
      </w:r>
      <w:r>
        <w:rPr>
          <w:rtl/>
        </w:rPr>
        <w:t>-</w:t>
      </w:r>
      <w:r w:rsidRPr="005B4AAB">
        <w:rPr>
          <w:spacing w:val="-4"/>
          <w:rtl/>
        </w:rPr>
        <w:tab/>
      </w:r>
      <w:r w:rsidRPr="005B4AAB">
        <w:rPr>
          <w:i/>
          <w:iCs/>
          <w:spacing w:val="-4"/>
          <w:rtl/>
        </w:rPr>
        <w:t>يهيب</w:t>
      </w:r>
      <w:r w:rsidRPr="005B4AAB">
        <w:rPr>
          <w:spacing w:val="-4"/>
          <w:rtl/>
        </w:rPr>
        <w:t xml:space="preserve"> بجميع الدول وبغيرها من أصحاب المصلحة</w:t>
      </w:r>
      <w:r>
        <w:rPr>
          <w:rFonts w:hint="cs"/>
          <w:spacing w:val="-4"/>
          <w:rtl/>
        </w:rPr>
        <w:t xml:space="preserve"> إلى</w:t>
      </w:r>
      <w:r w:rsidRPr="005B4AAB">
        <w:rPr>
          <w:spacing w:val="-4"/>
          <w:rtl/>
        </w:rPr>
        <w:t xml:space="preserve"> إقامة حوار وتعاون بناءين وصادقين </w:t>
      </w:r>
      <w:r>
        <w:rPr>
          <w:rtl/>
        </w:rPr>
        <w:t>في ميدان حقوق الإنسان، بالاستناد إلى مبادئ العالمية</w:t>
      </w:r>
      <w:r>
        <w:rPr>
          <w:rFonts w:hint="cs"/>
          <w:rtl/>
        </w:rPr>
        <w:t>،</w:t>
      </w:r>
      <w:r>
        <w:rPr>
          <w:rtl/>
        </w:rPr>
        <w:t xml:space="preserve"> والحياد</w:t>
      </w:r>
      <w:r>
        <w:rPr>
          <w:rFonts w:hint="cs"/>
          <w:rtl/>
        </w:rPr>
        <w:t>،</w:t>
      </w:r>
      <w:r>
        <w:rPr>
          <w:rtl/>
        </w:rPr>
        <w:t xml:space="preserve"> والموضوعية</w:t>
      </w:r>
      <w:r>
        <w:rPr>
          <w:rFonts w:hint="cs"/>
          <w:rtl/>
        </w:rPr>
        <w:t>،</w:t>
      </w:r>
      <w:r>
        <w:rPr>
          <w:rtl/>
        </w:rPr>
        <w:t xml:space="preserve"> وعدم القابلية للتجزئة</w:t>
      </w:r>
      <w:r>
        <w:rPr>
          <w:rFonts w:hint="cs"/>
          <w:rtl/>
        </w:rPr>
        <w:t>،</w:t>
      </w:r>
      <w:r>
        <w:rPr>
          <w:rtl/>
        </w:rPr>
        <w:t xml:space="preserve"> وعدم الانتقائية</w:t>
      </w:r>
      <w:r>
        <w:rPr>
          <w:rFonts w:hint="cs"/>
          <w:rtl/>
        </w:rPr>
        <w:t>،</w:t>
      </w:r>
      <w:r>
        <w:rPr>
          <w:rtl/>
        </w:rPr>
        <w:t xml:space="preserve"> وعدم التسييس</w:t>
      </w:r>
      <w:r>
        <w:rPr>
          <w:rFonts w:hint="cs"/>
          <w:rtl/>
        </w:rPr>
        <w:t>،</w:t>
      </w:r>
      <w:r>
        <w:rPr>
          <w:rtl/>
        </w:rPr>
        <w:t xml:space="preserve"> والمساواة</w:t>
      </w:r>
      <w:r>
        <w:rPr>
          <w:rFonts w:hint="cs"/>
          <w:rtl/>
        </w:rPr>
        <w:t>،</w:t>
      </w:r>
      <w:r>
        <w:rPr>
          <w:rtl/>
        </w:rPr>
        <w:t xml:space="preserve"> والاحترام المتبادل، بهدف تعزيز التفاهم وتوسيع الأرضية المشتركة وتقريب وجهات النظر </w:t>
      </w:r>
      <w:r>
        <w:rPr>
          <w:rFonts w:hint="cs"/>
          <w:rtl/>
        </w:rPr>
        <w:t>وتعزيز</w:t>
      </w:r>
      <w:r>
        <w:rPr>
          <w:rtl/>
        </w:rPr>
        <w:t xml:space="preserve"> التعاون البناء؛</w:t>
      </w:r>
    </w:p>
    <w:p w14:paraId="049B0A02" w14:textId="77777777" w:rsidR="00595D32" w:rsidRDefault="00595D32" w:rsidP="00A801BB">
      <w:pPr>
        <w:pStyle w:val="SingleTxtGA"/>
        <w:rPr>
          <w:rtl/>
        </w:rPr>
      </w:pPr>
      <w:r>
        <w:rPr>
          <w:szCs w:val="20"/>
          <w:rtl/>
        </w:rPr>
        <w:tab/>
      </w:r>
      <w:r w:rsidRPr="00A801BB">
        <w:rPr>
          <w:szCs w:val="20"/>
          <w:rtl/>
        </w:rPr>
        <w:t>4</w:t>
      </w:r>
      <w:r>
        <w:rPr>
          <w:rtl/>
        </w:rPr>
        <w:t>-</w:t>
      </w:r>
      <w:r>
        <w:rPr>
          <w:rtl/>
        </w:rPr>
        <w:tab/>
      </w:r>
      <w:r w:rsidRPr="003E35D0">
        <w:rPr>
          <w:i/>
          <w:iCs/>
          <w:rtl/>
        </w:rPr>
        <w:t>يؤكد من جديد</w:t>
      </w:r>
      <w:r>
        <w:rPr>
          <w:rtl/>
        </w:rPr>
        <w:t xml:space="preserve"> أهمية دور المساعدة التقنية وبناء القدرات في تعزيز حقوق الإنسان وحمايتها، ويهيب بالدول </w:t>
      </w:r>
      <w:r>
        <w:rPr>
          <w:rFonts w:hint="cs"/>
          <w:rtl/>
        </w:rPr>
        <w:t>إلى</w:t>
      </w:r>
      <w:r>
        <w:rPr>
          <w:rtl/>
        </w:rPr>
        <w:t xml:space="preserve"> تعز</w:t>
      </w:r>
      <w:r>
        <w:rPr>
          <w:rFonts w:hint="cs"/>
          <w:rtl/>
        </w:rPr>
        <w:t>ي</w:t>
      </w:r>
      <w:r>
        <w:rPr>
          <w:rtl/>
        </w:rPr>
        <w:t xml:space="preserve">ز المساعدة التقنية وبناء القدرات في ميدان حقوق الإنسان عن طريق التعاون المفيد للجميع، بناء على طلب الدول المعنية ووفقاً للأولويات التي تحددها، </w:t>
      </w:r>
      <w:r w:rsidRPr="005B4AAB">
        <w:rPr>
          <w:spacing w:val="-4"/>
          <w:rtl/>
        </w:rPr>
        <w:t>ويرحب في هذا الصدد بالتعاون بين بلدان الشمال والجنوب وفيما بين بلدان الجنوب وبالتعاون الثلاثي؛</w:t>
      </w:r>
    </w:p>
    <w:p w14:paraId="4ADB9B9C" w14:textId="77777777" w:rsidR="00595D32" w:rsidRDefault="00595D32" w:rsidP="00A801BB">
      <w:pPr>
        <w:pStyle w:val="SingleTxtGA"/>
        <w:rPr>
          <w:rtl/>
        </w:rPr>
      </w:pPr>
      <w:r>
        <w:rPr>
          <w:szCs w:val="20"/>
          <w:rtl/>
        </w:rPr>
        <w:tab/>
      </w:r>
      <w:r w:rsidRPr="00A801BB">
        <w:rPr>
          <w:szCs w:val="20"/>
          <w:rtl/>
        </w:rPr>
        <w:t>5</w:t>
      </w:r>
      <w:r>
        <w:rPr>
          <w:rtl/>
        </w:rPr>
        <w:t>-</w:t>
      </w:r>
      <w:r>
        <w:rPr>
          <w:rtl/>
        </w:rPr>
        <w:tab/>
      </w:r>
      <w:r w:rsidRPr="003E35D0">
        <w:rPr>
          <w:i/>
          <w:iCs/>
          <w:rtl/>
        </w:rPr>
        <w:t>يحيط علم</w:t>
      </w:r>
      <w:r>
        <w:rPr>
          <w:i/>
          <w:iCs/>
          <w:rtl/>
        </w:rPr>
        <w:t xml:space="preserve">اً </w:t>
      </w:r>
      <w:r>
        <w:rPr>
          <w:rtl/>
        </w:rPr>
        <w:t xml:space="preserve">بتقرير اللجنة الاستشارية </w:t>
      </w:r>
      <w:r>
        <w:rPr>
          <w:rFonts w:hint="cs"/>
          <w:rtl/>
        </w:rPr>
        <w:t>ل</w:t>
      </w:r>
      <w:r>
        <w:rPr>
          <w:rtl/>
        </w:rPr>
        <w:t xml:space="preserve">مجلس حقوق الإنسان عن دور المساعدة التقنية وبناء القدرات في </w:t>
      </w:r>
      <w:r>
        <w:rPr>
          <w:rFonts w:hint="cs"/>
          <w:rtl/>
        </w:rPr>
        <w:t>تدعيم</w:t>
      </w:r>
      <w:r>
        <w:rPr>
          <w:rtl/>
        </w:rPr>
        <w:t xml:space="preserve"> التعاون المفيد للجميع </w:t>
      </w:r>
      <w:r>
        <w:rPr>
          <w:rFonts w:hint="cs"/>
          <w:rtl/>
        </w:rPr>
        <w:t>في</w:t>
      </w:r>
      <w:r>
        <w:rPr>
          <w:rtl/>
        </w:rPr>
        <w:t xml:space="preserve"> تعزيز حقوق الإنسان وحمايتها</w:t>
      </w:r>
      <w:r>
        <w:rPr>
          <w:vertAlign w:val="superscript"/>
          <w:rtl/>
        </w:rPr>
        <w:t>(</w:t>
      </w:r>
      <w:r w:rsidRPr="00A801BB">
        <w:rPr>
          <w:rStyle w:val="FootnoteReference"/>
          <w:rFonts w:ascii="Times New Roman" w:hAnsi="Times New Roman" w:cs="Times New Roman"/>
          <w:b w:val="0"/>
          <w:position w:val="4"/>
          <w:sz w:val="20"/>
        </w:rPr>
        <w:footnoteReference w:id="2"/>
      </w:r>
      <w:r>
        <w:rPr>
          <w:vertAlign w:val="superscript"/>
          <w:rtl/>
        </w:rPr>
        <w:t>)</w:t>
      </w:r>
      <w:r>
        <w:rPr>
          <w:rtl/>
        </w:rPr>
        <w:t xml:space="preserve">؛ </w:t>
      </w:r>
    </w:p>
    <w:p w14:paraId="65ED81F1" w14:textId="77777777" w:rsidR="00595D32" w:rsidRDefault="00595D32" w:rsidP="00A801BB">
      <w:pPr>
        <w:pStyle w:val="SingleTxtGA"/>
        <w:rPr>
          <w:rtl/>
        </w:rPr>
      </w:pPr>
      <w:r>
        <w:rPr>
          <w:szCs w:val="20"/>
          <w:rtl/>
        </w:rPr>
        <w:tab/>
      </w:r>
      <w:r w:rsidRPr="00A801BB">
        <w:rPr>
          <w:szCs w:val="20"/>
          <w:rtl/>
        </w:rPr>
        <w:t>6</w:t>
      </w:r>
      <w:r>
        <w:rPr>
          <w:rtl/>
        </w:rPr>
        <w:t>-</w:t>
      </w:r>
      <w:r>
        <w:rPr>
          <w:rtl/>
        </w:rPr>
        <w:tab/>
      </w:r>
      <w:r w:rsidRPr="003E35D0">
        <w:rPr>
          <w:i/>
          <w:iCs/>
          <w:rtl/>
        </w:rPr>
        <w:t>يشدد</w:t>
      </w:r>
      <w:r>
        <w:rPr>
          <w:rtl/>
        </w:rPr>
        <w:t xml:space="preserve"> على أهمية الاستعراض الدوري الشامل بوصفه آلية تقوم على التعاون والحوار البنّاء وتهدف، في جملة أمور، إلى تحسين حالة حقوق الإنسان على أرض الواقع وإلى تعزيز وفاء الدول بما أخذته على عاتقها من التزامات وواجبات في ميدان حقوق الإنسان، ويناشد جميع الدول والجهات المعنية صاحبة المصلحة </w:t>
      </w:r>
      <w:r>
        <w:rPr>
          <w:rFonts w:hint="cs"/>
          <w:rtl/>
        </w:rPr>
        <w:t>إلى المشاركة</w:t>
      </w:r>
      <w:r>
        <w:rPr>
          <w:rtl/>
        </w:rPr>
        <w:t xml:space="preserve"> فيه على نحو بناء؛</w:t>
      </w:r>
    </w:p>
    <w:p w14:paraId="639EE552" w14:textId="77777777" w:rsidR="00595D32" w:rsidRDefault="00595D32" w:rsidP="00A801BB">
      <w:pPr>
        <w:pStyle w:val="SingleTxtGA"/>
        <w:rPr>
          <w:rtl/>
        </w:rPr>
      </w:pPr>
      <w:r>
        <w:rPr>
          <w:szCs w:val="20"/>
          <w:rtl/>
        </w:rPr>
        <w:tab/>
      </w:r>
      <w:r w:rsidRPr="00A801BB">
        <w:rPr>
          <w:szCs w:val="20"/>
          <w:rtl/>
        </w:rPr>
        <w:t>7</w:t>
      </w:r>
      <w:r w:rsidRPr="005B4AAB">
        <w:rPr>
          <w:rtl/>
        </w:rPr>
        <w:t>-</w:t>
      </w:r>
      <w:r w:rsidRPr="005B4AAB">
        <w:rPr>
          <w:rtl/>
        </w:rPr>
        <w:tab/>
      </w:r>
      <w:r w:rsidRPr="005B4AAB">
        <w:rPr>
          <w:i/>
          <w:iCs/>
          <w:rtl/>
        </w:rPr>
        <w:t>يدعو</w:t>
      </w:r>
      <w:r w:rsidRPr="005B4AAB">
        <w:rPr>
          <w:rtl/>
        </w:rPr>
        <w:t xml:space="preserve"> آليات الأمم المتحدة وإجراءاتها المعنية بحقوق الإنسان إلى مواصلة إيلاء الاعتبار </w:t>
      </w:r>
      <w:r>
        <w:rPr>
          <w:rtl/>
        </w:rPr>
        <w:t>لأهمية التعاون المفيد للجميع في تعزيز جميع حقوق الإنسان وحمايتها؛</w:t>
      </w:r>
    </w:p>
    <w:p w14:paraId="61D074C5" w14:textId="41C44075" w:rsidR="00595D32" w:rsidRDefault="00595D32" w:rsidP="00A801BB">
      <w:pPr>
        <w:pStyle w:val="SingleTxtGA"/>
        <w:rPr>
          <w:rtl/>
        </w:rPr>
      </w:pPr>
      <w:r>
        <w:rPr>
          <w:szCs w:val="20"/>
          <w:rtl/>
        </w:rPr>
        <w:tab/>
      </w:r>
      <w:r w:rsidRPr="00A801BB">
        <w:rPr>
          <w:szCs w:val="20"/>
          <w:rtl/>
        </w:rPr>
        <w:t>8</w:t>
      </w:r>
      <w:r>
        <w:rPr>
          <w:rtl/>
        </w:rPr>
        <w:t>-</w:t>
      </w:r>
      <w:r>
        <w:rPr>
          <w:rtl/>
        </w:rPr>
        <w:tab/>
      </w:r>
      <w:r w:rsidRPr="003E35D0">
        <w:rPr>
          <w:i/>
          <w:iCs/>
          <w:rtl/>
        </w:rPr>
        <w:t>يقرر</w:t>
      </w:r>
      <w:r>
        <w:rPr>
          <w:rtl/>
        </w:rPr>
        <w:t xml:space="preserve"> أن يعقد أثناء دورته السادسة والأربعين، في إطار البند </w:t>
      </w:r>
      <w:r w:rsidRPr="00A801BB">
        <w:rPr>
          <w:szCs w:val="20"/>
          <w:rtl/>
        </w:rPr>
        <w:t>3</w:t>
      </w:r>
      <w:r>
        <w:rPr>
          <w:rtl/>
        </w:rPr>
        <w:t xml:space="preserve"> من جدول </w:t>
      </w:r>
      <w:r w:rsidRPr="005B4AAB">
        <w:rPr>
          <w:spacing w:val="-2"/>
          <w:rtl/>
        </w:rPr>
        <w:t xml:space="preserve">أعماله، </w:t>
      </w:r>
      <w:r>
        <w:rPr>
          <w:rtl/>
        </w:rPr>
        <w:t xml:space="preserve">اجتماعاً </w:t>
      </w:r>
      <w:r w:rsidRPr="005B4AAB">
        <w:rPr>
          <w:spacing w:val="-2"/>
          <w:rtl/>
        </w:rPr>
        <w:t>مدته ساعتان، يرأسه رئيس مجلس حقوق الإنسان، بشأن موضوع دور التخفيف من حدة الفقر</w:t>
      </w:r>
      <w:r>
        <w:rPr>
          <w:rtl/>
        </w:rPr>
        <w:t xml:space="preserve"> </w:t>
      </w:r>
      <w:r w:rsidRPr="005B4AAB">
        <w:rPr>
          <w:rtl/>
        </w:rPr>
        <w:t>في تعزيز حقوق الإنسان وحمايتها، بمشاركة كبار المسؤولين من الدول بغرض تبادل المعلومات عن الممارسات</w:t>
      </w:r>
      <w:r>
        <w:rPr>
          <w:rtl/>
        </w:rPr>
        <w:t xml:space="preserve"> الجيدة والخبرات في بلد</w:t>
      </w:r>
      <w:r>
        <w:rPr>
          <w:rFonts w:hint="cs"/>
          <w:rtl/>
        </w:rPr>
        <w:t>انهم</w:t>
      </w:r>
      <w:r>
        <w:rPr>
          <w:rtl/>
        </w:rPr>
        <w:t xml:space="preserve"> في جوانب معينة من تعزيز حقوق الإنسان وحمايتها، ويشجع الدول على اغتنام هذه الفرصة لتيسير التعاون التقني ذي الصلة؛</w:t>
      </w:r>
    </w:p>
    <w:p w14:paraId="151C9EAF" w14:textId="77777777" w:rsidR="00595D32" w:rsidRDefault="00595D32" w:rsidP="00A801BB">
      <w:pPr>
        <w:pStyle w:val="SingleTxtGA"/>
        <w:rPr>
          <w:rtl/>
        </w:rPr>
      </w:pPr>
      <w:r>
        <w:rPr>
          <w:szCs w:val="20"/>
          <w:rtl/>
        </w:rPr>
        <w:tab/>
      </w:r>
      <w:r w:rsidRPr="00A801BB">
        <w:rPr>
          <w:szCs w:val="20"/>
          <w:rtl/>
        </w:rPr>
        <w:t>9</w:t>
      </w:r>
      <w:r>
        <w:rPr>
          <w:rtl/>
        </w:rPr>
        <w:t>-</w:t>
      </w:r>
      <w:r>
        <w:rPr>
          <w:rtl/>
        </w:rPr>
        <w:tab/>
      </w:r>
      <w:r w:rsidRPr="003E35D0">
        <w:rPr>
          <w:i/>
          <w:iCs/>
          <w:rtl/>
        </w:rPr>
        <w:t>يطلب</w:t>
      </w:r>
      <w:r>
        <w:rPr>
          <w:rtl/>
        </w:rPr>
        <w:t xml:space="preserve"> إلى مفوضة الأمم المتحدة السامية لحقوق الإنسان أن </w:t>
      </w:r>
      <w:r>
        <w:rPr>
          <w:rFonts w:hint="cs"/>
          <w:rtl/>
        </w:rPr>
        <w:t>تزود</w:t>
      </w:r>
      <w:r>
        <w:rPr>
          <w:rtl/>
        </w:rPr>
        <w:t xml:space="preserve"> </w:t>
      </w:r>
      <w:r>
        <w:rPr>
          <w:rFonts w:hint="cs"/>
          <w:rtl/>
        </w:rPr>
        <w:t>ا</w:t>
      </w:r>
      <w:r>
        <w:rPr>
          <w:rtl/>
        </w:rPr>
        <w:t xml:space="preserve">لاجتماع الآنف ذكره </w:t>
      </w:r>
      <w:r>
        <w:rPr>
          <w:rFonts w:hint="cs"/>
          <w:rtl/>
        </w:rPr>
        <w:t>ب</w:t>
      </w:r>
      <w:r>
        <w:rPr>
          <w:rtl/>
        </w:rPr>
        <w:t xml:space="preserve">جميع الموارد اللازمة </w:t>
      </w:r>
      <w:r>
        <w:rPr>
          <w:rFonts w:hint="cs"/>
          <w:rtl/>
        </w:rPr>
        <w:t>ل</w:t>
      </w:r>
      <w:r>
        <w:rPr>
          <w:rtl/>
        </w:rPr>
        <w:t>لخدمات والمراف</w:t>
      </w:r>
      <w:bookmarkStart w:id="0" w:name="_GoBack"/>
      <w:bookmarkEnd w:id="0"/>
      <w:r>
        <w:rPr>
          <w:rtl/>
        </w:rPr>
        <w:t>ق، وأن تعد تقريراً موجزاً عن الاجتماع وتقدمه إلى مجلس حقوق الإنسان</w:t>
      </w:r>
      <w:r>
        <w:rPr>
          <w:rFonts w:hint="cs"/>
          <w:rtl/>
        </w:rPr>
        <w:t xml:space="preserve"> في دورته التاسعة والأربعين؛</w:t>
      </w:r>
      <w:r>
        <w:rPr>
          <w:rtl/>
        </w:rPr>
        <w:t xml:space="preserve"> </w:t>
      </w:r>
    </w:p>
    <w:p w14:paraId="06004F62" w14:textId="77777777" w:rsidR="00595D32" w:rsidRDefault="00595D32" w:rsidP="00A801BB">
      <w:pPr>
        <w:pStyle w:val="SingleTxtGA"/>
        <w:rPr>
          <w:rtl/>
        </w:rPr>
      </w:pPr>
      <w:r>
        <w:rPr>
          <w:szCs w:val="20"/>
          <w:rtl/>
        </w:rPr>
        <w:tab/>
      </w:r>
      <w:r w:rsidRPr="00A801BB">
        <w:rPr>
          <w:szCs w:val="20"/>
          <w:rtl/>
        </w:rPr>
        <w:t>10</w:t>
      </w:r>
      <w:r>
        <w:rPr>
          <w:rtl/>
        </w:rPr>
        <w:t>-</w:t>
      </w:r>
      <w:r>
        <w:rPr>
          <w:rtl/>
        </w:rPr>
        <w:tab/>
      </w:r>
      <w:r w:rsidRPr="003E35D0">
        <w:rPr>
          <w:i/>
          <w:iCs/>
          <w:rtl/>
        </w:rPr>
        <w:t>يقرر</w:t>
      </w:r>
      <w:r>
        <w:rPr>
          <w:rtl/>
        </w:rPr>
        <w:t xml:space="preserve"> أن يبقي المسألة قيد نظره.</w:t>
      </w:r>
    </w:p>
    <w:p w14:paraId="4A6480F9" w14:textId="20E99E4D" w:rsidR="00595D32" w:rsidRPr="00A801BB" w:rsidRDefault="00A801BB" w:rsidP="00A801BB">
      <w:pPr>
        <w:spacing w:before="120"/>
        <w:jc w:val="center"/>
        <w:rPr>
          <w:rFonts w:hint="cs"/>
          <w:u w:val="single"/>
          <w:rtl/>
        </w:rPr>
      </w:pPr>
      <w:r>
        <w:rPr>
          <w:u w:val="single"/>
          <w:rtl/>
        </w:rPr>
        <w:tab/>
      </w:r>
      <w:r>
        <w:rPr>
          <w:u w:val="single"/>
          <w:rtl/>
        </w:rPr>
        <w:tab/>
      </w:r>
      <w:r>
        <w:rPr>
          <w:u w:val="single"/>
          <w:rtl/>
        </w:rPr>
        <w:tab/>
      </w:r>
    </w:p>
    <w:sectPr w:rsidR="00595D32" w:rsidRPr="00A801BB" w:rsidSect="00E93C5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53C75" w14:textId="77777777" w:rsidR="00C04210" w:rsidRPr="002901D9" w:rsidRDefault="00C04210" w:rsidP="002901D9">
      <w:pPr>
        <w:spacing w:after="60" w:line="240" w:lineRule="auto"/>
        <w:rPr>
          <w:i/>
          <w:iCs/>
        </w:rPr>
      </w:pPr>
      <w:r>
        <w:rPr>
          <w:rFonts w:hint="cs"/>
          <w:i/>
          <w:iCs/>
          <w:rtl/>
        </w:rPr>
        <w:t>الحواشي</w:t>
      </w:r>
    </w:p>
  </w:endnote>
  <w:endnote w:type="continuationSeparator" w:id="0">
    <w:p w14:paraId="36931C2B" w14:textId="77777777" w:rsidR="00C04210" w:rsidRDefault="00C04210"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05E30" w14:textId="77777777" w:rsidR="00E93C57" w:rsidRPr="00595D32" w:rsidRDefault="00595D32" w:rsidP="00595D32">
    <w:pPr>
      <w:pStyle w:val="Footer"/>
      <w:tabs>
        <w:tab w:val="right" w:pos="9598"/>
      </w:tabs>
      <w:rPr>
        <w:rFonts w:hint="cs"/>
        <w:sz w:val="17"/>
      </w:rPr>
    </w:pPr>
    <w:r>
      <w:rPr>
        <w:sz w:val="17"/>
      </w:rPr>
      <w:t>GE.20-07957</w:t>
    </w:r>
    <w:r>
      <w:rPr>
        <w:sz w:val="17"/>
      </w:rPr>
      <w:tab/>
    </w:r>
    <w:r w:rsidRPr="00595D32">
      <w:rPr>
        <w:b/>
        <w:sz w:val="18"/>
      </w:rPr>
      <w:fldChar w:fldCharType="begin"/>
    </w:r>
    <w:r w:rsidRPr="00595D32">
      <w:rPr>
        <w:b/>
        <w:sz w:val="18"/>
      </w:rPr>
      <w:instrText xml:space="preserve"> PAGE  \* MERGEFORMAT </w:instrText>
    </w:r>
    <w:r w:rsidRPr="00595D32">
      <w:rPr>
        <w:b/>
        <w:sz w:val="18"/>
      </w:rPr>
      <w:fldChar w:fldCharType="separate"/>
    </w:r>
    <w:r>
      <w:rPr>
        <w:b/>
        <w:sz w:val="18"/>
      </w:rPr>
      <w:t>2</w:t>
    </w:r>
    <w:r w:rsidRPr="00595D3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50F4" w14:textId="77777777" w:rsidR="006959B0" w:rsidRPr="00595D32" w:rsidRDefault="00595D32" w:rsidP="006959B0">
    <w:pPr>
      <w:pStyle w:val="Footer"/>
      <w:tabs>
        <w:tab w:val="right" w:pos="9599"/>
      </w:tabs>
      <w:jc w:val="left"/>
      <w:rPr>
        <w:b/>
        <w:sz w:val="18"/>
        <w:lang w:val="en-US"/>
      </w:rPr>
    </w:pPr>
    <w:r w:rsidRPr="00595D32">
      <w:rPr>
        <w:b/>
        <w:sz w:val="18"/>
        <w:lang w:val="en-US"/>
      </w:rPr>
      <w:fldChar w:fldCharType="begin"/>
    </w:r>
    <w:r w:rsidRPr="00595D32">
      <w:rPr>
        <w:b/>
        <w:sz w:val="18"/>
        <w:lang w:val="en-US"/>
      </w:rPr>
      <w:instrText xml:space="preserve"> PAGE  \* MERGEFORMAT </w:instrText>
    </w:r>
    <w:r w:rsidRPr="00595D32">
      <w:rPr>
        <w:b/>
        <w:sz w:val="18"/>
        <w:lang w:val="en-US"/>
      </w:rPr>
      <w:fldChar w:fldCharType="separate"/>
    </w:r>
    <w:r w:rsidRPr="00595D32">
      <w:rPr>
        <w:b/>
        <w:noProof/>
        <w:sz w:val="18"/>
        <w:lang w:val="en-US"/>
      </w:rPr>
      <w:t>3</w:t>
    </w:r>
    <w:r w:rsidRPr="00595D32">
      <w:rPr>
        <w:b/>
        <w:sz w:val="18"/>
        <w:lang w:val="en-US"/>
      </w:rPr>
      <w:fldChar w:fldCharType="end"/>
    </w:r>
    <w:r>
      <w:rPr>
        <w:b/>
        <w:sz w:val="18"/>
        <w:lang w:val="en-US"/>
      </w:rPr>
      <w:tab/>
    </w:r>
    <w:r>
      <w:rPr>
        <w:sz w:val="17"/>
        <w:lang w:val="en-US"/>
      </w:rPr>
      <w:t>GE.20-07957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AA45" w14:textId="6BF67DF4" w:rsidR="00FD4BC9" w:rsidRDefault="00E93C57" w:rsidP="00F6741C">
    <w:pPr>
      <w:pStyle w:val="Footer"/>
      <w:spacing w:before="360"/>
      <w:jc w:val="right"/>
      <w:rPr>
        <w:sz w:val="20"/>
        <w:szCs w:val="20"/>
      </w:rPr>
    </w:pPr>
    <w:r>
      <w:rPr>
        <w:sz w:val="20"/>
        <w:szCs w:val="20"/>
      </w:rPr>
      <w:t>GE.20-07957</w:t>
    </w:r>
    <w:r w:rsidR="005B034B">
      <w:rPr>
        <w:noProof/>
      </w:rPr>
      <w:drawing>
        <wp:anchor distT="0" distB="0" distL="114300" distR="114300" simplePos="0" relativeHeight="251657728" behindDoc="1" locked="1" layoutInCell="0" allowOverlap="1" wp14:anchorId="304A642D" wp14:editId="7621062A">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4FBDFDA8" w14:textId="393524C9" w:rsidR="00E93C57" w:rsidRPr="00E93C57" w:rsidRDefault="00E93C57" w:rsidP="00E93C57">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5B034B">
      <w:rPr>
        <w:noProof/>
      </w:rPr>
      <w:drawing>
        <wp:anchor distT="0" distB="0" distL="114300" distR="114300" simplePos="0" relativeHeight="251659776" behindDoc="0" locked="0" layoutInCell="1" allowOverlap="1" wp14:anchorId="30F1D7A8" wp14:editId="2D127C3E">
          <wp:simplePos x="0" y="0"/>
          <wp:positionH relativeFrom="page">
            <wp:posOffset>719455</wp:posOffset>
          </wp:positionH>
          <wp:positionV relativeFrom="page">
            <wp:posOffset>9611995</wp:posOffset>
          </wp:positionV>
          <wp:extent cx="563245" cy="563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FEBFC" w14:textId="77777777" w:rsidR="00C04210" w:rsidRPr="0054762C" w:rsidRDefault="00C04210" w:rsidP="000E524A">
      <w:pPr>
        <w:pStyle w:val="Footer"/>
        <w:bidi/>
        <w:spacing w:after="80" w:line="200" w:lineRule="exact"/>
        <w:ind w:left="680"/>
      </w:pPr>
      <w:r>
        <w:rPr>
          <w:rtl/>
        </w:rPr>
        <w:t>__________</w:t>
      </w:r>
    </w:p>
  </w:footnote>
  <w:footnote w:type="continuationSeparator" w:id="0">
    <w:p w14:paraId="3D8CA8D9" w14:textId="77777777" w:rsidR="00C04210" w:rsidRDefault="00C04210" w:rsidP="00656392">
      <w:pPr>
        <w:spacing w:line="240" w:lineRule="auto"/>
      </w:pPr>
      <w:r>
        <w:continuationSeparator/>
      </w:r>
    </w:p>
  </w:footnote>
  <w:footnote w:id="1">
    <w:p w14:paraId="54F211BB" w14:textId="77777777" w:rsidR="00595D32" w:rsidRPr="00595D32" w:rsidRDefault="00595D32" w:rsidP="00A801BB">
      <w:pPr>
        <w:pStyle w:val="FootnoteText1"/>
        <w:rPr>
          <w:rtl/>
        </w:rPr>
      </w:pPr>
      <w:r>
        <w:rPr>
          <w:rtl/>
        </w:rPr>
        <w:t>*</w:t>
      </w:r>
      <w:r>
        <w:rPr>
          <w:rtl/>
        </w:rPr>
        <w:tab/>
      </w:r>
      <w:r w:rsidRPr="00595D32">
        <w:rPr>
          <w:sz w:val="16"/>
          <w:szCs w:val="24"/>
          <w:rtl/>
        </w:rPr>
        <w:t>دولة غير عضو في مجلس حقوق الإنسان.</w:t>
      </w:r>
    </w:p>
  </w:footnote>
  <w:footnote w:id="2">
    <w:p w14:paraId="659F1670" w14:textId="77777777" w:rsidR="00595D32" w:rsidRPr="003E35D0" w:rsidRDefault="00595D32" w:rsidP="00A801BB">
      <w:pPr>
        <w:pStyle w:val="FootnoteText1"/>
      </w:pPr>
      <w:r w:rsidRPr="003E35D0">
        <w:rPr>
          <w:rtl/>
        </w:rPr>
        <w:t>(</w:t>
      </w:r>
      <w:r w:rsidRPr="00A801BB">
        <w:rPr>
          <w:rStyle w:val="FootnoteReference"/>
          <w:rFonts w:ascii="Times New Roman" w:hAnsi="Times New Roman" w:cs="Times New Roman"/>
          <w:b w:val="0"/>
          <w:vertAlign w:val="baseline"/>
        </w:rPr>
        <w:footnoteRef/>
      </w:r>
      <w:r>
        <w:rPr>
          <w:sz w:val="26"/>
          <w:rtl/>
        </w:rPr>
        <w:t>)</w:t>
      </w:r>
      <w:r>
        <w:rPr>
          <w:sz w:val="26"/>
          <w:rtl/>
        </w:rPr>
        <w:tab/>
      </w:r>
      <w:r>
        <w:t>A/HRC/</w:t>
      </w:r>
      <w:r w:rsidRPr="00A801BB">
        <w:rPr>
          <w:szCs w:val="18"/>
        </w:rPr>
        <w:t>43</w:t>
      </w:r>
      <w:r>
        <w:t>/</w:t>
      </w:r>
      <w:r w:rsidRPr="00A801BB">
        <w:rPr>
          <w:szCs w:val="18"/>
        </w:rPr>
        <w:t>31</w:t>
      </w:r>
      <w:r w:rsidRPr="003E35D0">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EC39" w14:textId="77777777" w:rsidR="00E93C57" w:rsidRPr="00595D32" w:rsidRDefault="00595D32" w:rsidP="00595D32">
    <w:pPr>
      <w:pStyle w:val="Header"/>
      <w:jc w:val="right"/>
    </w:pPr>
    <w:r w:rsidRPr="00595D32">
      <w:t>A/HRC/43/L.31/Rev.1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56C0" w14:textId="77777777" w:rsidR="00E93C57" w:rsidRPr="00595D32" w:rsidRDefault="00595D32" w:rsidP="00595D32">
    <w:pPr>
      <w:pStyle w:val="Header"/>
      <w:jc w:val="left"/>
    </w:pPr>
    <w:r w:rsidRPr="00595D32">
      <w:t>A/HRC/43/L.31/Rev.1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567"/>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C04210"/>
    <w:rsid w:val="000076D5"/>
    <w:rsid w:val="0002687F"/>
    <w:rsid w:val="00043663"/>
    <w:rsid w:val="000505CF"/>
    <w:rsid w:val="000D701C"/>
    <w:rsid w:val="000E2A71"/>
    <w:rsid w:val="000E524A"/>
    <w:rsid w:val="000F4D63"/>
    <w:rsid w:val="00160263"/>
    <w:rsid w:val="001773DB"/>
    <w:rsid w:val="00181F96"/>
    <w:rsid w:val="001A1371"/>
    <w:rsid w:val="001B346A"/>
    <w:rsid w:val="001E1CAD"/>
    <w:rsid w:val="001E290D"/>
    <w:rsid w:val="002144FA"/>
    <w:rsid w:val="0023469A"/>
    <w:rsid w:val="00243C8A"/>
    <w:rsid w:val="00267A0E"/>
    <w:rsid w:val="00281242"/>
    <w:rsid w:val="002901D9"/>
    <w:rsid w:val="002976C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5D32"/>
    <w:rsid w:val="0059622A"/>
    <w:rsid w:val="005A10A8"/>
    <w:rsid w:val="005B034B"/>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C104C"/>
    <w:rsid w:val="00733704"/>
    <w:rsid w:val="00740188"/>
    <w:rsid w:val="00764796"/>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801BB"/>
    <w:rsid w:val="00AB3BCA"/>
    <w:rsid w:val="00AB6758"/>
    <w:rsid w:val="00AF203E"/>
    <w:rsid w:val="00B13763"/>
    <w:rsid w:val="00B477A4"/>
    <w:rsid w:val="00B54045"/>
    <w:rsid w:val="00BA5E8B"/>
    <w:rsid w:val="00C022F5"/>
    <w:rsid w:val="00C04210"/>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93C57"/>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D2DDEE9"/>
  <w15:docId w15:val="{A77E53BF-8CC6-4E74-8006-906788B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F6AF0-11B7-491E-A016-E9C58B7C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1233</Words>
  <Characters>6615</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A/HRC/43/L.31/Rev.1</vt:lpstr>
    </vt:vector>
  </TitlesOfParts>
  <Company>DCM</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A/HRC/43/L.31/Rev.1</dc:title>
  <dc:subject>GE. 2007957</dc:subject>
  <dc:creator>IBAL</dc:creator>
  <cp:keywords>ODS No.</cp:keywords>
  <dc:description>Original: English _x000d_
Distribution: General_x000d_
Date:</dc:description>
  <cp:lastModifiedBy>Ibrahim Balan</cp:lastModifiedBy>
  <cp:revision>2</cp:revision>
  <dcterms:created xsi:type="dcterms:W3CDTF">2020-06-17T15:17:00Z</dcterms:created>
  <dcterms:modified xsi:type="dcterms:W3CDTF">2020-06-17T15:17:00Z</dcterms:modified>
  <cp:category>Final</cp:category>
</cp:coreProperties>
</file>