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60B11FD3" w14:textId="77777777" w:rsidTr="00281242">
        <w:trPr>
          <w:trHeight w:hRule="exact" w:val="851"/>
        </w:trPr>
        <w:tc>
          <w:tcPr>
            <w:tcW w:w="1274" w:type="dxa"/>
            <w:tcBorders>
              <w:bottom w:val="single" w:sz="4" w:space="0" w:color="auto"/>
            </w:tcBorders>
            <w:shd w:val="clear" w:color="auto" w:fill="auto"/>
          </w:tcPr>
          <w:p w14:paraId="32644F1F"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4D3C1E8B"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166CA2E0" w14:textId="77777777" w:rsidR="006B3E27" w:rsidRPr="00281242" w:rsidRDefault="00E94B14" w:rsidP="00AB33F0">
            <w:pPr>
              <w:bidi w:val="0"/>
              <w:spacing w:after="20"/>
              <w:jc w:val="left"/>
              <w:rPr>
                <w:szCs w:val="20"/>
              </w:rPr>
            </w:pPr>
            <w:r w:rsidRPr="00E94B14">
              <w:rPr>
                <w:sz w:val="40"/>
                <w:szCs w:val="20"/>
              </w:rPr>
              <w:t>A</w:t>
            </w:r>
            <w:r>
              <w:rPr>
                <w:szCs w:val="20"/>
              </w:rPr>
              <w:t>/HRC/</w:t>
            </w:r>
            <w:r w:rsidRPr="001F6A4D">
              <w:rPr>
                <w:szCs w:val="20"/>
              </w:rPr>
              <w:t>44</w:t>
            </w:r>
            <w:r>
              <w:rPr>
                <w:szCs w:val="20"/>
              </w:rPr>
              <w:t>/L.</w:t>
            </w:r>
            <w:r w:rsidRPr="001F6A4D">
              <w:rPr>
                <w:szCs w:val="20"/>
              </w:rPr>
              <w:t>1</w:t>
            </w:r>
          </w:p>
        </w:tc>
      </w:tr>
      <w:tr w:rsidR="006B3E27" w:rsidRPr="00ED7442" w14:paraId="17C8C371" w14:textId="77777777" w:rsidTr="00281242">
        <w:trPr>
          <w:trHeight w:hRule="exact" w:val="2835"/>
        </w:trPr>
        <w:tc>
          <w:tcPr>
            <w:tcW w:w="1274" w:type="dxa"/>
            <w:tcBorders>
              <w:top w:val="single" w:sz="4" w:space="0" w:color="auto"/>
              <w:bottom w:val="single" w:sz="12" w:space="0" w:color="auto"/>
            </w:tcBorders>
            <w:shd w:val="clear" w:color="auto" w:fill="auto"/>
          </w:tcPr>
          <w:p w14:paraId="061EC131" w14:textId="4CE8FD9A" w:rsidR="006B3E27" w:rsidRPr="00281242" w:rsidRDefault="00D971CD" w:rsidP="00281242">
            <w:pPr>
              <w:jc w:val="center"/>
              <w:rPr>
                <w:sz w:val="56"/>
                <w:szCs w:val="56"/>
                <w:rtl/>
              </w:rPr>
            </w:pPr>
            <w:r>
              <w:rPr>
                <w:noProof/>
                <w:sz w:val="56"/>
                <w:szCs w:val="56"/>
              </w:rPr>
              <w:drawing>
                <wp:inline distT="0" distB="0" distL="0" distR="0" wp14:anchorId="513605BC" wp14:editId="1C32335B">
                  <wp:extent cx="626745"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0960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4E6189D"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6A4B387E" w14:textId="77777777" w:rsidR="006B3E27" w:rsidRDefault="00AB33F0" w:rsidP="00AB33F0">
            <w:pPr>
              <w:bidi w:val="0"/>
              <w:spacing w:before="240"/>
              <w:jc w:val="left"/>
              <w:rPr>
                <w:szCs w:val="20"/>
              </w:rPr>
            </w:pPr>
            <w:r>
              <w:rPr>
                <w:szCs w:val="20"/>
              </w:rPr>
              <w:t>Distr.: Limited</w:t>
            </w:r>
          </w:p>
          <w:p w14:paraId="62C32478" w14:textId="585B84FB" w:rsidR="00AB33F0" w:rsidRDefault="004E0F72" w:rsidP="00AB33F0">
            <w:pPr>
              <w:bidi w:val="0"/>
              <w:jc w:val="left"/>
              <w:rPr>
                <w:szCs w:val="20"/>
              </w:rPr>
            </w:pPr>
            <w:r w:rsidRPr="001F6A4D">
              <w:rPr>
                <w:szCs w:val="20"/>
              </w:rPr>
              <w:t>10</w:t>
            </w:r>
            <w:r>
              <w:rPr>
                <w:szCs w:val="20"/>
              </w:rPr>
              <w:t xml:space="preserve"> July </w:t>
            </w:r>
            <w:r w:rsidRPr="001F6A4D">
              <w:rPr>
                <w:szCs w:val="20"/>
              </w:rPr>
              <w:t>2020</w:t>
            </w:r>
          </w:p>
          <w:p w14:paraId="735B029B" w14:textId="77777777" w:rsidR="00AB33F0" w:rsidRDefault="00AB33F0" w:rsidP="00AB33F0">
            <w:pPr>
              <w:bidi w:val="0"/>
              <w:jc w:val="left"/>
              <w:rPr>
                <w:szCs w:val="20"/>
              </w:rPr>
            </w:pPr>
            <w:r>
              <w:rPr>
                <w:szCs w:val="20"/>
              </w:rPr>
              <w:t>Arabic</w:t>
            </w:r>
          </w:p>
          <w:p w14:paraId="057FED8C" w14:textId="77777777" w:rsidR="00AB33F0" w:rsidRPr="00281242" w:rsidRDefault="00AB33F0" w:rsidP="00AB33F0">
            <w:pPr>
              <w:bidi w:val="0"/>
              <w:jc w:val="left"/>
              <w:rPr>
                <w:szCs w:val="20"/>
              </w:rPr>
            </w:pPr>
            <w:r>
              <w:rPr>
                <w:szCs w:val="20"/>
              </w:rPr>
              <w:t>Original: English</w:t>
            </w:r>
          </w:p>
        </w:tc>
      </w:tr>
    </w:tbl>
    <w:p w14:paraId="0BFE86A4" w14:textId="77777777" w:rsidR="00AB33F0" w:rsidRDefault="00673245" w:rsidP="00AB33F0">
      <w:pPr>
        <w:pStyle w:val="SingleTxtGA"/>
        <w:spacing w:before="120" w:after="0"/>
        <w:ind w:left="0"/>
        <w:rPr>
          <w:b/>
          <w:bCs/>
          <w:sz w:val="36"/>
          <w:szCs w:val="36"/>
          <w:rtl/>
        </w:rPr>
      </w:pPr>
      <w:r w:rsidRPr="00673245">
        <w:rPr>
          <w:rFonts w:hint="cs"/>
          <w:b/>
          <w:bCs/>
          <w:sz w:val="36"/>
          <w:szCs w:val="36"/>
          <w:rtl/>
        </w:rPr>
        <w:t>مجلس حقوق الإنسان</w:t>
      </w:r>
    </w:p>
    <w:p w14:paraId="4EC4CA37" w14:textId="77777777" w:rsidR="00AB33F0" w:rsidRPr="00AB33F0" w:rsidRDefault="00AB33F0" w:rsidP="004E0F72">
      <w:pPr>
        <w:spacing w:line="360" w:lineRule="exact"/>
        <w:rPr>
          <w:b/>
          <w:bCs/>
        </w:rPr>
      </w:pPr>
      <w:r w:rsidRPr="00AB33F0">
        <w:rPr>
          <w:b/>
          <w:bCs/>
          <w:rtl/>
        </w:rPr>
        <w:t>الدورة الرابعة والأربعون</w:t>
      </w:r>
    </w:p>
    <w:p w14:paraId="6E8E7B04" w14:textId="77777777" w:rsidR="00AB33F0" w:rsidRDefault="00AB33F0" w:rsidP="004E0F72">
      <w:pPr>
        <w:spacing w:line="360" w:lineRule="exact"/>
      </w:pPr>
      <w:r w:rsidRPr="001F6A4D">
        <w:rPr>
          <w:szCs w:val="20"/>
          <w:rtl/>
        </w:rPr>
        <w:t>30</w:t>
      </w:r>
      <w:r>
        <w:rPr>
          <w:rtl/>
        </w:rPr>
        <w:t xml:space="preserve"> حزيران/يونيه - </w:t>
      </w:r>
      <w:r w:rsidRPr="001F6A4D">
        <w:rPr>
          <w:szCs w:val="20"/>
          <w:rtl/>
        </w:rPr>
        <w:t>17</w:t>
      </w:r>
      <w:r>
        <w:rPr>
          <w:rtl/>
        </w:rPr>
        <w:t xml:space="preserve"> تموز/يوليه </w:t>
      </w:r>
      <w:r w:rsidRPr="001F6A4D">
        <w:rPr>
          <w:szCs w:val="20"/>
          <w:rtl/>
        </w:rPr>
        <w:t>2020</w:t>
      </w:r>
    </w:p>
    <w:p w14:paraId="6B123CE4" w14:textId="77777777" w:rsidR="00AB33F0" w:rsidRDefault="00AB33F0" w:rsidP="004E0F72">
      <w:pPr>
        <w:spacing w:line="360" w:lineRule="exact"/>
      </w:pPr>
      <w:r>
        <w:rPr>
          <w:rtl/>
        </w:rPr>
        <w:t xml:space="preserve">البند </w:t>
      </w:r>
      <w:r w:rsidRPr="001F6A4D">
        <w:rPr>
          <w:szCs w:val="20"/>
          <w:rtl/>
        </w:rPr>
        <w:t>3</w:t>
      </w:r>
      <w:r>
        <w:rPr>
          <w:rtl/>
        </w:rPr>
        <w:t xml:space="preserve"> من جدول الأعمال</w:t>
      </w:r>
    </w:p>
    <w:p w14:paraId="35B6DB28" w14:textId="77777777" w:rsidR="00AB33F0" w:rsidRPr="00AB33F0" w:rsidRDefault="00AB33F0" w:rsidP="004E0F72">
      <w:pPr>
        <w:spacing w:line="360" w:lineRule="exact"/>
        <w:ind w:right="4816"/>
        <w:rPr>
          <w:b/>
          <w:bCs/>
        </w:rPr>
      </w:pPr>
      <w:r w:rsidRPr="00AB33F0">
        <w:rPr>
          <w:b/>
          <w:bCs/>
          <w:rtl/>
        </w:rPr>
        <w:t>تعزيز وحماية جميع حقوق الإنسان، المدنية والسياسية والاقتصادية والاجتماعية والثقافية، بما في ذلك الحق في التنمية</w:t>
      </w:r>
    </w:p>
    <w:p w14:paraId="43026FC3" w14:textId="24124745" w:rsidR="00AB33F0" w:rsidRPr="008606CE" w:rsidRDefault="00AB33F0" w:rsidP="00AB33F0">
      <w:pPr>
        <w:pStyle w:val="H23GA"/>
        <w:rPr>
          <w:spacing w:val="-6"/>
        </w:rPr>
      </w:pPr>
      <w:r w:rsidRPr="008606CE">
        <w:rPr>
          <w:spacing w:val="-6"/>
          <w:rtl/>
        </w:rPr>
        <w:tab/>
      </w:r>
      <w:r w:rsidRPr="008606CE">
        <w:rPr>
          <w:spacing w:val="-6"/>
          <w:rtl/>
        </w:rPr>
        <w:tab/>
        <w:t>الأرجنتين، أرمينيا، إسبانيا، أستراليا، إستونيا</w:t>
      </w:r>
      <w:r w:rsidR="0024121C" w:rsidRPr="008606CE">
        <w:rPr>
          <w:spacing w:val="-6"/>
          <w:rtl/>
        </w:rPr>
        <w:footnoteReference w:customMarkFollows="1" w:id="1"/>
        <w:t>*</w:t>
      </w:r>
      <w:r w:rsidRPr="008606CE">
        <w:rPr>
          <w:spacing w:val="-6"/>
          <w:rtl/>
        </w:rPr>
        <w:t>، إسواتيني*، إكوادور*، ألبانيا*، ألمانيا، أوروغواي، أوكرانيا، أيرلندا*، آيسلندا*، إيطاليا، باراغواي*، باكستان، البرتغال*، بلجيكا*، بلغاريا*، بولندا، بيرو، بيلاروس*، تايلند*، تشيكيا، تونس*، الجبل الأسود*، جورجيا*، الدانمرك، رومانيا*، سان</w:t>
      </w:r>
      <w:r w:rsidR="0024121C" w:rsidRPr="008606CE">
        <w:rPr>
          <w:rFonts w:hint="eastAsia"/>
          <w:spacing w:val="-6"/>
          <w:rtl/>
        </w:rPr>
        <w:t> </w:t>
      </w:r>
      <w:r w:rsidRPr="008606CE">
        <w:rPr>
          <w:spacing w:val="-6"/>
          <w:rtl/>
        </w:rPr>
        <w:t>مارينو*، سلوفاكيا، سلوفينيا*، السويد*، سويسرا*، شيلي، فرنسا*، الفلبين، فنلندا*، فيجي، قبرص*، قطر، كرواتيا*، كندا*، كوستاريكا*، لاتفيا*، لكسمبرغ*، ليتوانيا*، مالطة*، مقدونيا الشمالية*، المكسيك، موناكو*، النرويج*، النمسا، نيبال، هنغاريا*، هولندا، اليابان، اليونان*: مشروع قرار</w:t>
      </w:r>
    </w:p>
    <w:p w14:paraId="4F866AB3" w14:textId="3936FD17" w:rsidR="00AB33F0" w:rsidRDefault="0024121C" w:rsidP="00AB33F0">
      <w:pPr>
        <w:pStyle w:val="H1GA"/>
        <w:rPr>
          <w:rFonts w:hint="cs"/>
          <w:rtl/>
        </w:rPr>
      </w:pPr>
      <w:r>
        <w:rPr>
          <w:rtl/>
        </w:rPr>
        <w:tab/>
      </w:r>
      <w:r w:rsidR="00AB33F0">
        <w:rPr>
          <w:rtl/>
        </w:rPr>
        <w:tab/>
      </w:r>
      <w:r w:rsidR="00AB33F0" w:rsidRPr="001F6A4D">
        <w:rPr>
          <w:szCs w:val="24"/>
          <w:rtl/>
        </w:rPr>
        <w:t>44</w:t>
      </w:r>
      <w:r w:rsidR="00AB33F0">
        <w:rPr>
          <w:rtl/>
        </w:rPr>
        <w:t>/...</w:t>
      </w:r>
      <w:r w:rsidR="00AB33F0">
        <w:rPr>
          <w:rtl/>
        </w:rPr>
        <w:tab/>
        <w:t>الحق في التعليم</w:t>
      </w:r>
    </w:p>
    <w:p w14:paraId="72B82D37" w14:textId="4E12BD54" w:rsidR="00AB33F0" w:rsidRPr="00AB33F0" w:rsidRDefault="00AB33F0" w:rsidP="00AB33F0">
      <w:pPr>
        <w:pStyle w:val="SingleTxtGA"/>
        <w:rPr>
          <w:i/>
          <w:iCs/>
        </w:rPr>
      </w:pPr>
      <w:r w:rsidRPr="00AB33F0">
        <w:rPr>
          <w:i/>
          <w:iCs/>
          <w:rtl/>
        </w:rPr>
        <w:tab/>
        <w:t>إن مجلس حقوق الإنسان،</w:t>
      </w:r>
    </w:p>
    <w:p w14:paraId="1EAB8F2B" w14:textId="2948D776" w:rsidR="00AB33F0" w:rsidRDefault="00AB33F0" w:rsidP="00AB33F0">
      <w:pPr>
        <w:pStyle w:val="SingleTxtGA"/>
      </w:pPr>
      <w:r>
        <w:rPr>
          <w:rtl/>
        </w:rPr>
        <w:tab/>
      </w:r>
      <w:r w:rsidRPr="00AB33F0">
        <w:rPr>
          <w:i/>
          <w:iCs/>
          <w:rtl/>
        </w:rPr>
        <w:t>إذ يسترشد</w:t>
      </w:r>
      <w:r>
        <w:rPr>
          <w:rtl/>
        </w:rPr>
        <w:t xml:space="preserve"> بمقاصد ميثاق الأمم المتحدة ومبادئه،‏</w:t>
      </w:r>
    </w:p>
    <w:p w14:paraId="36A02596" w14:textId="6A7E87E8" w:rsidR="00AB33F0" w:rsidRDefault="00AB33F0" w:rsidP="00AB33F0">
      <w:pPr>
        <w:pStyle w:val="SingleTxtGA"/>
      </w:pPr>
      <w:r>
        <w:rPr>
          <w:rtl/>
        </w:rPr>
        <w:tab/>
      </w:r>
      <w:r w:rsidRPr="00AB33F0">
        <w:rPr>
          <w:i/>
          <w:iCs/>
          <w:rtl/>
        </w:rPr>
        <w:t>وإذ يؤكد من جديد</w:t>
      </w:r>
      <w:r>
        <w:rPr>
          <w:rtl/>
        </w:rPr>
        <w:t xml:space="preserve"> الحق الإنساني لكل فرد في التعليم، المكرَّس في جملة صكوك منها الإعلان العالمي لحقوق الإنسان، والعهد الدولي الخاص بالحقوق الاقتصادية والاجتماعية والثقافية، واتفاقية حقوق الطفل، واتفاقية القضاء على جميع أشكال التمييز ضد المرأة، والاتفاقية الدولية للقضاء على جميع أشكال التمييز العنصري، والاتفاقية الدولية لحماية حقوق جميع العمال المهاجرين وأفراد أسرهم، واتفاقية حقوق الأشخاص ذوي الإعاقة، واتفاقية مكافحة التمييز في مجال التعليم الصادرة عن منظمة الأمم المتحدة للتربية والعلم والثقافة، وغير ذلك من الصكوك الدولية ذات الصلة،</w:t>
      </w:r>
    </w:p>
    <w:p w14:paraId="38CEB17A" w14:textId="1330B869" w:rsidR="00AB33F0" w:rsidRDefault="00AB33F0" w:rsidP="00AB33F0">
      <w:pPr>
        <w:pStyle w:val="SingleTxtGA"/>
      </w:pPr>
      <w:r>
        <w:rPr>
          <w:rtl/>
        </w:rPr>
        <w:tab/>
      </w:r>
      <w:r w:rsidRPr="00AB33F0">
        <w:rPr>
          <w:i/>
          <w:iCs/>
          <w:rtl/>
        </w:rPr>
        <w:t>وإذ يؤكد من جديد أيضاً</w:t>
      </w:r>
      <w:r>
        <w:rPr>
          <w:rtl/>
        </w:rPr>
        <w:t xml:space="preserve"> قرار الجمعية العامة </w:t>
      </w:r>
      <w:r w:rsidRPr="001F6A4D">
        <w:rPr>
          <w:szCs w:val="20"/>
          <w:rtl/>
        </w:rPr>
        <w:t>70</w:t>
      </w:r>
      <w:r>
        <w:rPr>
          <w:rtl/>
        </w:rPr>
        <w:t>/</w:t>
      </w:r>
      <w:r w:rsidRPr="001F6A4D">
        <w:rPr>
          <w:szCs w:val="20"/>
          <w:rtl/>
        </w:rPr>
        <w:t>1</w:t>
      </w:r>
      <w:r>
        <w:rPr>
          <w:rtl/>
        </w:rPr>
        <w:t xml:space="preserve"> المؤرخ </w:t>
      </w:r>
      <w:r w:rsidRPr="001F6A4D">
        <w:rPr>
          <w:szCs w:val="20"/>
          <w:rtl/>
        </w:rPr>
        <w:t>27</w:t>
      </w:r>
      <w:r>
        <w:rPr>
          <w:rtl/>
        </w:rPr>
        <w:t xml:space="preserve"> أيلول/سبتمبر </w:t>
      </w:r>
      <w:r w:rsidRPr="001F6A4D">
        <w:rPr>
          <w:szCs w:val="20"/>
          <w:rtl/>
        </w:rPr>
        <w:t>2015</w:t>
      </w:r>
      <w:r>
        <w:rPr>
          <w:rtl/>
        </w:rPr>
        <w:t xml:space="preserve">، والمعنون "تحويل عالمنا: خطة التنمية المستدامة لعام </w:t>
      </w:r>
      <w:r w:rsidRPr="001F6A4D">
        <w:rPr>
          <w:szCs w:val="20"/>
          <w:rtl/>
        </w:rPr>
        <w:t>2030</w:t>
      </w:r>
      <w:r>
        <w:rPr>
          <w:rtl/>
        </w:rPr>
        <w:t xml:space="preserve">"، وإذ يرحب بأهداف التنمية المستدامة، ومنها بالأخص الهدف </w:t>
      </w:r>
      <w:r w:rsidRPr="001F6A4D">
        <w:rPr>
          <w:szCs w:val="20"/>
          <w:rtl/>
        </w:rPr>
        <w:t>4</w:t>
      </w:r>
      <w:r>
        <w:rPr>
          <w:rtl/>
        </w:rPr>
        <w:t xml:space="preserve"> بشأن ضمان التعليم الجيد المنصف والشامل للجميع وتعزيز فرص التعلّم مدى الحياة للجميع، وغاياته المحددة والمترابطة، والأهداف والغايات الأخرى المتصلة بالتعليم،</w:t>
      </w:r>
    </w:p>
    <w:p w14:paraId="6C7B61D2" w14:textId="6179AD4B" w:rsidR="00AB33F0" w:rsidRDefault="00AB33F0" w:rsidP="00AB33F0">
      <w:pPr>
        <w:pStyle w:val="SingleTxtGA"/>
      </w:pPr>
      <w:r>
        <w:rPr>
          <w:rtl/>
        </w:rPr>
        <w:lastRenderedPageBreak/>
        <w:tab/>
      </w:r>
      <w:r w:rsidRPr="00AB33F0">
        <w:rPr>
          <w:i/>
          <w:iCs/>
          <w:rtl/>
        </w:rPr>
        <w:t>وإذ يؤكد من جديد كذلك</w:t>
      </w:r>
      <w:r>
        <w:rPr>
          <w:rtl/>
        </w:rPr>
        <w:t xml:space="preserve"> قرار مجلس حقوق الإنسان </w:t>
      </w:r>
      <w:r w:rsidRPr="001F6A4D">
        <w:rPr>
          <w:szCs w:val="20"/>
          <w:rtl/>
        </w:rPr>
        <w:t>8</w:t>
      </w:r>
      <w:r>
        <w:rPr>
          <w:rtl/>
        </w:rPr>
        <w:t>/</w:t>
      </w:r>
      <w:r w:rsidRPr="001F6A4D">
        <w:rPr>
          <w:szCs w:val="20"/>
          <w:rtl/>
        </w:rPr>
        <w:t>4</w:t>
      </w:r>
      <w:r>
        <w:rPr>
          <w:rtl/>
        </w:rPr>
        <w:t xml:space="preserve"> المؤرخ </w:t>
      </w:r>
      <w:r w:rsidRPr="001F6A4D">
        <w:rPr>
          <w:szCs w:val="20"/>
          <w:rtl/>
        </w:rPr>
        <w:t>18</w:t>
      </w:r>
      <w:r>
        <w:rPr>
          <w:rtl/>
        </w:rPr>
        <w:t xml:space="preserve"> حزيران/يونيه </w:t>
      </w:r>
      <w:r w:rsidRPr="001F6A4D">
        <w:rPr>
          <w:szCs w:val="20"/>
          <w:rtl/>
        </w:rPr>
        <w:t>2008</w:t>
      </w:r>
      <w:r>
        <w:rPr>
          <w:rtl/>
        </w:rPr>
        <w:t xml:space="preserve"> وجميع قرارات المجلس الأخرى المتعلقة بالحق في التعليم، وأحدثها القرار </w:t>
      </w:r>
      <w:r w:rsidRPr="001F6A4D">
        <w:rPr>
          <w:szCs w:val="20"/>
          <w:rtl/>
        </w:rPr>
        <w:t>41</w:t>
      </w:r>
      <w:r>
        <w:rPr>
          <w:rtl/>
        </w:rPr>
        <w:t>/</w:t>
      </w:r>
      <w:r w:rsidRPr="001F6A4D">
        <w:rPr>
          <w:szCs w:val="20"/>
          <w:rtl/>
        </w:rPr>
        <w:t>16</w:t>
      </w:r>
      <w:r>
        <w:rPr>
          <w:rtl/>
        </w:rPr>
        <w:t xml:space="preserve"> المؤرخ </w:t>
      </w:r>
      <w:r w:rsidRPr="001F6A4D">
        <w:rPr>
          <w:szCs w:val="20"/>
          <w:rtl/>
        </w:rPr>
        <w:t>11</w:t>
      </w:r>
      <w:r>
        <w:rPr>
          <w:rtl/>
        </w:rPr>
        <w:t xml:space="preserve"> تموز/</w:t>
      </w:r>
      <w:r w:rsidR="001F6A4D">
        <w:rPr>
          <w:rFonts w:hint="cs"/>
          <w:rtl/>
        </w:rPr>
        <w:t xml:space="preserve"> </w:t>
      </w:r>
      <w:r>
        <w:rPr>
          <w:rtl/>
        </w:rPr>
        <w:t>يوليه</w:t>
      </w:r>
      <w:r w:rsidR="001F6A4D">
        <w:rPr>
          <w:rFonts w:hint="cs"/>
          <w:rtl/>
        </w:rPr>
        <w:t> </w:t>
      </w:r>
      <w:r w:rsidRPr="001F6A4D">
        <w:rPr>
          <w:szCs w:val="20"/>
          <w:rtl/>
        </w:rPr>
        <w:t>2019</w:t>
      </w:r>
      <w:r>
        <w:rPr>
          <w:rtl/>
        </w:rPr>
        <w:t>، والقرارات التي اعتمدتها لجنة حقوق الإنسان بشأن هذا الموضوع،</w:t>
      </w:r>
    </w:p>
    <w:p w14:paraId="5464A096" w14:textId="49537D32" w:rsidR="00AB33F0" w:rsidRDefault="00AB33F0" w:rsidP="00AB33F0">
      <w:pPr>
        <w:pStyle w:val="SingleTxtGA"/>
      </w:pPr>
      <w:r>
        <w:rPr>
          <w:rtl/>
        </w:rPr>
        <w:tab/>
      </w:r>
      <w:r w:rsidRPr="00AB33F0">
        <w:rPr>
          <w:i/>
          <w:iCs/>
          <w:rtl/>
        </w:rPr>
        <w:t>وإذ يشير</w:t>
      </w:r>
      <w:r>
        <w:rPr>
          <w:rtl/>
        </w:rPr>
        <w:t xml:space="preserve"> إلى قراريه </w:t>
      </w:r>
      <w:r w:rsidRPr="001F6A4D">
        <w:rPr>
          <w:szCs w:val="20"/>
          <w:rtl/>
        </w:rPr>
        <w:t>5</w:t>
      </w:r>
      <w:r>
        <w:rPr>
          <w:rtl/>
        </w:rPr>
        <w:t>/</w:t>
      </w:r>
      <w:r w:rsidRPr="001F6A4D">
        <w:rPr>
          <w:szCs w:val="20"/>
          <w:rtl/>
        </w:rPr>
        <w:t>1</w:t>
      </w:r>
      <w:r>
        <w:rPr>
          <w:rtl/>
        </w:rPr>
        <w:t xml:space="preserve"> المتعلق ببناء مؤسسات مجلس حقوق الإنسان و</w:t>
      </w:r>
      <w:r w:rsidRPr="001F6A4D">
        <w:rPr>
          <w:szCs w:val="20"/>
          <w:rtl/>
        </w:rPr>
        <w:t>5</w:t>
      </w:r>
      <w:r>
        <w:rPr>
          <w:rtl/>
        </w:rPr>
        <w:t>/</w:t>
      </w:r>
      <w:r w:rsidRPr="001F6A4D">
        <w:rPr>
          <w:szCs w:val="20"/>
          <w:rtl/>
        </w:rPr>
        <w:t>2</w:t>
      </w:r>
      <w:r>
        <w:rPr>
          <w:rtl/>
        </w:rPr>
        <w:t xml:space="preserve"> المتعلق بمدونة قواعد السلوك للمكلفين بولايات في إطار الإجراءات الخاصة للمجلس، المؤرخيْن </w:t>
      </w:r>
      <w:r w:rsidRPr="001F6A4D">
        <w:rPr>
          <w:szCs w:val="20"/>
          <w:rtl/>
        </w:rPr>
        <w:t>18</w:t>
      </w:r>
      <w:r>
        <w:rPr>
          <w:rtl/>
        </w:rPr>
        <w:t xml:space="preserve"> حزيران/</w:t>
      </w:r>
      <w:r w:rsidR="001F6A4D">
        <w:rPr>
          <w:rFonts w:hint="cs"/>
          <w:rtl/>
        </w:rPr>
        <w:t xml:space="preserve"> </w:t>
      </w:r>
      <w:r>
        <w:rPr>
          <w:rtl/>
        </w:rPr>
        <w:t>يونيه</w:t>
      </w:r>
      <w:r w:rsidR="001F6A4D">
        <w:rPr>
          <w:rFonts w:hint="cs"/>
          <w:rtl/>
        </w:rPr>
        <w:t> </w:t>
      </w:r>
      <w:r w:rsidRPr="001F6A4D">
        <w:rPr>
          <w:szCs w:val="20"/>
          <w:rtl/>
        </w:rPr>
        <w:t>2007</w:t>
      </w:r>
      <w:r>
        <w:rPr>
          <w:rtl/>
        </w:rPr>
        <w:t>، وإذ يشدد على اضطلاع المكلَّف(ة) بالولاية بواجباته(ا) وفقاً لهذين القرارين ومرفقيهما،</w:t>
      </w:r>
    </w:p>
    <w:p w14:paraId="33717887" w14:textId="339DAA92" w:rsidR="00AB33F0" w:rsidRDefault="00AB33F0" w:rsidP="00AB33F0">
      <w:pPr>
        <w:pStyle w:val="SingleTxtGA"/>
      </w:pPr>
      <w:r>
        <w:rPr>
          <w:rtl/>
        </w:rPr>
        <w:tab/>
      </w:r>
      <w:r w:rsidRPr="00AB33F0">
        <w:rPr>
          <w:i/>
          <w:iCs/>
          <w:rtl/>
        </w:rPr>
        <w:t>وإذ يدرك</w:t>
      </w:r>
      <w:r>
        <w:rPr>
          <w:rtl/>
        </w:rPr>
        <w:t xml:space="preserve"> تأثير جائحة كوفيد-</w:t>
      </w:r>
      <w:r w:rsidRPr="001F6A4D">
        <w:rPr>
          <w:szCs w:val="20"/>
          <w:rtl/>
        </w:rPr>
        <w:t>19</w:t>
      </w:r>
      <w:r>
        <w:rPr>
          <w:rtl/>
        </w:rPr>
        <w:t xml:space="preserve"> على الحق في التعليم،</w:t>
      </w:r>
    </w:p>
    <w:p w14:paraId="2329AB50" w14:textId="42A57948" w:rsidR="00AB33F0" w:rsidRDefault="00AB33F0" w:rsidP="00AB33F0">
      <w:pPr>
        <w:pStyle w:val="SingleTxtGA"/>
      </w:pPr>
      <w:r>
        <w:rPr>
          <w:rtl/>
        </w:rPr>
        <w:tab/>
      </w:r>
      <w:r w:rsidRPr="001F6A4D">
        <w:rPr>
          <w:szCs w:val="20"/>
          <w:rtl/>
        </w:rPr>
        <w:t>1</w:t>
      </w:r>
      <w:r>
        <w:rPr>
          <w:rtl/>
        </w:rPr>
        <w:t>-</w:t>
      </w:r>
      <w:r>
        <w:rPr>
          <w:rtl/>
        </w:rPr>
        <w:tab/>
      </w:r>
      <w:r w:rsidRPr="00AB33F0">
        <w:rPr>
          <w:i/>
          <w:iCs/>
          <w:rtl/>
        </w:rPr>
        <w:t>يرحب</w:t>
      </w:r>
      <w:r>
        <w:rPr>
          <w:rtl/>
        </w:rPr>
        <w:t xml:space="preserve"> بعمل المقررة الخاصة المعنية بالحق في التعليم؛</w:t>
      </w:r>
    </w:p>
    <w:p w14:paraId="109DCE7E" w14:textId="2C619C88" w:rsidR="00AB33F0" w:rsidRDefault="00AB33F0" w:rsidP="00AB33F0">
      <w:pPr>
        <w:pStyle w:val="SingleTxtGA"/>
      </w:pPr>
      <w:r>
        <w:rPr>
          <w:rtl/>
        </w:rPr>
        <w:tab/>
      </w:r>
      <w:r w:rsidRPr="001F6A4D">
        <w:rPr>
          <w:szCs w:val="20"/>
          <w:rtl/>
        </w:rPr>
        <w:t>2</w:t>
      </w:r>
      <w:r>
        <w:rPr>
          <w:rtl/>
        </w:rPr>
        <w:t>-</w:t>
      </w:r>
      <w:r>
        <w:rPr>
          <w:rtl/>
        </w:rPr>
        <w:tab/>
      </w:r>
      <w:r w:rsidRPr="00AB33F0">
        <w:rPr>
          <w:i/>
          <w:iCs/>
          <w:rtl/>
        </w:rPr>
        <w:t>يحيط علماً</w:t>
      </w:r>
      <w:r>
        <w:rPr>
          <w:rtl/>
        </w:rPr>
        <w:t xml:space="preserve"> بتقارير المقرر(ة) الخاص(ة) المقدمة إلى مجلس حقوق الإنسان في دوراته الثامنة والثلاثين والحادية والأربعين والرابعة والأربعين</w:t>
      </w:r>
      <w:r w:rsidR="004E0F72" w:rsidRPr="004E0F72">
        <w:rPr>
          <w:rFonts w:hint="cs"/>
          <w:vertAlign w:val="superscript"/>
          <w:rtl/>
        </w:rPr>
        <w:t>(</w:t>
      </w:r>
      <w:r w:rsidRPr="001F6A4D">
        <w:rPr>
          <w:rFonts w:cs="Times New Roman"/>
          <w:position w:val="4"/>
          <w:vertAlign w:val="superscript"/>
        </w:rPr>
        <w:footnoteReference w:id="2"/>
      </w:r>
      <w:r w:rsidR="004E0F72" w:rsidRPr="004E0F72">
        <w:rPr>
          <w:rFonts w:hint="cs"/>
          <w:vertAlign w:val="superscript"/>
          <w:rtl/>
        </w:rPr>
        <w:t>)</w:t>
      </w:r>
      <w:r>
        <w:rPr>
          <w:rtl/>
        </w:rPr>
        <w:t xml:space="preserve"> وإلى الجمعية العامة في دوراتها الثانية والسبعين والثالثة والسبعين والرابعة والسبعين</w:t>
      </w:r>
      <w:r w:rsidR="004E0F72" w:rsidRPr="004E0F72">
        <w:rPr>
          <w:rFonts w:hint="cs"/>
          <w:vertAlign w:val="superscript"/>
          <w:rtl/>
        </w:rPr>
        <w:t>(</w:t>
      </w:r>
      <w:r w:rsidRPr="001F6A4D">
        <w:rPr>
          <w:rFonts w:cs="Times New Roman"/>
          <w:position w:val="4"/>
          <w:vertAlign w:val="superscript"/>
        </w:rPr>
        <w:footnoteReference w:id="3"/>
      </w:r>
      <w:r w:rsidR="004E0F72" w:rsidRPr="004E0F72">
        <w:rPr>
          <w:rFonts w:hint="cs"/>
          <w:vertAlign w:val="superscript"/>
          <w:rtl/>
        </w:rPr>
        <w:t>)</w:t>
      </w:r>
      <w:r>
        <w:rPr>
          <w:rtl/>
        </w:rPr>
        <w:t xml:space="preserve">؛ </w:t>
      </w:r>
    </w:p>
    <w:p w14:paraId="1107749E" w14:textId="3AA0DBC8" w:rsidR="00AB33F0" w:rsidRPr="001F6A4D" w:rsidRDefault="00AB33F0" w:rsidP="00AB33F0">
      <w:pPr>
        <w:pStyle w:val="SingleTxtGA"/>
        <w:rPr>
          <w:spacing w:val="-8"/>
        </w:rPr>
      </w:pPr>
      <w:r w:rsidRPr="001F6A4D">
        <w:rPr>
          <w:spacing w:val="-8"/>
          <w:rtl/>
        </w:rPr>
        <w:tab/>
      </w:r>
      <w:r w:rsidRPr="001F6A4D">
        <w:rPr>
          <w:spacing w:val="-8"/>
          <w:szCs w:val="20"/>
          <w:rtl/>
        </w:rPr>
        <w:t>3</w:t>
      </w:r>
      <w:r w:rsidRPr="001F6A4D">
        <w:rPr>
          <w:spacing w:val="-8"/>
          <w:rtl/>
        </w:rPr>
        <w:t>-</w:t>
      </w:r>
      <w:r w:rsidRPr="001F6A4D">
        <w:rPr>
          <w:spacing w:val="-8"/>
          <w:rtl/>
        </w:rPr>
        <w:tab/>
      </w:r>
      <w:r w:rsidRPr="001F6A4D">
        <w:rPr>
          <w:i/>
          <w:iCs/>
          <w:spacing w:val="-8"/>
          <w:rtl/>
        </w:rPr>
        <w:t>يقرر</w:t>
      </w:r>
      <w:r w:rsidRPr="001F6A4D">
        <w:rPr>
          <w:spacing w:val="-8"/>
          <w:rtl/>
        </w:rPr>
        <w:t xml:space="preserve"> تمديد ولاية المقرر(ة) الخاص(ة) المعني(ة) بالحق في التعليم لفترة ثلاث سنوات إضافية؛</w:t>
      </w:r>
      <w:r w:rsidRPr="001F6A4D">
        <w:rPr>
          <w:rFonts w:cs="Times New Roman" w:hint="cs"/>
          <w:spacing w:val="-8"/>
          <w:rtl/>
        </w:rPr>
        <w:t>‬</w:t>
      </w:r>
    </w:p>
    <w:p w14:paraId="661197C1" w14:textId="481C6A43" w:rsidR="00AB33F0" w:rsidRDefault="00AB33F0" w:rsidP="00AB33F0">
      <w:pPr>
        <w:pStyle w:val="SingleTxtGA"/>
      </w:pPr>
      <w:r>
        <w:rPr>
          <w:rtl/>
        </w:rPr>
        <w:tab/>
      </w:r>
      <w:r w:rsidRPr="001F6A4D">
        <w:rPr>
          <w:szCs w:val="20"/>
          <w:rtl/>
        </w:rPr>
        <w:t>4</w:t>
      </w:r>
      <w:r>
        <w:rPr>
          <w:rtl/>
        </w:rPr>
        <w:t>-</w:t>
      </w:r>
      <w:r>
        <w:rPr>
          <w:rtl/>
        </w:rPr>
        <w:tab/>
      </w:r>
      <w:r w:rsidRPr="00AB33F0">
        <w:rPr>
          <w:i/>
          <w:iCs/>
          <w:rtl/>
        </w:rPr>
        <w:t>يشجع</w:t>
      </w:r>
      <w:r>
        <w:rPr>
          <w:rtl/>
        </w:rPr>
        <w:t xml:space="preserve"> المقرر(ة) الخاص(ة)، لدى اضطلاعه(ا) بالولاية المنوطة به(ا)، على مواصلة مراعاة ودعم تنفيذ أهداف وغايات التنمية المستدامة المتصلة بالتعليم، وأحكام قرارات مجلس حقوق الإنسان المتعلقة بالحق في التعليم، والمنظور الجنساني؛</w:t>
      </w:r>
    </w:p>
    <w:p w14:paraId="4BF7B675" w14:textId="052567AE" w:rsidR="00AB33F0" w:rsidRDefault="00AB33F0" w:rsidP="00AB33F0">
      <w:pPr>
        <w:pStyle w:val="SingleTxtGA"/>
      </w:pPr>
      <w:r>
        <w:rPr>
          <w:rtl/>
        </w:rPr>
        <w:tab/>
      </w:r>
      <w:r w:rsidRPr="001F6A4D">
        <w:rPr>
          <w:szCs w:val="20"/>
          <w:rtl/>
        </w:rPr>
        <w:t>5</w:t>
      </w:r>
      <w:r>
        <w:rPr>
          <w:rtl/>
        </w:rPr>
        <w:t>-</w:t>
      </w:r>
      <w:r>
        <w:rPr>
          <w:rtl/>
        </w:rPr>
        <w:tab/>
      </w:r>
      <w:r w:rsidRPr="00AB33F0">
        <w:rPr>
          <w:i/>
          <w:iCs/>
          <w:rtl/>
        </w:rPr>
        <w:t>يطلب</w:t>
      </w:r>
      <w:r>
        <w:rPr>
          <w:rtl/>
        </w:rPr>
        <w:t xml:space="preserve"> إلى جميع الد</w:t>
      </w:r>
      <w:bookmarkStart w:id="0" w:name="_GoBack"/>
      <w:bookmarkEnd w:id="0"/>
      <w:r>
        <w:rPr>
          <w:rtl/>
        </w:rPr>
        <w:t>ول أن تتعاون تعاوناً كاملاً مع المقرر(ة) الخاص(ة) بغية تيسير أداء مهامه(ا)، وأن تولي الاعتبار الواجب للتوصيات التي يقدمها/تقدمها المكلف(ة) بالولاية، وأن تستجيب لطلباته(ا) المتعلقة بالمعلومات والزيارات؛</w:t>
      </w:r>
    </w:p>
    <w:p w14:paraId="791F7D31" w14:textId="31274DCE" w:rsidR="00AB33F0" w:rsidRDefault="00AB33F0" w:rsidP="00AB33F0">
      <w:pPr>
        <w:pStyle w:val="SingleTxtGA"/>
      </w:pPr>
      <w:r>
        <w:rPr>
          <w:rtl/>
        </w:rPr>
        <w:tab/>
      </w:r>
      <w:r w:rsidRPr="001F6A4D">
        <w:rPr>
          <w:szCs w:val="20"/>
          <w:rtl/>
        </w:rPr>
        <w:t>6</w:t>
      </w:r>
      <w:r>
        <w:rPr>
          <w:rtl/>
        </w:rPr>
        <w:t>-</w:t>
      </w:r>
      <w:r>
        <w:rPr>
          <w:rtl/>
        </w:rPr>
        <w:tab/>
      </w:r>
      <w:r w:rsidRPr="00AB33F0">
        <w:rPr>
          <w:i/>
          <w:iCs/>
          <w:rtl/>
        </w:rPr>
        <w:t>يطلب</w:t>
      </w:r>
      <w:r>
        <w:rPr>
          <w:rtl/>
        </w:rPr>
        <w:t xml:space="preserve"> إلى الأمين العام ومفوضة الأمم المتحدة السامية لحقوق الإنسان أن يواصلا تزويد المقرر(ة) الخاص(ة) بجميع الموارد البشرية والمالية اللازمة لتنفيذ ولايته(ا) بشكل فعّال؛</w:t>
      </w:r>
      <w:r w:rsidR="00A4278E">
        <w:rPr>
          <w:rFonts w:hint="cs"/>
          <w:rtl/>
        </w:rPr>
        <w:t xml:space="preserve"> </w:t>
      </w:r>
    </w:p>
    <w:p w14:paraId="4812C712" w14:textId="3C7402CE" w:rsidR="00AB33F0" w:rsidRDefault="00AB33F0" w:rsidP="00AB33F0">
      <w:pPr>
        <w:pStyle w:val="SingleTxtGA"/>
      </w:pPr>
      <w:r>
        <w:rPr>
          <w:rtl/>
        </w:rPr>
        <w:tab/>
      </w:r>
      <w:r w:rsidRPr="001F6A4D">
        <w:rPr>
          <w:szCs w:val="20"/>
          <w:rtl/>
        </w:rPr>
        <w:t>7</w:t>
      </w:r>
      <w:r>
        <w:rPr>
          <w:rtl/>
        </w:rPr>
        <w:t>-</w:t>
      </w:r>
      <w:r>
        <w:rPr>
          <w:rtl/>
        </w:rPr>
        <w:tab/>
      </w:r>
      <w:r w:rsidRPr="00AB33F0">
        <w:rPr>
          <w:i/>
          <w:iCs/>
          <w:rtl/>
        </w:rPr>
        <w:t>يشجع</w:t>
      </w:r>
      <w:r>
        <w:rPr>
          <w:rtl/>
        </w:rPr>
        <w:t xml:space="preserve"> جميع الجهات صاحبة المصلحة ذات الصلة، بما فيها هيئات الأمم المتحدة ووكالاتها المتخصصة وبرامجها وصناديقها، والمنظمات الدولية الأخرى، وآليات حقوق الإنسان الإقليمية، والمؤسسات الوطنية لحقوق الإنسان، والمنظمات غير الحكومية على التعاون تعاوناً تاماً مع المقرر(ة) الخاص(ة) لتمكينه(ا) من إنجاز ولايته(ا)؛</w:t>
      </w:r>
    </w:p>
    <w:p w14:paraId="136BEA90" w14:textId="499C6E8E" w:rsidR="00AB33F0" w:rsidRPr="001F6A4D" w:rsidRDefault="00AB33F0" w:rsidP="00AB33F0">
      <w:pPr>
        <w:pStyle w:val="SingleTxtGA"/>
        <w:rPr>
          <w:spacing w:val="-4"/>
        </w:rPr>
      </w:pPr>
      <w:r w:rsidRPr="001F6A4D">
        <w:rPr>
          <w:spacing w:val="-4"/>
          <w:rtl/>
        </w:rPr>
        <w:tab/>
      </w:r>
      <w:r w:rsidRPr="001F6A4D">
        <w:rPr>
          <w:spacing w:val="-4"/>
          <w:szCs w:val="20"/>
          <w:rtl/>
        </w:rPr>
        <w:t>8</w:t>
      </w:r>
      <w:r w:rsidRPr="001F6A4D">
        <w:rPr>
          <w:spacing w:val="-4"/>
          <w:rtl/>
        </w:rPr>
        <w:t>-</w:t>
      </w:r>
      <w:r w:rsidRPr="001F6A4D">
        <w:rPr>
          <w:spacing w:val="-4"/>
          <w:rtl/>
        </w:rPr>
        <w:tab/>
      </w:r>
      <w:r w:rsidRPr="001F6A4D">
        <w:rPr>
          <w:i/>
          <w:iCs/>
          <w:spacing w:val="-4"/>
          <w:rtl/>
        </w:rPr>
        <w:t>يطلب</w:t>
      </w:r>
      <w:r w:rsidRPr="001F6A4D">
        <w:rPr>
          <w:spacing w:val="-4"/>
          <w:rtl/>
        </w:rPr>
        <w:t xml:space="preserve"> إلى المقرر(ة) الخاص(ة) أن يقدم/تقدم إلى مجلس حقوق الإنسان والجمعية العامة تقريراً سنوياً يغطي جميع الأنشطة المتصلة بالولاية، بغية تحقيق أقصى منفعة ممكنة من عملية الإبلاغ؛</w:t>
      </w:r>
    </w:p>
    <w:p w14:paraId="2E1254CE" w14:textId="114A0FA3" w:rsidR="00AB33F0" w:rsidRDefault="00AB33F0" w:rsidP="00AB33F0">
      <w:pPr>
        <w:pStyle w:val="SingleTxtGA"/>
      </w:pPr>
      <w:r>
        <w:rPr>
          <w:rtl/>
        </w:rPr>
        <w:tab/>
      </w:r>
      <w:r w:rsidRPr="001F6A4D">
        <w:rPr>
          <w:szCs w:val="20"/>
          <w:rtl/>
        </w:rPr>
        <w:t>9</w:t>
      </w:r>
      <w:r>
        <w:rPr>
          <w:rtl/>
        </w:rPr>
        <w:t>-</w:t>
      </w:r>
      <w:r>
        <w:rPr>
          <w:rtl/>
        </w:rPr>
        <w:tab/>
      </w:r>
      <w:r w:rsidRPr="00AB33F0">
        <w:rPr>
          <w:i/>
          <w:iCs/>
          <w:rtl/>
        </w:rPr>
        <w:t>يقرر</w:t>
      </w:r>
      <w:r>
        <w:rPr>
          <w:rtl/>
        </w:rPr>
        <w:t xml:space="preserve"> إبقاء المسألة قيد نظره.</w:t>
      </w:r>
    </w:p>
    <w:p w14:paraId="3E800B15" w14:textId="094B2C8C" w:rsidR="00673245" w:rsidRPr="00AB33F0" w:rsidRDefault="00AB33F0" w:rsidP="00AB33F0">
      <w:pPr>
        <w:spacing w:before="120"/>
        <w:jc w:val="center"/>
        <w:rPr>
          <w:u w:val="single"/>
          <w:rtl/>
        </w:rPr>
      </w:pPr>
      <w:r>
        <w:rPr>
          <w:u w:val="single"/>
          <w:rtl/>
        </w:rPr>
        <w:tab/>
      </w:r>
      <w:r>
        <w:rPr>
          <w:u w:val="single"/>
          <w:rtl/>
        </w:rPr>
        <w:tab/>
      </w:r>
      <w:r>
        <w:rPr>
          <w:u w:val="single"/>
          <w:rtl/>
        </w:rPr>
        <w:tab/>
      </w:r>
    </w:p>
    <w:sectPr w:rsidR="00673245" w:rsidRPr="00AB33F0" w:rsidSect="00E94B1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C797" w14:textId="77777777" w:rsidR="00874925" w:rsidRPr="002901D9" w:rsidRDefault="00874925" w:rsidP="002901D9">
      <w:pPr>
        <w:spacing w:after="60" w:line="240" w:lineRule="auto"/>
        <w:rPr>
          <w:i/>
          <w:iCs/>
        </w:rPr>
      </w:pPr>
      <w:r>
        <w:rPr>
          <w:rFonts w:hint="cs"/>
          <w:i/>
          <w:iCs/>
          <w:rtl/>
        </w:rPr>
        <w:t>الحواشي</w:t>
      </w:r>
    </w:p>
  </w:endnote>
  <w:endnote w:type="continuationSeparator" w:id="0">
    <w:p w14:paraId="7209D6A3" w14:textId="77777777" w:rsidR="00874925" w:rsidRDefault="0087492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4A53" w14:textId="77777777" w:rsidR="00E94B14" w:rsidRPr="00AB33F0" w:rsidRDefault="00AB33F0" w:rsidP="00AB33F0">
    <w:pPr>
      <w:pStyle w:val="Footer"/>
      <w:tabs>
        <w:tab w:val="right" w:pos="9598"/>
      </w:tabs>
      <w:rPr>
        <w:sz w:val="17"/>
      </w:rPr>
    </w:pPr>
    <w:r>
      <w:rPr>
        <w:sz w:val="17"/>
      </w:rPr>
      <w:t>GE.20-09028</w:t>
    </w:r>
    <w:r>
      <w:rPr>
        <w:sz w:val="17"/>
      </w:rPr>
      <w:tab/>
    </w:r>
    <w:r w:rsidRPr="00AB33F0">
      <w:rPr>
        <w:b/>
        <w:sz w:val="18"/>
      </w:rPr>
      <w:fldChar w:fldCharType="begin"/>
    </w:r>
    <w:r w:rsidRPr="00AB33F0">
      <w:rPr>
        <w:b/>
        <w:sz w:val="18"/>
      </w:rPr>
      <w:instrText xml:space="preserve"> PAGE  \* MERGEFORMAT </w:instrText>
    </w:r>
    <w:r w:rsidRPr="00AB33F0">
      <w:rPr>
        <w:b/>
        <w:sz w:val="18"/>
      </w:rPr>
      <w:fldChar w:fldCharType="separate"/>
    </w:r>
    <w:r>
      <w:rPr>
        <w:b/>
        <w:sz w:val="18"/>
      </w:rPr>
      <w:t>2</w:t>
    </w:r>
    <w:r w:rsidRPr="00AB33F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AD61" w14:textId="77777777" w:rsidR="006959B0" w:rsidRPr="00AB33F0" w:rsidRDefault="00AB33F0" w:rsidP="006959B0">
    <w:pPr>
      <w:pStyle w:val="Footer"/>
      <w:tabs>
        <w:tab w:val="right" w:pos="9599"/>
      </w:tabs>
      <w:jc w:val="left"/>
      <w:rPr>
        <w:b/>
        <w:sz w:val="18"/>
        <w:lang w:val="en-US"/>
      </w:rPr>
    </w:pPr>
    <w:r w:rsidRPr="00AB33F0">
      <w:rPr>
        <w:b/>
        <w:sz w:val="18"/>
        <w:lang w:val="en-US"/>
      </w:rPr>
      <w:fldChar w:fldCharType="begin"/>
    </w:r>
    <w:r w:rsidRPr="00AB33F0">
      <w:rPr>
        <w:b/>
        <w:sz w:val="18"/>
        <w:lang w:val="en-US"/>
      </w:rPr>
      <w:instrText xml:space="preserve"> PAGE  \* MERGEFORMAT </w:instrText>
    </w:r>
    <w:r w:rsidRPr="00AB33F0">
      <w:rPr>
        <w:b/>
        <w:sz w:val="18"/>
        <w:lang w:val="en-US"/>
      </w:rPr>
      <w:fldChar w:fldCharType="separate"/>
    </w:r>
    <w:r w:rsidRPr="00AB33F0">
      <w:rPr>
        <w:b/>
        <w:noProof/>
        <w:sz w:val="18"/>
        <w:lang w:val="en-US"/>
      </w:rPr>
      <w:t>3</w:t>
    </w:r>
    <w:r w:rsidRPr="00AB33F0">
      <w:rPr>
        <w:b/>
        <w:sz w:val="18"/>
        <w:lang w:val="en-US"/>
      </w:rPr>
      <w:fldChar w:fldCharType="end"/>
    </w:r>
    <w:r>
      <w:rPr>
        <w:b/>
        <w:sz w:val="18"/>
        <w:lang w:val="en-US"/>
      </w:rPr>
      <w:tab/>
    </w:r>
    <w:r>
      <w:rPr>
        <w:sz w:val="17"/>
        <w:lang w:val="en-US"/>
      </w:rPr>
      <w:t>GE.20-09028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5FBA" w14:textId="0F7D13AD" w:rsidR="00FD4BC9" w:rsidRDefault="00E94B14" w:rsidP="00F6741C">
    <w:pPr>
      <w:pStyle w:val="Footer"/>
      <w:spacing w:before="360"/>
      <w:jc w:val="right"/>
      <w:rPr>
        <w:sz w:val="20"/>
        <w:szCs w:val="20"/>
      </w:rPr>
    </w:pPr>
    <w:r>
      <w:rPr>
        <w:sz w:val="20"/>
        <w:szCs w:val="20"/>
      </w:rPr>
      <w:t>GE.20-09028</w:t>
    </w:r>
    <w:r w:rsidR="00D971CD">
      <w:rPr>
        <w:noProof/>
      </w:rPr>
      <w:drawing>
        <wp:anchor distT="0" distB="0" distL="114300" distR="114300" simplePos="0" relativeHeight="251657728" behindDoc="1" locked="1" layoutInCell="0" allowOverlap="1" wp14:anchorId="40F0D58F" wp14:editId="61763932">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798537FC" w14:textId="12B7D7C3" w:rsidR="00E94B14" w:rsidRPr="00E94B14" w:rsidRDefault="00E94B14" w:rsidP="00E94B1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D971CD">
      <w:rPr>
        <w:noProof/>
      </w:rPr>
      <w:drawing>
        <wp:anchor distT="0" distB="0" distL="114300" distR="114300" simplePos="0" relativeHeight="251659776" behindDoc="0" locked="0" layoutInCell="1" allowOverlap="1" wp14:anchorId="723DA68A" wp14:editId="29112B53">
          <wp:simplePos x="0" y="0"/>
          <wp:positionH relativeFrom="page">
            <wp:posOffset>719455</wp:posOffset>
          </wp:positionH>
          <wp:positionV relativeFrom="page">
            <wp:posOffset>9611995</wp:posOffset>
          </wp:positionV>
          <wp:extent cx="561975" cy="561975"/>
          <wp:effectExtent l="0" t="0" r="0" b="0"/>
          <wp:wrapNone/>
          <wp:docPr id="2" name="Picture 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EDEC" w14:textId="77777777" w:rsidR="00874925" w:rsidRPr="0054762C" w:rsidRDefault="00874925" w:rsidP="000E524A">
      <w:pPr>
        <w:pStyle w:val="Footer"/>
        <w:bidi/>
        <w:spacing w:after="80" w:line="200" w:lineRule="exact"/>
        <w:ind w:left="680"/>
      </w:pPr>
      <w:r>
        <w:rPr>
          <w:rtl/>
        </w:rPr>
        <w:t>__________</w:t>
      </w:r>
    </w:p>
  </w:footnote>
  <w:footnote w:type="continuationSeparator" w:id="0">
    <w:p w14:paraId="7AA2BB61" w14:textId="77777777" w:rsidR="00874925" w:rsidRDefault="00874925" w:rsidP="00656392">
      <w:pPr>
        <w:spacing w:line="240" w:lineRule="auto"/>
      </w:pPr>
      <w:r>
        <w:continuationSeparator/>
      </w:r>
    </w:p>
  </w:footnote>
  <w:footnote w:id="1">
    <w:p w14:paraId="56EF37E8" w14:textId="66A44F9A" w:rsidR="0024121C" w:rsidRPr="00602A60" w:rsidRDefault="0024121C" w:rsidP="001F6A4D">
      <w:pPr>
        <w:pStyle w:val="FootnoteText1"/>
        <w:rPr>
          <w:rFonts w:hint="cs"/>
          <w:sz w:val="16"/>
          <w:szCs w:val="24"/>
          <w:rtl/>
        </w:rPr>
      </w:pPr>
      <w:r>
        <w:rPr>
          <w:rtl/>
        </w:rPr>
        <w:t>*</w:t>
      </w:r>
      <w:r>
        <w:rPr>
          <w:rtl/>
        </w:rPr>
        <w:tab/>
      </w:r>
      <w:r w:rsidR="00602A60" w:rsidRPr="00602A60">
        <w:rPr>
          <w:rFonts w:hint="cs"/>
          <w:sz w:val="16"/>
          <w:szCs w:val="24"/>
          <w:rtl/>
        </w:rPr>
        <w:t xml:space="preserve">دولة </w:t>
      </w:r>
      <w:r w:rsidR="00602A60">
        <w:rPr>
          <w:rFonts w:hint="cs"/>
          <w:sz w:val="16"/>
          <w:szCs w:val="24"/>
          <w:rtl/>
        </w:rPr>
        <w:t xml:space="preserve">غير </w:t>
      </w:r>
      <w:r w:rsidR="00602A60" w:rsidRPr="00602A60">
        <w:rPr>
          <w:rFonts w:hint="cs"/>
          <w:sz w:val="16"/>
          <w:szCs w:val="24"/>
          <w:rtl/>
        </w:rPr>
        <w:t>عضو في مجلس حقوق الإنسان.</w:t>
      </w:r>
    </w:p>
  </w:footnote>
  <w:footnote w:id="2">
    <w:p w14:paraId="2C5B3CF0" w14:textId="28283599" w:rsidR="00AB33F0" w:rsidRPr="001F6A4D" w:rsidRDefault="001F6A4D" w:rsidP="001F6A4D">
      <w:pPr>
        <w:pStyle w:val="FootnoteText1"/>
      </w:pPr>
      <w:r w:rsidRPr="001F6A4D">
        <w:rPr>
          <w:rFonts w:hint="cs"/>
          <w:rtl/>
        </w:rPr>
        <w:t>(</w:t>
      </w:r>
      <w:r w:rsidRPr="001F6A4D">
        <w:footnoteRef/>
      </w:r>
      <w:r w:rsidRPr="001F6A4D">
        <w:rPr>
          <w:rFonts w:hint="cs"/>
          <w:rtl/>
        </w:rPr>
        <w:t>)</w:t>
      </w:r>
      <w:r w:rsidRPr="001F6A4D">
        <w:rPr>
          <w:rtl/>
        </w:rPr>
        <w:tab/>
      </w:r>
      <w:r w:rsidR="00AB33F0" w:rsidRPr="001F6A4D">
        <w:t>A/HRC/38/32</w:t>
      </w:r>
      <w:r w:rsidR="00AB33F0" w:rsidRPr="001F6A4D">
        <w:rPr>
          <w:rtl/>
        </w:rPr>
        <w:t xml:space="preserve"> و</w:t>
      </w:r>
      <w:r w:rsidRPr="001F6A4D">
        <w:t>Add.1</w:t>
      </w:r>
      <w:r w:rsidR="00AB33F0" w:rsidRPr="001F6A4D">
        <w:rPr>
          <w:rtl/>
        </w:rPr>
        <w:t xml:space="preserve">؛ </w:t>
      </w:r>
      <w:r w:rsidR="00AB33F0" w:rsidRPr="001F6A4D">
        <w:t>A/HRC/41/37</w:t>
      </w:r>
      <w:r w:rsidR="00AB33F0" w:rsidRPr="001F6A4D">
        <w:rPr>
          <w:rtl/>
        </w:rPr>
        <w:t>؛ و</w:t>
      </w:r>
      <w:r w:rsidR="00AB33F0" w:rsidRPr="001F6A4D">
        <w:t>A/HRC/44/39</w:t>
      </w:r>
      <w:r w:rsidR="00AB33F0" w:rsidRPr="001F6A4D">
        <w:rPr>
          <w:rtl/>
        </w:rPr>
        <w:t xml:space="preserve"> و</w:t>
      </w:r>
      <w:r w:rsidRPr="001F6A4D">
        <w:t>Adds.1–2</w:t>
      </w:r>
      <w:r w:rsidR="00AB33F0" w:rsidRPr="001F6A4D">
        <w:rPr>
          <w:rtl/>
        </w:rPr>
        <w:t>.</w:t>
      </w:r>
    </w:p>
  </w:footnote>
  <w:footnote w:id="3">
    <w:p w14:paraId="06FEF7F5" w14:textId="3C230842" w:rsidR="00AB33F0" w:rsidRPr="001F6A4D" w:rsidRDefault="001F6A4D" w:rsidP="001F6A4D">
      <w:pPr>
        <w:pStyle w:val="FootnoteText1"/>
        <w:rPr>
          <w:lang w:eastAsia="zh-TW" w:bidi="en-GB"/>
        </w:rPr>
      </w:pPr>
      <w:r w:rsidRPr="001F6A4D">
        <w:rPr>
          <w:rFonts w:hint="cs"/>
          <w:rtl/>
        </w:rPr>
        <w:t>(</w:t>
      </w:r>
      <w:r w:rsidRPr="001F6A4D">
        <w:footnoteRef/>
      </w:r>
      <w:r w:rsidRPr="001F6A4D">
        <w:rPr>
          <w:rFonts w:hint="cs"/>
          <w:rtl/>
        </w:rPr>
        <w:t>)</w:t>
      </w:r>
      <w:r w:rsidRPr="001F6A4D">
        <w:rPr>
          <w:rtl/>
        </w:rPr>
        <w:tab/>
      </w:r>
      <w:r w:rsidRPr="001F6A4D">
        <w:rPr>
          <w:lang w:eastAsia="zh-TW" w:bidi="en-GB"/>
        </w:rPr>
        <w:t>A/72/496</w:t>
      </w:r>
      <w:r w:rsidRPr="001F6A4D">
        <w:rPr>
          <w:rtl/>
          <w:lang w:eastAsia="zh-TW"/>
        </w:rPr>
        <w:t xml:space="preserve"> و</w:t>
      </w:r>
      <w:r w:rsidRPr="001F6A4D">
        <w:rPr>
          <w:lang w:eastAsia="zh-TW" w:bidi="en-GB"/>
        </w:rPr>
        <w:t>A/73/262</w:t>
      </w:r>
      <w:r w:rsidRPr="001F6A4D">
        <w:rPr>
          <w:rtl/>
          <w:lang w:eastAsia="zh-TW"/>
        </w:rPr>
        <w:t xml:space="preserve"> و</w:t>
      </w:r>
      <w:r w:rsidRPr="001F6A4D">
        <w:rPr>
          <w:lang w:eastAsia="zh-TW" w:bidi="en-GB"/>
        </w:rPr>
        <w:t>A/74/243</w:t>
      </w:r>
      <w:r w:rsidRPr="001F6A4D">
        <w:rPr>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374E" w14:textId="77777777" w:rsidR="00E94B14" w:rsidRPr="00AB33F0" w:rsidRDefault="00AB33F0" w:rsidP="00AB33F0">
    <w:pPr>
      <w:pStyle w:val="Header"/>
      <w:jc w:val="right"/>
    </w:pPr>
    <w:r w:rsidRPr="00AB33F0">
      <w:t>A/HRC/44/L.1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A1FD" w14:textId="77777777" w:rsidR="00E94B14" w:rsidRPr="00AB33F0" w:rsidRDefault="00AB33F0" w:rsidP="00AB33F0">
    <w:pPr>
      <w:pStyle w:val="Header"/>
      <w:jc w:val="left"/>
    </w:pPr>
    <w:r w:rsidRPr="00AB33F0">
      <w:t>A/HRC/44/L.1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874925"/>
    <w:rsid w:val="000076D5"/>
    <w:rsid w:val="00043663"/>
    <w:rsid w:val="000505CF"/>
    <w:rsid w:val="000D701C"/>
    <w:rsid w:val="000E2A71"/>
    <w:rsid w:val="000E524A"/>
    <w:rsid w:val="000F4D63"/>
    <w:rsid w:val="00160263"/>
    <w:rsid w:val="001773DB"/>
    <w:rsid w:val="00181F96"/>
    <w:rsid w:val="001A1371"/>
    <w:rsid w:val="001B346A"/>
    <w:rsid w:val="001E1CAD"/>
    <w:rsid w:val="001E290D"/>
    <w:rsid w:val="001F6A4D"/>
    <w:rsid w:val="002144FA"/>
    <w:rsid w:val="0023469A"/>
    <w:rsid w:val="0024121C"/>
    <w:rsid w:val="00243C8A"/>
    <w:rsid w:val="00267A0E"/>
    <w:rsid w:val="00281242"/>
    <w:rsid w:val="002901D9"/>
    <w:rsid w:val="002976C2"/>
    <w:rsid w:val="00325CC1"/>
    <w:rsid w:val="003260FF"/>
    <w:rsid w:val="00343D95"/>
    <w:rsid w:val="00374341"/>
    <w:rsid w:val="003D1062"/>
    <w:rsid w:val="003E159A"/>
    <w:rsid w:val="00411992"/>
    <w:rsid w:val="004205C7"/>
    <w:rsid w:val="00420D7B"/>
    <w:rsid w:val="00442FBA"/>
    <w:rsid w:val="00450B21"/>
    <w:rsid w:val="00453B63"/>
    <w:rsid w:val="00455780"/>
    <w:rsid w:val="004B0A1C"/>
    <w:rsid w:val="004D298E"/>
    <w:rsid w:val="004E0F72"/>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2A60"/>
    <w:rsid w:val="0060473A"/>
    <w:rsid w:val="00606EDF"/>
    <w:rsid w:val="00656392"/>
    <w:rsid w:val="00673245"/>
    <w:rsid w:val="0068781D"/>
    <w:rsid w:val="006959B0"/>
    <w:rsid w:val="006B3E27"/>
    <w:rsid w:val="006B6507"/>
    <w:rsid w:val="006C104C"/>
    <w:rsid w:val="00733704"/>
    <w:rsid w:val="00740188"/>
    <w:rsid w:val="00764796"/>
    <w:rsid w:val="0078071A"/>
    <w:rsid w:val="007A70BB"/>
    <w:rsid w:val="007C1BB1"/>
    <w:rsid w:val="00852A9A"/>
    <w:rsid w:val="008606CE"/>
    <w:rsid w:val="00871544"/>
    <w:rsid w:val="00874925"/>
    <w:rsid w:val="008930DB"/>
    <w:rsid w:val="00895D16"/>
    <w:rsid w:val="008F49E1"/>
    <w:rsid w:val="0090370F"/>
    <w:rsid w:val="009269D2"/>
    <w:rsid w:val="00942135"/>
    <w:rsid w:val="009521B0"/>
    <w:rsid w:val="009A7E9F"/>
    <w:rsid w:val="009E5018"/>
    <w:rsid w:val="00A12B37"/>
    <w:rsid w:val="00A4278E"/>
    <w:rsid w:val="00A50EC0"/>
    <w:rsid w:val="00A74331"/>
    <w:rsid w:val="00A811A4"/>
    <w:rsid w:val="00AB33F0"/>
    <w:rsid w:val="00AB3BCA"/>
    <w:rsid w:val="00AB6758"/>
    <w:rsid w:val="00AF203E"/>
    <w:rsid w:val="00AF32D7"/>
    <w:rsid w:val="00B13763"/>
    <w:rsid w:val="00B477A4"/>
    <w:rsid w:val="00B54045"/>
    <w:rsid w:val="00BA5E8B"/>
    <w:rsid w:val="00C022F5"/>
    <w:rsid w:val="00C06421"/>
    <w:rsid w:val="00C149F1"/>
    <w:rsid w:val="00C438D7"/>
    <w:rsid w:val="00C53FE8"/>
    <w:rsid w:val="00C81B50"/>
    <w:rsid w:val="00CA655B"/>
    <w:rsid w:val="00CB3C3C"/>
    <w:rsid w:val="00CD1801"/>
    <w:rsid w:val="00D10EF1"/>
    <w:rsid w:val="00D42810"/>
    <w:rsid w:val="00D914A7"/>
    <w:rsid w:val="00D971CD"/>
    <w:rsid w:val="00DD13C3"/>
    <w:rsid w:val="00DD596E"/>
    <w:rsid w:val="00DD621E"/>
    <w:rsid w:val="00DF0575"/>
    <w:rsid w:val="00E70E04"/>
    <w:rsid w:val="00E75996"/>
    <w:rsid w:val="00E94B14"/>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DE6C26E"/>
  <w15:docId w15:val="{0AAF90C4-B005-42B1-AEB0-5CA633D3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3092-3E97-4254-86B6-199C69C3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564</Words>
  <Characters>3373</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A/HRC/44/L.1</vt:lpstr>
    </vt:vector>
  </TitlesOfParts>
  <Company>DCM</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dc:title>
  <dc:subject>GE.2009028A</dc:subject>
  <dc:creator>bah/ASF</dc:creator>
  <cp:keywords>ODS No.2017659</cp:keywords>
  <dc:description>Distr.: Limited
10 July 2020
Original: English</dc:description>
  <cp:lastModifiedBy>Ibrahim Balan</cp:lastModifiedBy>
  <cp:revision>2</cp:revision>
  <dcterms:created xsi:type="dcterms:W3CDTF">2020-07-13T11:35:00Z</dcterms:created>
  <dcterms:modified xsi:type="dcterms:W3CDTF">2020-07-13T11:35:00Z</dcterms:modified>
  <cp:category>Final</cp:category>
</cp:coreProperties>
</file>