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490809" w14:paraId="3FB794DB" w14:textId="77777777" w:rsidTr="00281242">
        <w:trPr>
          <w:trHeight w:hRule="exact" w:val="851"/>
        </w:trPr>
        <w:tc>
          <w:tcPr>
            <w:tcW w:w="1274" w:type="dxa"/>
            <w:tcBorders>
              <w:bottom w:val="single" w:sz="4" w:space="0" w:color="auto"/>
            </w:tcBorders>
            <w:shd w:val="clear" w:color="auto" w:fill="auto"/>
          </w:tcPr>
          <w:p w14:paraId="10F642D4"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526E7E1B" w14:textId="77777777" w:rsidR="006B3E27" w:rsidRPr="00490809" w:rsidRDefault="006B3E27" w:rsidP="00281242">
            <w:pPr>
              <w:spacing w:after="80" w:line="480" w:lineRule="exact"/>
              <w:jc w:val="left"/>
              <w:rPr>
                <w:sz w:val="40"/>
                <w:szCs w:val="40"/>
                <w:rtl/>
              </w:rPr>
            </w:pPr>
            <w:r w:rsidRPr="00490809">
              <w:rPr>
                <w:rFonts w:hint="cs"/>
                <w:sz w:val="40"/>
                <w:szCs w:val="40"/>
                <w:rtl/>
              </w:rPr>
              <w:t>الأمم المتحدة</w:t>
            </w:r>
          </w:p>
        </w:tc>
        <w:tc>
          <w:tcPr>
            <w:tcW w:w="3402" w:type="dxa"/>
            <w:tcBorders>
              <w:bottom w:val="single" w:sz="4" w:space="0" w:color="auto"/>
            </w:tcBorders>
            <w:shd w:val="clear" w:color="auto" w:fill="auto"/>
            <w:vAlign w:val="bottom"/>
          </w:tcPr>
          <w:p w14:paraId="73E8A966" w14:textId="77777777" w:rsidR="006B3E27" w:rsidRPr="00490809" w:rsidRDefault="00F63A12" w:rsidP="003C20C1">
            <w:pPr>
              <w:bidi w:val="0"/>
              <w:spacing w:after="20"/>
              <w:jc w:val="left"/>
              <w:rPr>
                <w:szCs w:val="20"/>
              </w:rPr>
            </w:pPr>
            <w:r w:rsidRPr="00490809">
              <w:rPr>
                <w:sz w:val="40"/>
                <w:szCs w:val="20"/>
              </w:rPr>
              <w:t>A</w:t>
            </w:r>
            <w:r w:rsidRPr="00490809">
              <w:rPr>
                <w:szCs w:val="20"/>
              </w:rPr>
              <w:t>/HRC/44/L.4</w:t>
            </w:r>
          </w:p>
        </w:tc>
      </w:tr>
      <w:tr w:rsidR="006B3E27" w:rsidRPr="00490809" w14:paraId="76E832CC" w14:textId="77777777" w:rsidTr="00281242">
        <w:trPr>
          <w:trHeight w:hRule="exact" w:val="2835"/>
        </w:trPr>
        <w:tc>
          <w:tcPr>
            <w:tcW w:w="1274" w:type="dxa"/>
            <w:tcBorders>
              <w:top w:val="single" w:sz="4" w:space="0" w:color="auto"/>
              <w:bottom w:val="single" w:sz="12" w:space="0" w:color="auto"/>
            </w:tcBorders>
            <w:shd w:val="clear" w:color="auto" w:fill="auto"/>
          </w:tcPr>
          <w:p w14:paraId="00D6777E" w14:textId="1CA565CC" w:rsidR="006B3E27" w:rsidRPr="00490809" w:rsidRDefault="008C700A" w:rsidP="00281242">
            <w:pPr>
              <w:jc w:val="center"/>
              <w:rPr>
                <w:sz w:val="56"/>
                <w:szCs w:val="56"/>
                <w:rtl/>
              </w:rPr>
            </w:pPr>
            <w:r>
              <w:rPr>
                <w:noProof/>
                <w:sz w:val="56"/>
                <w:szCs w:val="56"/>
              </w:rPr>
              <w:drawing>
                <wp:inline distT="0" distB="0" distL="0" distR="0" wp14:anchorId="315626A7" wp14:editId="251473A6">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EB2DFC2" w14:textId="77777777" w:rsidR="006B3E27" w:rsidRPr="00490809" w:rsidRDefault="001773DB" w:rsidP="00281242">
            <w:pPr>
              <w:spacing w:before="120" w:after="40" w:line="640" w:lineRule="exact"/>
              <w:jc w:val="left"/>
              <w:rPr>
                <w:b/>
                <w:bCs/>
                <w:sz w:val="56"/>
                <w:szCs w:val="56"/>
              </w:rPr>
            </w:pPr>
            <w:r w:rsidRPr="00490809">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6F3EFE26" w14:textId="77777777" w:rsidR="006B3E27" w:rsidRPr="00490809" w:rsidRDefault="003C20C1" w:rsidP="003C20C1">
            <w:pPr>
              <w:bidi w:val="0"/>
              <w:spacing w:before="240"/>
              <w:jc w:val="left"/>
              <w:rPr>
                <w:szCs w:val="20"/>
              </w:rPr>
            </w:pPr>
            <w:r w:rsidRPr="00490809">
              <w:rPr>
                <w:szCs w:val="20"/>
              </w:rPr>
              <w:t>Distr.: Limited</w:t>
            </w:r>
          </w:p>
          <w:p w14:paraId="5EA8F9F4" w14:textId="77777777" w:rsidR="003C20C1" w:rsidRPr="00490809" w:rsidRDefault="003C20C1" w:rsidP="003C20C1">
            <w:pPr>
              <w:bidi w:val="0"/>
              <w:jc w:val="left"/>
              <w:rPr>
                <w:szCs w:val="20"/>
              </w:rPr>
            </w:pPr>
            <w:r w:rsidRPr="00490809">
              <w:rPr>
                <w:szCs w:val="20"/>
              </w:rPr>
              <w:t>10 July 2020</w:t>
            </w:r>
          </w:p>
          <w:p w14:paraId="1389F31D" w14:textId="77777777" w:rsidR="003C20C1" w:rsidRPr="00490809" w:rsidRDefault="003C20C1" w:rsidP="003C20C1">
            <w:pPr>
              <w:bidi w:val="0"/>
              <w:jc w:val="left"/>
              <w:rPr>
                <w:szCs w:val="20"/>
              </w:rPr>
            </w:pPr>
            <w:r w:rsidRPr="00490809">
              <w:rPr>
                <w:szCs w:val="20"/>
              </w:rPr>
              <w:t>Arabic</w:t>
            </w:r>
          </w:p>
          <w:p w14:paraId="2E406179" w14:textId="77777777" w:rsidR="003C20C1" w:rsidRPr="00490809" w:rsidRDefault="003C20C1" w:rsidP="003C20C1">
            <w:pPr>
              <w:bidi w:val="0"/>
              <w:jc w:val="left"/>
              <w:rPr>
                <w:szCs w:val="20"/>
              </w:rPr>
            </w:pPr>
            <w:r w:rsidRPr="00490809">
              <w:rPr>
                <w:szCs w:val="20"/>
              </w:rPr>
              <w:t>Original: English</w:t>
            </w:r>
          </w:p>
        </w:tc>
      </w:tr>
    </w:tbl>
    <w:p w14:paraId="44F1C621" w14:textId="77777777" w:rsidR="003C20C1" w:rsidRPr="00490809" w:rsidRDefault="003C20C1" w:rsidP="003C20C1">
      <w:pPr>
        <w:pStyle w:val="SingleTxtGA"/>
        <w:spacing w:before="120" w:after="0"/>
        <w:ind w:left="0" w:right="4252"/>
        <w:jc w:val="left"/>
        <w:rPr>
          <w:b/>
          <w:bCs/>
          <w:sz w:val="26"/>
          <w:szCs w:val="36"/>
        </w:rPr>
      </w:pPr>
      <w:r w:rsidRPr="00490809">
        <w:rPr>
          <w:b/>
          <w:bCs/>
          <w:sz w:val="26"/>
          <w:szCs w:val="36"/>
          <w:rtl/>
        </w:rPr>
        <w:t>مجلس حقوق الإنسان</w:t>
      </w:r>
    </w:p>
    <w:p w14:paraId="0A4AA9F2" w14:textId="77777777" w:rsidR="003C20C1" w:rsidRPr="00490809" w:rsidRDefault="003C20C1" w:rsidP="003C20C1">
      <w:pPr>
        <w:pStyle w:val="SingleTxtGA"/>
        <w:spacing w:after="0"/>
        <w:ind w:left="0" w:right="4252"/>
        <w:jc w:val="left"/>
        <w:rPr>
          <w:b/>
          <w:bCs/>
        </w:rPr>
      </w:pPr>
      <w:r w:rsidRPr="00490809">
        <w:rPr>
          <w:b/>
          <w:bCs/>
          <w:rtl/>
        </w:rPr>
        <w:t>الدورة الرابعة والأربعون</w:t>
      </w:r>
    </w:p>
    <w:p w14:paraId="6D66671A" w14:textId="35CFAD9D" w:rsidR="003C20C1" w:rsidRPr="00490809" w:rsidRDefault="003C20C1" w:rsidP="003C20C1">
      <w:pPr>
        <w:pStyle w:val="SingleTxtGA"/>
        <w:spacing w:after="0"/>
        <w:ind w:left="0" w:right="4252"/>
        <w:jc w:val="left"/>
      </w:pPr>
      <w:r w:rsidRPr="00490809">
        <w:rPr>
          <w:szCs w:val="20"/>
          <w:rtl/>
        </w:rPr>
        <w:t>30</w:t>
      </w:r>
      <w:r w:rsidRPr="00490809">
        <w:rPr>
          <w:rFonts w:hint="cs"/>
          <w:rtl/>
        </w:rPr>
        <w:t xml:space="preserve"> </w:t>
      </w:r>
      <w:r w:rsidRPr="00490809">
        <w:rPr>
          <w:rtl/>
        </w:rPr>
        <w:t xml:space="preserve">حزيران/يونيه - </w:t>
      </w:r>
      <w:r w:rsidRPr="00490809">
        <w:rPr>
          <w:szCs w:val="20"/>
          <w:rtl/>
        </w:rPr>
        <w:t>17</w:t>
      </w:r>
      <w:r w:rsidRPr="00490809">
        <w:rPr>
          <w:rtl/>
        </w:rPr>
        <w:t xml:space="preserve"> تموز/يوليه </w:t>
      </w:r>
      <w:r w:rsidRPr="00490809">
        <w:rPr>
          <w:szCs w:val="20"/>
          <w:rtl/>
        </w:rPr>
        <w:t>2020</w:t>
      </w:r>
      <w:r w:rsidR="00C301E1">
        <w:rPr>
          <w:rFonts w:hint="cs"/>
          <w:rtl/>
        </w:rPr>
        <w:t xml:space="preserve"> </w:t>
      </w:r>
    </w:p>
    <w:p w14:paraId="0C8E4783" w14:textId="77777777" w:rsidR="003C20C1" w:rsidRPr="00490809" w:rsidRDefault="003C20C1" w:rsidP="003C20C1">
      <w:pPr>
        <w:pStyle w:val="SingleTxtGA"/>
        <w:spacing w:after="0"/>
        <w:ind w:left="0" w:right="4252"/>
        <w:jc w:val="left"/>
        <w:rPr>
          <w:rFonts w:hint="cs"/>
          <w:rtl/>
        </w:rPr>
      </w:pPr>
      <w:r w:rsidRPr="00490809">
        <w:rPr>
          <w:rtl/>
        </w:rPr>
        <w:t xml:space="preserve">البند </w:t>
      </w:r>
      <w:r w:rsidRPr="00490809">
        <w:rPr>
          <w:szCs w:val="20"/>
          <w:rtl/>
        </w:rPr>
        <w:t>3</w:t>
      </w:r>
      <w:r w:rsidRPr="00490809">
        <w:rPr>
          <w:rtl/>
        </w:rPr>
        <w:t xml:space="preserve"> من جدول الأعمال</w:t>
      </w:r>
    </w:p>
    <w:p w14:paraId="495A11D4" w14:textId="77777777" w:rsidR="003C20C1" w:rsidRPr="00490809" w:rsidRDefault="003C20C1" w:rsidP="003C20C1">
      <w:pPr>
        <w:pStyle w:val="SingleTxtGA"/>
        <w:spacing w:after="0"/>
        <w:ind w:left="0" w:right="4252"/>
        <w:jc w:val="left"/>
        <w:rPr>
          <w:b/>
          <w:bCs/>
        </w:rPr>
      </w:pPr>
      <w:r w:rsidRPr="00490809">
        <w:rPr>
          <w:b/>
          <w:bCs/>
          <w:rtl/>
        </w:rPr>
        <w:t>تعزيز وحماية جميع حقوق الإنسان، المدنية والسياسية والاقتصادية والاجتماعية والثقافية، بما في ذلك الحق في التنمية</w:t>
      </w:r>
    </w:p>
    <w:p w14:paraId="1F6AD66C" w14:textId="77777777" w:rsidR="003C20C1" w:rsidRPr="00490809" w:rsidRDefault="003C20C1" w:rsidP="003C20C1">
      <w:pPr>
        <w:pStyle w:val="H23GA"/>
        <w:rPr>
          <w:spacing w:val="-4"/>
          <w:rtl/>
        </w:rPr>
      </w:pPr>
      <w:r w:rsidRPr="00490809">
        <w:rPr>
          <w:spacing w:val="-4"/>
          <w:rtl/>
        </w:rPr>
        <w:tab/>
      </w:r>
      <w:r w:rsidRPr="00490809">
        <w:rPr>
          <w:spacing w:val="-4"/>
          <w:rtl/>
        </w:rPr>
        <w:tab/>
        <w:t>إثيوبيا</w:t>
      </w:r>
      <w:r w:rsidRPr="00490809">
        <w:rPr>
          <w:rStyle w:val="FootnoteReference"/>
          <w:rFonts w:ascii="Times New Roman" w:eastAsiaTheme="minorEastAsia" w:hAnsi="Times New Roman"/>
          <w:sz w:val="20"/>
          <w:szCs w:val="28"/>
          <w:vertAlign w:val="baseline"/>
          <w:rtl/>
        </w:rPr>
        <w:footnoteReference w:customMarkFollows="1" w:id="1"/>
        <w:t>*</w:t>
      </w:r>
      <w:r w:rsidRPr="00490809">
        <w:rPr>
          <w:rFonts w:cs="Times New Roman"/>
          <w:spacing w:val="-4"/>
          <w:rtl/>
        </w:rPr>
        <w:t xml:space="preserve">، </w:t>
      </w:r>
      <w:r w:rsidRPr="00490809">
        <w:rPr>
          <w:spacing w:val="-4"/>
          <w:rtl/>
        </w:rPr>
        <w:t>إسواتيني</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إكوادور</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باراغواي</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البحرين</w:t>
      </w:r>
      <w:r w:rsidRPr="00490809">
        <w:rPr>
          <w:rFonts w:cs="Times New Roman"/>
          <w:spacing w:val="-4"/>
          <w:rtl/>
        </w:rPr>
        <w:t xml:space="preserve">، </w:t>
      </w:r>
      <w:r w:rsidRPr="00490809">
        <w:rPr>
          <w:spacing w:val="-4"/>
          <w:rtl/>
        </w:rPr>
        <w:t>البرازيل</w:t>
      </w:r>
      <w:r w:rsidRPr="00490809">
        <w:rPr>
          <w:rFonts w:cs="Times New Roman"/>
          <w:spacing w:val="-4"/>
          <w:rtl/>
        </w:rPr>
        <w:t xml:space="preserve">، </w:t>
      </w:r>
      <w:r w:rsidRPr="00490809">
        <w:rPr>
          <w:spacing w:val="-4"/>
          <w:rtl/>
        </w:rPr>
        <w:t>البرتغال</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بنغلاديش</w:t>
      </w:r>
      <w:r w:rsidRPr="00490809">
        <w:rPr>
          <w:rFonts w:cs="Times New Roman"/>
          <w:spacing w:val="-4"/>
          <w:rtl/>
        </w:rPr>
        <w:t xml:space="preserve">، </w:t>
      </w:r>
      <w:r w:rsidRPr="00490809">
        <w:rPr>
          <w:spacing w:val="-4"/>
          <w:rtl/>
        </w:rPr>
        <w:t>تايلند</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تونس</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جورجيا</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سان مارينو</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السلفادور</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الفلبين</w:t>
      </w:r>
      <w:r w:rsidRPr="00490809">
        <w:rPr>
          <w:rFonts w:cs="Times New Roman"/>
          <w:spacing w:val="-4"/>
          <w:rtl/>
        </w:rPr>
        <w:t xml:space="preserve">، </w:t>
      </w:r>
      <w:r w:rsidRPr="00490809">
        <w:rPr>
          <w:spacing w:val="-4"/>
          <w:rtl/>
        </w:rPr>
        <w:t>فيجي</w:t>
      </w:r>
      <w:r w:rsidRPr="00490809">
        <w:rPr>
          <w:rFonts w:cs="Times New Roman"/>
          <w:spacing w:val="-4"/>
          <w:rtl/>
        </w:rPr>
        <w:t xml:space="preserve">، </w:t>
      </w:r>
      <w:r w:rsidRPr="00490809">
        <w:rPr>
          <w:spacing w:val="-4"/>
          <w:rtl/>
        </w:rPr>
        <w:t>مدغشقر</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المغرب</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منغوليا</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ميكرونيزيا (ولايات - الموحدة</w:t>
      </w:r>
      <w:r w:rsidRPr="00490809">
        <w:rPr>
          <w:rFonts w:cs="Times New Roman"/>
          <w:spacing w:val="-4"/>
          <w:rtl/>
        </w:rPr>
        <w:t>)</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نيكاراغوا</w:t>
      </w:r>
      <w:r w:rsidRPr="00490809">
        <w:rPr>
          <w:rStyle w:val="FootnoteReference"/>
          <w:rFonts w:ascii="Times New Roman" w:eastAsiaTheme="minorEastAsia" w:hAnsi="Times New Roman"/>
          <w:sz w:val="20"/>
          <w:szCs w:val="28"/>
          <w:vertAlign w:val="baseline"/>
          <w:rtl/>
        </w:rPr>
        <w:t>*</w:t>
      </w:r>
      <w:r w:rsidRPr="00490809">
        <w:rPr>
          <w:rFonts w:cs="Times New Roman"/>
          <w:spacing w:val="-4"/>
          <w:rtl/>
        </w:rPr>
        <w:t xml:space="preserve">، </w:t>
      </w:r>
      <w:r w:rsidRPr="00490809">
        <w:rPr>
          <w:spacing w:val="-4"/>
          <w:rtl/>
        </w:rPr>
        <w:t>الهند</w:t>
      </w:r>
      <w:r w:rsidRPr="00490809">
        <w:rPr>
          <w:rFonts w:cs="Times New Roman"/>
          <w:spacing w:val="-4"/>
          <w:rtl/>
        </w:rPr>
        <w:t xml:space="preserve">، </w:t>
      </w:r>
      <w:r w:rsidRPr="00490809">
        <w:rPr>
          <w:spacing w:val="-4"/>
          <w:rtl/>
        </w:rPr>
        <w:t>اليابان</w:t>
      </w:r>
      <w:r w:rsidRPr="00490809">
        <w:rPr>
          <w:rFonts w:hint="cs"/>
          <w:spacing w:val="-4"/>
          <w:rtl/>
        </w:rPr>
        <w:t>: مشروع قرار</w:t>
      </w:r>
    </w:p>
    <w:p w14:paraId="60B0AFFE" w14:textId="77777777" w:rsidR="003C20C1" w:rsidRPr="00490809" w:rsidRDefault="003C20C1" w:rsidP="003C20C1">
      <w:pPr>
        <w:pStyle w:val="H1GA"/>
      </w:pPr>
      <w:r w:rsidRPr="00490809">
        <w:rPr>
          <w:szCs w:val="20"/>
          <w:rtl/>
        </w:rPr>
        <w:tab/>
      </w:r>
      <w:r w:rsidRPr="00490809">
        <w:rPr>
          <w:szCs w:val="20"/>
          <w:rtl/>
        </w:rPr>
        <w:tab/>
      </w:r>
      <w:r w:rsidRPr="00490809">
        <w:rPr>
          <w:sz w:val="36"/>
          <w:szCs w:val="28"/>
          <w:rtl/>
        </w:rPr>
        <w:t>44</w:t>
      </w:r>
      <w:r w:rsidRPr="00490809">
        <w:rPr>
          <w:rtl/>
        </w:rPr>
        <w:t>/...</w:t>
      </w:r>
      <w:r w:rsidRPr="00490809">
        <w:rPr>
          <w:rtl/>
        </w:rPr>
        <w:tab/>
        <w:t>القضاء على التمييز ضد الأشخاص المصابين بالجذام وأفراد أسرهم</w:t>
      </w:r>
    </w:p>
    <w:p w14:paraId="755C9D67" w14:textId="77777777" w:rsidR="003C20C1" w:rsidRPr="00490809" w:rsidRDefault="003C20C1" w:rsidP="003C20C1">
      <w:pPr>
        <w:pStyle w:val="SingleTxtGA"/>
        <w:spacing w:after="100" w:line="355" w:lineRule="exact"/>
      </w:pPr>
      <w:r w:rsidRPr="00490809">
        <w:rPr>
          <w:i/>
          <w:iCs/>
          <w:rtl/>
        </w:rPr>
        <w:tab/>
        <w:t>إن مجلس حقوق الإنسان،</w:t>
      </w:r>
    </w:p>
    <w:p w14:paraId="7D0F7B77" w14:textId="77777777" w:rsidR="003C20C1" w:rsidRPr="00490809" w:rsidRDefault="003C20C1" w:rsidP="003C20C1">
      <w:pPr>
        <w:pStyle w:val="SingleTxtGA"/>
        <w:spacing w:after="100" w:line="355" w:lineRule="exact"/>
      </w:pPr>
      <w:r w:rsidRPr="00490809">
        <w:rPr>
          <w:i/>
          <w:iCs/>
          <w:rtl/>
        </w:rPr>
        <w:tab/>
        <w:t>إذ يسترشد</w:t>
      </w:r>
      <w:r w:rsidRPr="00490809">
        <w:rPr>
          <w:rtl/>
        </w:rPr>
        <w:t xml:space="preserve"> بمقاصد ميثاق الأمم المتحدة ومبادئه وأحكامه،</w:t>
      </w:r>
    </w:p>
    <w:p w14:paraId="56007898" w14:textId="77777777" w:rsidR="003C20C1" w:rsidRPr="00490809" w:rsidRDefault="003C20C1" w:rsidP="003C20C1">
      <w:pPr>
        <w:pStyle w:val="SingleTxtGA"/>
        <w:spacing w:after="100" w:line="355" w:lineRule="exact"/>
      </w:pPr>
      <w:r w:rsidRPr="00490809">
        <w:rPr>
          <w:i/>
          <w:iCs/>
          <w:rtl/>
        </w:rPr>
        <w:tab/>
        <w:t>وإذ يسترشد أيضاً</w:t>
      </w:r>
      <w:r w:rsidRPr="00490809">
        <w:rPr>
          <w:rtl/>
        </w:rPr>
        <w:t xml:space="preserve"> بالإعلان العالمي لحقوق الإنسان، وإذ يشير إلى الصكوك الدولية لحقوق الإنسان ذات الصلة، بما في ذلك العهد الدولي الخاص بالحقوق الاقتصادية والاجتماعية والثقافية، والعهد الدولي الخاص بالحق</w:t>
      </w:r>
      <w:bookmarkStart w:id="0" w:name="_GoBack"/>
      <w:bookmarkEnd w:id="0"/>
      <w:r w:rsidRPr="00490809">
        <w:rPr>
          <w:rtl/>
        </w:rPr>
        <w:t>وق المدنية والسياسية، واتفاقية حقوق الأشخاص ذوي الإعاقة، واتفاقية القضاء على جميع أشكال التمييز ضد المرأة، واتفاقية حقوق الطفل، والاتفاقية الدولية للقضاء على جميع أشكال التمييز العنصري،</w:t>
      </w:r>
    </w:p>
    <w:p w14:paraId="6B1F3C81" w14:textId="77777777" w:rsidR="003C20C1" w:rsidRPr="00490809" w:rsidRDefault="003C20C1" w:rsidP="003C20C1">
      <w:pPr>
        <w:pStyle w:val="SingleTxtGA"/>
        <w:spacing w:after="100" w:line="355" w:lineRule="exact"/>
      </w:pPr>
      <w:r w:rsidRPr="00490809">
        <w:rPr>
          <w:i/>
          <w:iCs/>
          <w:rtl/>
        </w:rPr>
        <w:tab/>
        <w:t>وإذ يرحب</w:t>
      </w:r>
      <w:r w:rsidRPr="00490809">
        <w:rPr>
          <w:rtl/>
        </w:rPr>
        <w:t xml:space="preserve"> بعمل المقرر(ة) الخاص(ة) المعني(ة) بالقضاء على التمييز ضد الأشخاص المصابين بالجذام وأفراد أسرهم ويحيط علماً بتقاريره(ا) المقدمة إلى مجلس حقوق الإنسان وبالتوصيات المقدمة في هذه التقارير</w:t>
      </w:r>
      <w:r w:rsidRPr="00490809">
        <w:rPr>
          <w:szCs w:val="30"/>
          <w:vertAlign w:val="superscript"/>
          <w:rtl/>
        </w:rPr>
        <w:t>(</w:t>
      </w:r>
      <w:r w:rsidRPr="00490809">
        <w:rPr>
          <w:position w:val="2"/>
          <w:szCs w:val="20"/>
          <w:vertAlign w:val="superscript"/>
        </w:rPr>
        <w:footnoteReference w:id="2"/>
      </w:r>
      <w:r w:rsidRPr="00490809">
        <w:rPr>
          <w:szCs w:val="30"/>
          <w:vertAlign w:val="superscript"/>
          <w:rtl/>
        </w:rPr>
        <w:t>)</w:t>
      </w:r>
      <w:r w:rsidRPr="00490809">
        <w:rPr>
          <w:rtl/>
        </w:rPr>
        <w:t xml:space="preserve">، </w:t>
      </w:r>
    </w:p>
    <w:p w14:paraId="2861002D" w14:textId="77777777" w:rsidR="003C20C1" w:rsidRPr="00490809" w:rsidRDefault="003C20C1" w:rsidP="003C20C1">
      <w:pPr>
        <w:pStyle w:val="SingleTxtGA"/>
        <w:spacing w:after="100" w:line="355" w:lineRule="exact"/>
      </w:pPr>
      <w:r w:rsidRPr="00490809">
        <w:rPr>
          <w:i/>
          <w:iCs/>
          <w:rtl/>
        </w:rPr>
        <w:tab/>
        <w:t>وإذ يشير</w:t>
      </w:r>
      <w:r w:rsidRPr="00490809">
        <w:rPr>
          <w:rtl/>
        </w:rPr>
        <w:t xml:space="preserve"> إلى قراري مجلس حقوق الإنسان </w:t>
      </w:r>
      <w:r w:rsidRPr="00490809">
        <w:rPr>
          <w:szCs w:val="20"/>
          <w:rtl/>
        </w:rPr>
        <w:t>5</w:t>
      </w:r>
      <w:r w:rsidRPr="00490809">
        <w:rPr>
          <w:rtl/>
        </w:rPr>
        <w:t>/</w:t>
      </w:r>
      <w:r w:rsidRPr="00490809">
        <w:rPr>
          <w:szCs w:val="20"/>
          <w:rtl/>
        </w:rPr>
        <w:t>1</w:t>
      </w:r>
      <w:r w:rsidRPr="00490809">
        <w:rPr>
          <w:rtl/>
        </w:rPr>
        <w:t xml:space="preserve"> بشأن بناء مؤسسات مجلس حقوق الإنسان و</w:t>
      </w:r>
      <w:r w:rsidRPr="00490809">
        <w:rPr>
          <w:szCs w:val="20"/>
          <w:rtl/>
        </w:rPr>
        <w:t>5</w:t>
      </w:r>
      <w:r w:rsidRPr="00490809">
        <w:rPr>
          <w:rtl/>
        </w:rPr>
        <w:t>/</w:t>
      </w:r>
      <w:r w:rsidRPr="00490809">
        <w:rPr>
          <w:szCs w:val="20"/>
          <w:rtl/>
        </w:rPr>
        <w:t>2</w:t>
      </w:r>
      <w:r w:rsidRPr="00490809">
        <w:rPr>
          <w:rtl/>
        </w:rPr>
        <w:t xml:space="preserve"> بشأن مدونة قواعد السلوك للمكلفين بولايات في إطار الإجراءات الخاصة للمجلس، المؤرخيْن</w:t>
      </w:r>
      <w:r w:rsidRPr="00490809">
        <w:rPr>
          <w:rFonts w:hint="cs"/>
          <w:rtl/>
        </w:rPr>
        <w:t> </w:t>
      </w:r>
      <w:r w:rsidRPr="00490809">
        <w:rPr>
          <w:szCs w:val="20"/>
          <w:rtl/>
        </w:rPr>
        <w:t>18</w:t>
      </w:r>
      <w:r w:rsidRPr="00490809">
        <w:rPr>
          <w:rtl/>
        </w:rPr>
        <w:t xml:space="preserve"> حزيران/يونيه </w:t>
      </w:r>
      <w:r w:rsidRPr="00490809">
        <w:rPr>
          <w:szCs w:val="20"/>
          <w:rtl/>
        </w:rPr>
        <w:t>2007</w:t>
      </w:r>
      <w:r w:rsidRPr="00490809">
        <w:rPr>
          <w:rtl/>
        </w:rPr>
        <w:t>، وإذ يشدد على اضطلاع المكلف(ة) بالولاية بواجباته(ا) طبقاً للقرارين المذكورين ومرفقيهما،</w:t>
      </w:r>
    </w:p>
    <w:p w14:paraId="2C5073A0" w14:textId="77777777" w:rsidR="003C20C1" w:rsidRPr="004F2E9F" w:rsidRDefault="003C20C1" w:rsidP="003C20C1">
      <w:pPr>
        <w:pStyle w:val="SingleTxtGA"/>
        <w:spacing w:after="100" w:line="355" w:lineRule="exact"/>
        <w:rPr>
          <w:spacing w:val="-2"/>
        </w:rPr>
      </w:pPr>
      <w:r w:rsidRPr="004F2E9F">
        <w:rPr>
          <w:i/>
          <w:iCs/>
          <w:spacing w:val="-2"/>
          <w:rtl/>
        </w:rPr>
        <w:lastRenderedPageBreak/>
        <w:tab/>
        <w:t>وإذ يشير أيضاً</w:t>
      </w:r>
      <w:r w:rsidRPr="004F2E9F">
        <w:rPr>
          <w:spacing w:val="-2"/>
          <w:rtl/>
        </w:rPr>
        <w:t xml:space="preserve"> إلى قراراته </w:t>
      </w:r>
      <w:r w:rsidRPr="004F2E9F">
        <w:rPr>
          <w:spacing w:val="-2"/>
          <w:szCs w:val="20"/>
          <w:rtl/>
        </w:rPr>
        <w:t>8</w:t>
      </w:r>
      <w:r w:rsidRPr="004F2E9F">
        <w:rPr>
          <w:spacing w:val="-2"/>
          <w:rtl/>
        </w:rPr>
        <w:t>/</w:t>
      </w:r>
      <w:r w:rsidRPr="004F2E9F">
        <w:rPr>
          <w:spacing w:val="-2"/>
          <w:szCs w:val="20"/>
          <w:rtl/>
        </w:rPr>
        <w:t>13</w:t>
      </w:r>
      <w:r w:rsidRPr="004F2E9F">
        <w:rPr>
          <w:spacing w:val="-2"/>
          <w:rtl/>
        </w:rPr>
        <w:t xml:space="preserve"> المؤرخ </w:t>
      </w:r>
      <w:r w:rsidRPr="004F2E9F">
        <w:rPr>
          <w:spacing w:val="-2"/>
          <w:szCs w:val="20"/>
          <w:rtl/>
        </w:rPr>
        <w:t>18</w:t>
      </w:r>
      <w:r w:rsidRPr="004F2E9F">
        <w:rPr>
          <w:spacing w:val="-2"/>
          <w:rtl/>
        </w:rPr>
        <w:t xml:space="preserve"> حزيران/يونيه </w:t>
      </w:r>
      <w:r w:rsidRPr="004F2E9F">
        <w:rPr>
          <w:spacing w:val="-2"/>
          <w:szCs w:val="20"/>
          <w:rtl/>
        </w:rPr>
        <w:t>2008</w:t>
      </w:r>
      <w:r w:rsidRPr="004F2E9F">
        <w:rPr>
          <w:spacing w:val="-2"/>
          <w:rtl/>
        </w:rPr>
        <w:t>، و</w:t>
      </w:r>
      <w:r w:rsidRPr="004F2E9F">
        <w:rPr>
          <w:spacing w:val="-2"/>
          <w:szCs w:val="20"/>
          <w:rtl/>
        </w:rPr>
        <w:t>12</w:t>
      </w:r>
      <w:r w:rsidRPr="004F2E9F">
        <w:rPr>
          <w:spacing w:val="-2"/>
          <w:rtl/>
        </w:rPr>
        <w:t>/</w:t>
      </w:r>
      <w:r w:rsidRPr="004F2E9F">
        <w:rPr>
          <w:spacing w:val="-2"/>
          <w:szCs w:val="20"/>
          <w:rtl/>
        </w:rPr>
        <w:t>7</w:t>
      </w:r>
      <w:r w:rsidRPr="004F2E9F">
        <w:rPr>
          <w:spacing w:val="-2"/>
          <w:rtl/>
        </w:rPr>
        <w:t xml:space="preserve"> المؤرخ </w:t>
      </w:r>
      <w:r w:rsidRPr="004F2E9F">
        <w:rPr>
          <w:spacing w:val="-2"/>
          <w:szCs w:val="20"/>
          <w:rtl/>
        </w:rPr>
        <w:t>1</w:t>
      </w:r>
      <w:r w:rsidRPr="004F2E9F">
        <w:rPr>
          <w:spacing w:val="-2"/>
          <w:rtl/>
        </w:rPr>
        <w:t xml:space="preserve"> تشرين الأول/أكتوبر </w:t>
      </w:r>
      <w:r w:rsidRPr="004F2E9F">
        <w:rPr>
          <w:spacing w:val="-2"/>
          <w:szCs w:val="20"/>
          <w:rtl/>
        </w:rPr>
        <w:t>2009</w:t>
      </w:r>
      <w:r w:rsidRPr="004F2E9F">
        <w:rPr>
          <w:spacing w:val="-2"/>
          <w:rtl/>
        </w:rPr>
        <w:t>، و</w:t>
      </w:r>
      <w:r w:rsidRPr="004F2E9F">
        <w:rPr>
          <w:spacing w:val="-2"/>
          <w:szCs w:val="20"/>
          <w:rtl/>
        </w:rPr>
        <w:t>15</w:t>
      </w:r>
      <w:r w:rsidRPr="004F2E9F">
        <w:rPr>
          <w:spacing w:val="-2"/>
          <w:rtl/>
        </w:rPr>
        <w:t>/</w:t>
      </w:r>
      <w:r w:rsidRPr="004F2E9F">
        <w:rPr>
          <w:spacing w:val="-2"/>
          <w:szCs w:val="20"/>
          <w:rtl/>
        </w:rPr>
        <w:t>10</w:t>
      </w:r>
      <w:r w:rsidRPr="004F2E9F">
        <w:rPr>
          <w:spacing w:val="-2"/>
          <w:rtl/>
        </w:rPr>
        <w:t xml:space="preserve"> المؤرخ </w:t>
      </w:r>
      <w:r w:rsidRPr="004F2E9F">
        <w:rPr>
          <w:spacing w:val="-2"/>
          <w:szCs w:val="20"/>
          <w:rtl/>
        </w:rPr>
        <w:t>30</w:t>
      </w:r>
      <w:r w:rsidRPr="004F2E9F">
        <w:rPr>
          <w:spacing w:val="-2"/>
          <w:rtl/>
        </w:rPr>
        <w:t xml:space="preserve"> أيلول/سبتمبر </w:t>
      </w:r>
      <w:r w:rsidRPr="004F2E9F">
        <w:rPr>
          <w:spacing w:val="-2"/>
          <w:szCs w:val="20"/>
          <w:rtl/>
        </w:rPr>
        <w:t>2010</w:t>
      </w:r>
      <w:r w:rsidRPr="004F2E9F">
        <w:rPr>
          <w:spacing w:val="-2"/>
          <w:rtl/>
        </w:rPr>
        <w:t>، و</w:t>
      </w:r>
      <w:r w:rsidRPr="004F2E9F">
        <w:rPr>
          <w:spacing w:val="-2"/>
          <w:szCs w:val="20"/>
          <w:rtl/>
        </w:rPr>
        <w:t>29</w:t>
      </w:r>
      <w:r w:rsidRPr="004F2E9F">
        <w:rPr>
          <w:spacing w:val="-2"/>
          <w:rtl/>
        </w:rPr>
        <w:t>/</w:t>
      </w:r>
      <w:r w:rsidRPr="004F2E9F">
        <w:rPr>
          <w:spacing w:val="-2"/>
          <w:szCs w:val="20"/>
          <w:rtl/>
        </w:rPr>
        <w:t>5</w:t>
      </w:r>
      <w:r w:rsidRPr="004F2E9F">
        <w:rPr>
          <w:spacing w:val="-2"/>
          <w:rtl/>
        </w:rPr>
        <w:t xml:space="preserve"> المؤرخ </w:t>
      </w:r>
      <w:r w:rsidRPr="004F2E9F">
        <w:rPr>
          <w:spacing w:val="-2"/>
          <w:szCs w:val="20"/>
          <w:rtl/>
        </w:rPr>
        <w:t>2</w:t>
      </w:r>
      <w:r w:rsidRPr="004F2E9F">
        <w:rPr>
          <w:spacing w:val="-2"/>
          <w:rtl/>
        </w:rPr>
        <w:t xml:space="preserve"> تموز/يوليه </w:t>
      </w:r>
      <w:r w:rsidRPr="004F2E9F">
        <w:rPr>
          <w:spacing w:val="-2"/>
          <w:szCs w:val="20"/>
          <w:rtl/>
        </w:rPr>
        <w:t>2015</w:t>
      </w:r>
      <w:r w:rsidRPr="004F2E9F">
        <w:rPr>
          <w:spacing w:val="-2"/>
          <w:rtl/>
        </w:rPr>
        <w:t>، و</w:t>
      </w:r>
      <w:r w:rsidRPr="004F2E9F">
        <w:rPr>
          <w:spacing w:val="-2"/>
          <w:szCs w:val="20"/>
          <w:rtl/>
        </w:rPr>
        <w:t>35</w:t>
      </w:r>
      <w:r w:rsidRPr="004F2E9F">
        <w:rPr>
          <w:spacing w:val="-2"/>
          <w:rtl/>
        </w:rPr>
        <w:t>/</w:t>
      </w:r>
      <w:r w:rsidRPr="004F2E9F">
        <w:rPr>
          <w:spacing w:val="-2"/>
          <w:szCs w:val="20"/>
          <w:rtl/>
        </w:rPr>
        <w:t>9</w:t>
      </w:r>
      <w:r w:rsidRPr="004F2E9F">
        <w:rPr>
          <w:spacing w:val="-2"/>
          <w:rtl/>
        </w:rPr>
        <w:t xml:space="preserve"> المؤرخ </w:t>
      </w:r>
      <w:r w:rsidRPr="004F2E9F">
        <w:rPr>
          <w:spacing w:val="-2"/>
          <w:szCs w:val="20"/>
          <w:rtl/>
        </w:rPr>
        <w:t>22</w:t>
      </w:r>
      <w:r w:rsidRPr="004F2E9F">
        <w:rPr>
          <w:spacing w:val="-2"/>
          <w:rtl/>
        </w:rPr>
        <w:t xml:space="preserve"> حزيران/يونيه </w:t>
      </w:r>
      <w:r w:rsidRPr="004F2E9F">
        <w:rPr>
          <w:spacing w:val="-2"/>
          <w:szCs w:val="20"/>
          <w:rtl/>
        </w:rPr>
        <w:t>2017</w:t>
      </w:r>
      <w:r w:rsidRPr="004F2E9F">
        <w:rPr>
          <w:spacing w:val="-2"/>
          <w:rtl/>
        </w:rPr>
        <w:t xml:space="preserve">، وقرار الجمعية العامة </w:t>
      </w:r>
      <w:r w:rsidRPr="004F2E9F">
        <w:rPr>
          <w:spacing w:val="-2"/>
          <w:szCs w:val="20"/>
          <w:rtl/>
        </w:rPr>
        <w:t>65</w:t>
      </w:r>
      <w:r w:rsidRPr="004F2E9F">
        <w:rPr>
          <w:spacing w:val="-2"/>
          <w:rtl/>
        </w:rPr>
        <w:t>/</w:t>
      </w:r>
      <w:r w:rsidRPr="004F2E9F">
        <w:rPr>
          <w:spacing w:val="-2"/>
          <w:szCs w:val="20"/>
          <w:rtl/>
        </w:rPr>
        <w:t>215</w:t>
      </w:r>
      <w:r w:rsidRPr="004F2E9F">
        <w:rPr>
          <w:spacing w:val="-2"/>
          <w:rtl/>
        </w:rPr>
        <w:t xml:space="preserve"> المؤرخ </w:t>
      </w:r>
      <w:r w:rsidRPr="004F2E9F">
        <w:rPr>
          <w:spacing w:val="-2"/>
          <w:szCs w:val="20"/>
          <w:rtl/>
        </w:rPr>
        <w:t>21</w:t>
      </w:r>
      <w:r w:rsidRPr="004F2E9F">
        <w:rPr>
          <w:spacing w:val="-2"/>
          <w:rtl/>
        </w:rPr>
        <w:t xml:space="preserve"> كانون الأول/ديسمبر </w:t>
      </w:r>
      <w:r w:rsidRPr="004F2E9F">
        <w:rPr>
          <w:spacing w:val="-2"/>
          <w:szCs w:val="20"/>
          <w:rtl/>
        </w:rPr>
        <w:t>2010</w:t>
      </w:r>
      <w:r w:rsidRPr="004F2E9F">
        <w:rPr>
          <w:spacing w:val="-2"/>
          <w:rtl/>
        </w:rPr>
        <w:t>،</w:t>
      </w:r>
    </w:p>
    <w:p w14:paraId="25707A39" w14:textId="77777777" w:rsidR="003C20C1" w:rsidRPr="00490809" w:rsidRDefault="003C20C1" w:rsidP="003C20C1">
      <w:pPr>
        <w:pStyle w:val="SingleTxtGA"/>
        <w:spacing w:after="100" w:line="355" w:lineRule="exact"/>
      </w:pPr>
      <w:r w:rsidRPr="00490809">
        <w:rPr>
          <w:i/>
          <w:iCs/>
          <w:rtl/>
        </w:rPr>
        <w:tab/>
        <w:t>وإذ يشير كذلك</w:t>
      </w:r>
      <w:r w:rsidRPr="00490809">
        <w:rPr>
          <w:rtl/>
        </w:rPr>
        <w:t xml:space="preserve"> إلى أن جميع حقوق الإنسان والحريات الأساسية عالمية وغير قابلة للتجزئة ومترابطة ومتشابكة،</w:t>
      </w:r>
    </w:p>
    <w:p w14:paraId="670D9FEA" w14:textId="77777777" w:rsidR="003C20C1" w:rsidRPr="00490809" w:rsidRDefault="003C20C1" w:rsidP="003C20C1">
      <w:pPr>
        <w:pStyle w:val="SingleTxtGA"/>
        <w:spacing w:after="100" w:line="355" w:lineRule="exact"/>
      </w:pPr>
      <w:r w:rsidRPr="00490809">
        <w:rPr>
          <w:i/>
          <w:iCs/>
          <w:rtl/>
        </w:rPr>
        <w:tab/>
        <w:t>وإذ يشير</w:t>
      </w:r>
      <w:r w:rsidRPr="00490809">
        <w:rPr>
          <w:rtl/>
        </w:rPr>
        <w:t xml:space="preserve"> إلى الاستراتيجية العالمية لمنظمة الصحة العالمية لمكافحة الجذام للفترة </w:t>
      </w:r>
      <w:r w:rsidRPr="00490809">
        <w:rPr>
          <w:szCs w:val="20"/>
          <w:rtl/>
        </w:rPr>
        <w:t>2016</w:t>
      </w:r>
      <w:r w:rsidRPr="00490809">
        <w:rPr>
          <w:rtl/>
        </w:rPr>
        <w:t>-</w:t>
      </w:r>
      <w:r w:rsidRPr="00490809">
        <w:rPr>
          <w:szCs w:val="20"/>
          <w:rtl/>
        </w:rPr>
        <w:t>2020</w:t>
      </w:r>
      <w:r w:rsidRPr="00490809">
        <w:rPr>
          <w:rtl/>
        </w:rPr>
        <w:t>، وإذ يشاطر التطلع المشترك إلى الإسراع نحو عالم خالٍ من الجذام،</w:t>
      </w:r>
    </w:p>
    <w:p w14:paraId="10BCD197" w14:textId="77777777" w:rsidR="003C20C1" w:rsidRPr="00490809" w:rsidRDefault="003C20C1" w:rsidP="003C20C1">
      <w:pPr>
        <w:pStyle w:val="SingleTxtGA"/>
        <w:spacing w:after="100" w:line="355" w:lineRule="exact"/>
      </w:pPr>
      <w:r w:rsidRPr="00490809">
        <w:rPr>
          <w:i/>
          <w:iCs/>
          <w:rtl/>
        </w:rPr>
        <w:tab/>
        <w:t>وإذ يشير أيضاً</w:t>
      </w:r>
      <w:r w:rsidRPr="00490809">
        <w:rPr>
          <w:rtl/>
        </w:rPr>
        <w:t xml:space="preserve"> إلى أن الجذام قابل للشفاء وأن حقوق الإنسان للمصابين بالجذام يمكن أن تحظى بحماية أفضل بتقديم العلاج في المراحل المبكرة، مما يمكن أن يمنع الإعاقة،</w:t>
      </w:r>
    </w:p>
    <w:p w14:paraId="36C151D1" w14:textId="77777777" w:rsidR="003C20C1" w:rsidRPr="00490809" w:rsidRDefault="003C20C1" w:rsidP="003C20C1">
      <w:pPr>
        <w:pStyle w:val="SingleTxtGA"/>
        <w:spacing w:after="100" w:line="355" w:lineRule="exact"/>
      </w:pPr>
      <w:r w:rsidRPr="00490809">
        <w:rPr>
          <w:i/>
          <w:iCs/>
          <w:rtl/>
        </w:rPr>
        <w:tab/>
        <w:t>وإذ يساوره بالغ القلق</w:t>
      </w:r>
      <w:r w:rsidRPr="00490809">
        <w:rPr>
          <w:rtl/>
        </w:rPr>
        <w:t xml:space="preserve"> لأن الأشخاص المصابين بالجذام وأفراد أسرهم في أنحاء مختلفة من العالم واجهوا ولا يزالون يواجهون عقبات تحول دون مشاركتهم كأعضاء متساوين في المجتمع، بما في ذلك العزل والتمييز وانتهاكات وتجاوزات حقوق الإنسان الخاصة بهم، مما يجعلهم في حالة ضعف، وإذ يدرك أن هناك حاجة إلى مزيد من الاهتمام للتصدي لهذه التحديات،</w:t>
      </w:r>
    </w:p>
    <w:p w14:paraId="316C8F1A" w14:textId="77777777" w:rsidR="003C20C1" w:rsidRPr="00490809" w:rsidRDefault="003C20C1" w:rsidP="003C20C1">
      <w:pPr>
        <w:pStyle w:val="SingleTxtGA"/>
        <w:spacing w:after="100" w:line="355" w:lineRule="exact"/>
      </w:pPr>
      <w:r w:rsidRPr="00490809">
        <w:rPr>
          <w:i/>
          <w:iCs/>
          <w:rtl/>
        </w:rPr>
        <w:tab/>
        <w:t>وإذ يؤكد من جديد</w:t>
      </w:r>
      <w:r w:rsidRPr="00490809">
        <w:rPr>
          <w:rtl/>
        </w:rPr>
        <w:t xml:space="preserve"> أن الأشخاص المصابين بالجذام وأفراد أسرهم ينبغي أن يُعاملوا معاملة كريمة وأن من حقهم التمتع بحقوق الإنسان والحريات الأساسية كافة بموجب القانون العرفي الدولي والاتفاقيات ذات الصلة والدساتير والقوانين الوطنية،</w:t>
      </w:r>
    </w:p>
    <w:p w14:paraId="2CBA998F" w14:textId="77777777" w:rsidR="003C20C1" w:rsidRPr="00490809" w:rsidRDefault="003C20C1" w:rsidP="003C20C1">
      <w:pPr>
        <w:pStyle w:val="SingleTxtGA"/>
        <w:spacing w:after="100" w:line="355" w:lineRule="exact"/>
      </w:pPr>
      <w:r w:rsidRPr="00490809">
        <w:rPr>
          <w:i/>
          <w:iCs/>
          <w:rtl/>
        </w:rPr>
        <w:tab/>
        <w:t>وإذ يسلم</w:t>
      </w:r>
      <w:r w:rsidRPr="00490809">
        <w:rPr>
          <w:rtl/>
        </w:rPr>
        <w:t xml:space="preserve"> بأن الأشخاص المصابين بالجذام وأفراد أسرهم ما زالوا يواجهون أشكالاً متعددة من التحيز والتمييز الناجمة عن المعلومات المضللة عن المرض وسوء فهمه في جميع أنحاء العالم،</w:t>
      </w:r>
    </w:p>
    <w:p w14:paraId="0DA1D6DF" w14:textId="77777777" w:rsidR="003C20C1" w:rsidRPr="00490809" w:rsidRDefault="003C20C1" w:rsidP="003C20C1">
      <w:pPr>
        <w:pStyle w:val="SingleTxtGA"/>
        <w:spacing w:after="100" w:line="355" w:lineRule="exact"/>
      </w:pPr>
      <w:r w:rsidRPr="00490809">
        <w:rPr>
          <w:i/>
          <w:iCs/>
          <w:rtl/>
        </w:rPr>
        <w:tab/>
        <w:t>وإذ يسلم أيضاً</w:t>
      </w:r>
      <w:r w:rsidRPr="00490809">
        <w:rPr>
          <w:rtl/>
        </w:rPr>
        <w:t xml:space="preserve"> بالحاجة إلى اهتمام خاص لمكافحة جميع أشكال التمييز ضد الأشخاص المصابين بالجذام وأفراد أسرهم،</w:t>
      </w:r>
    </w:p>
    <w:p w14:paraId="14BCED46" w14:textId="77777777" w:rsidR="003C20C1" w:rsidRPr="00490809" w:rsidRDefault="003C20C1" w:rsidP="003C20C1">
      <w:pPr>
        <w:pStyle w:val="SingleTxtGA"/>
        <w:spacing w:after="100" w:line="355" w:lineRule="exact"/>
      </w:pPr>
      <w:r w:rsidRPr="00490809">
        <w:rPr>
          <w:i/>
          <w:iCs/>
          <w:rtl/>
        </w:rPr>
        <w:tab/>
        <w:t>وإذ يضع في اعتباره</w:t>
      </w:r>
      <w:r w:rsidRPr="00490809">
        <w:rPr>
          <w:rtl/>
        </w:rPr>
        <w:t xml:space="preserve"> الحاجة إلى تكثيف الجهود الرامية إلى القضاء على جميع أشكال التحيز والتمييز ضد الأشخاص المصابين بالجُذام وأفراد أسرهم وتعزيز السياسات التي تيسّر اندماجهم، في جميع أنحاء العالم.</w:t>
      </w:r>
    </w:p>
    <w:p w14:paraId="2EE75C1D" w14:textId="77777777" w:rsidR="003C20C1" w:rsidRPr="00490809" w:rsidRDefault="003C20C1" w:rsidP="003C20C1">
      <w:pPr>
        <w:pStyle w:val="SingleTxtGA"/>
        <w:spacing w:after="100" w:line="355" w:lineRule="exact"/>
      </w:pPr>
      <w:r w:rsidRPr="00490809">
        <w:rPr>
          <w:i/>
          <w:iCs/>
          <w:rtl/>
        </w:rPr>
        <w:tab/>
        <w:t>وإذ يشدد</w:t>
      </w:r>
      <w:r w:rsidRPr="00490809">
        <w:rPr>
          <w:rtl/>
        </w:rPr>
        <w:t xml:space="preserve"> على أهمية تنفيذ المبادئ والمبادئ التوجيهية للقضاء على التمييز ضد الأشخاص المصابين بالجذام وأفراد أسرهم، التي قدمتها اللجنة الاستشارية في عام </w:t>
      </w:r>
      <w:r w:rsidRPr="00490809">
        <w:rPr>
          <w:szCs w:val="20"/>
          <w:rtl/>
        </w:rPr>
        <w:t>2010</w:t>
      </w:r>
      <w:r w:rsidRPr="00490809">
        <w:rPr>
          <w:szCs w:val="30"/>
          <w:vertAlign w:val="superscript"/>
          <w:rtl/>
        </w:rPr>
        <w:t>(</w:t>
      </w:r>
      <w:r w:rsidRPr="00490809">
        <w:rPr>
          <w:position w:val="2"/>
          <w:szCs w:val="20"/>
          <w:vertAlign w:val="superscript"/>
        </w:rPr>
        <w:footnoteReference w:id="3"/>
      </w:r>
      <w:r w:rsidRPr="00490809">
        <w:rPr>
          <w:szCs w:val="30"/>
          <w:vertAlign w:val="superscript"/>
          <w:rtl/>
        </w:rPr>
        <w:t>)</w:t>
      </w:r>
      <w:r w:rsidRPr="00490809">
        <w:rPr>
          <w:rtl/>
        </w:rPr>
        <w:t xml:space="preserve">، والتي شُجِّعت الحكومات، وهيئات الأمم المتحدة ووكالاتها المتخصصة وصناديقها وبرامجها ذات الصلة، والمنظمات الحكومية الدولية الأخرى، والمؤسسات الوطنية لحقوق الإنسان على إيلائها الاعتبار الواجب في قرار المجلس </w:t>
      </w:r>
      <w:r w:rsidRPr="00490809">
        <w:rPr>
          <w:szCs w:val="20"/>
          <w:rtl/>
        </w:rPr>
        <w:t>15</w:t>
      </w:r>
      <w:r w:rsidRPr="00490809">
        <w:rPr>
          <w:rtl/>
        </w:rPr>
        <w:t>/</w:t>
      </w:r>
      <w:r w:rsidRPr="00490809">
        <w:rPr>
          <w:szCs w:val="20"/>
          <w:rtl/>
        </w:rPr>
        <w:t>10</w:t>
      </w:r>
      <w:r w:rsidRPr="00490809">
        <w:rPr>
          <w:rtl/>
        </w:rPr>
        <w:t xml:space="preserve"> وقرار الجمعية العامة </w:t>
      </w:r>
      <w:r w:rsidRPr="00490809">
        <w:rPr>
          <w:szCs w:val="20"/>
          <w:rtl/>
        </w:rPr>
        <w:t>65</w:t>
      </w:r>
      <w:r w:rsidRPr="00490809">
        <w:rPr>
          <w:rtl/>
        </w:rPr>
        <w:t>/</w:t>
      </w:r>
      <w:r w:rsidRPr="00490809">
        <w:rPr>
          <w:szCs w:val="20"/>
          <w:rtl/>
        </w:rPr>
        <w:t>215</w:t>
      </w:r>
      <w:r w:rsidRPr="00490809">
        <w:rPr>
          <w:rtl/>
        </w:rPr>
        <w:t>،</w:t>
      </w:r>
      <w:bookmarkStart w:id="1" w:name="_Ref485570367"/>
      <w:bookmarkEnd w:id="1"/>
    </w:p>
    <w:p w14:paraId="7CC59B86" w14:textId="6EFE8EA7" w:rsidR="003C20C1" w:rsidRPr="00490809" w:rsidRDefault="003C20C1" w:rsidP="003C20C1">
      <w:pPr>
        <w:pStyle w:val="SingleTxtGA"/>
        <w:spacing w:after="100" w:line="355" w:lineRule="exact"/>
      </w:pPr>
      <w:r w:rsidRPr="00490809">
        <w:rPr>
          <w:i/>
          <w:iCs/>
          <w:rtl/>
        </w:rPr>
        <w:tab/>
        <w:t>وإذ يشير</w:t>
      </w:r>
      <w:r w:rsidRPr="00490809">
        <w:rPr>
          <w:rtl/>
        </w:rPr>
        <w:t xml:space="preserve"> إلى التقرير النهائي للجنة الاستشارية، المقدم عملاً بقرار مجلس حقوق الإنسان</w:t>
      </w:r>
      <w:r w:rsidR="004F2E9F">
        <w:rPr>
          <w:rFonts w:hint="cs"/>
          <w:rtl/>
        </w:rPr>
        <w:t> </w:t>
      </w:r>
      <w:r w:rsidRPr="00490809">
        <w:rPr>
          <w:szCs w:val="20"/>
          <w:rtl/>
        </w:rPr>
        <w:t>29</w:t>
      </w:r>
      <w:r w:rsidRPr="00490809">
        <w:rPr>
          <w:rtl/>
        </w:rPr>
        <w:t>/</w:t>
      </w:r>
      <w:r w:rsidRPr="00490809">
        <w:rPr>
          <w:szCs w:val="20"/>
          <w:rtl/>
        </w:rPr>
        <w:t>5</w:t>
      </w:r>
      <w:r w:rsidRPr="00490809">
        <w:rPr>
          <w:rtl/>
        </w:rPr>
        <w:t>، والتوصيات الواردة فيه</w:t>
      </w:r>
      <w:r w:rsidRPr="00490809">
        <w:rPr>
          <w:szCs w:val="30"/>
          <w:vertAlign w:val="superscript"/>
          <w:rtl/>
        </w:rPr>
        <w:t>(</w:t>
      </w:r>
      <w:r w:rsidRPr="00490809">
        <w:rPr>
          <w:position w:val="2"/>
          <w:szCs w:val="20"/>
          <w:vertAlign w:val="superscript"/>
        </w:rPr>
        <w:footnoteReference w:id="4"/>
      </w:r>
      <w:r w:rsidRPr="00490809">
        <w:rPr>
          <w:szCs w:val="30"/>
          <w:vertAlign w:val="superscript"/>
          <w:rtl/>
        </w:rPr>
        <w:t>)</w:t>
      </w:r>
      <w:r w:rsidRPr="00490809">
        <w:rPr>
          <w:rtl/>
        </w:rPr>
        <w:t xml:space="preserve">، </w:t>
      </w:r>
    </w:p>
    <w:p w14:paraId="43EC5F76" w14:textId="77777777" w:rsidR="003C20C1" w:rsidRPr="00490809" w:rsidRDefault="003C20C1" w:rsidP="003C20C1">
      <w:pPr>
        <w:pStyle w:val="SingleTxtGA"/>
        <w:spacing w:after="100" w:line="355" w:lineRule="exact"/>
      </w:pPr>
      <w:r w:rsidRPr="00490809">
        <w:rPr>
          <w:rtl/>
        </w:rPr>
        <w:tab/>
      </w:r>
      <w:r w:rsidRPr="00490809">
        <w:rPr>
          <w:szCs w:val="20"/>
          <w:rtl/>
        </w:rPr>
        <w:t>1</w:t>
      </w:r>
      <w:r w:rsidRPr="00490809">
        <w:rPr>
          <w:rtl/>
        </w:rPr>
        <w:t>-</w:t>
      </w:r>
      <w:r w:rsidRPr="00490809">
        <w:rPr>
          <w:i/>
          <w:iCs/>
          <w:rtl/>
        </w:rPr>
        <w:tab/>
        <w:t>يرحب</w:t>
      </w:r>
      <w:r w:rsidRPr="00490809">
        <w:rPr>
          <w:rtl/>
        </w:rPr>
        <w:t xml:space="preserve"> بعمل المقرر(ة) الخاص(ة) المعني(ة) بالقضاء على التمييز ضد الأشخاص المصابين بالجذام وأفراد أسرهم؛</w:t>
      </w:r>
    </w:p>
    <w:p w14:paraId="5E170E67" w14:textId="77777777" w:rsidR="003C20C1" w:rsidRPr="00490809" w:rsidRDefault="003C20C1" w:rsidP="003C20C1">
      <w:pPr>
        <w:pStyle w:val="SingleTxtGA"/>
        <w:spacing w:after="100" w:line="355" w:lineRule="exact"/>
      </w:pPr>
      <w:r w:rsidRPr="00490809">
        <w:rPr>
          <w:rtl/>
        </w:rPr>
        <w:tab/>
      </w:r>
      <w:r w:rsidRPr="00490809">
        <w:rPr>
          <w:szCs w:val="20"/>
          <w:rtl/>
        </w:rPr>
        <w:t>2</w:t>
      </w:r>
      <w:r w:rsidRPr="00490809">
        <w:rPr>
          <w:rtl/>
        </w:rPr>
        <w:t>-</w:t>
      </w:r>
      <w:r w:rsidRPr="00490809">
        <w:rPr>
          <w:i/>
          <w:iCs/>
          <w:rtl/>
        </w:rPr>
        <w:tab/>
        <w:t>يقرر</w:t>
      </w:r>
      <w:r w:rsidRPr="00490809">
        <w:rPr>
          <w:rtl/>
        </w:rPr>
        <w:t xml:space="preserve"> تمديد ولاية المقرر(ة) الخاص(ة) المعني(ة) بالقضاء على التمييز ضد الأشخاص المصابين بالجذام وأفراد أسرهم لمدة ثلاث سنوات يتولى/تتولى خلالها المهام التالية:</w:t>
      </w:r>
    </w:p>
    <w:p w14:paraId="35906BC5" w14:textId="77777777" w:rsidR="003C20C1" w:rsidRPr="00490809" w:rsidRDefault="003C20C1" w:rsidP="003C20C1">
      <w:pPr>
        <w:pStyle w:val="SingleTxtGA"/>
        <w:spacing w:after="100" w:line="355" w:lineRule="exact"/>
      </w:pPr>
      <w:r w:rsidRPr="00490809">
        <w:rPr>
          <w:rtl/>
        </w:rPr>
        <w:lastRenderedPageBreak/>
        <w:tab/>
        <w:t>(أ)</w:t>
      </w:r>
      <w:r w:rsidRPr="00490809">
        <w:rPr>
          <w:rtl/>
        </w:rPr>
        <w:tab/>
        <w:t>متابعة ما تحرزه الدول من تقدم وما تتخذه من تدابير فيما يتعلق بتنفيذ المبادئ والمبادئ التوجيهية للقضاء على التمييز ضد الأشخاص المصابين بالجُذام وأفراد أسرهم تنفيذاً فعالاً من أجل إعمال تمتع هؤلاء الأشخاص وأفراد أسرهم بحقوقهم الإنسانية في مناطق العالم كافة، وتقديم تقارير عن هذا التقدم وهذه التدابير، وتقديم توصيات إلى مجلس حقوق الإنسان في هذا الصدد؛</w:t>
      </w:r>
    </w:p>
    <w:p w14:paraId="0083430E" w14:textId="77777777" w:rsidR="003C20C1" w:rsidRPr="00490809" w:rsidRDefault="003C20C1" w:rsidP="003C20C1">
      <w:pPr>
        <w:pStyle w:val="SingleTxtGA"/>
        <w:spacing w:after="100" w:line="355" w:lineRule="exact"/>
      </w:pPr>
      <w:r w:rsidRPr="00490809">
        <w:rPr>
          <w:rtl/>
        </w:rPr>
        <w:tab/>
        <w:t>(ب)</w:t>
      </w:r>
      <w:r w:rsidRPr="00490809">
        <w:rPr>
          <w:rtl/>
        </w:rPr>
        <w:tab/>
        <w:t>الدخول في حوار وتشاور مع الدول والجهات المعنية الأخرى صاحبة المصلحة، بما فيها هيئات الأمم المتحدة ووكالاتها المتخصصة وصناديقها وبرامجها، ولا سيما منظمة الصحة العالمية، والمنظمات الحكومية الدولية الأخرى، والآليات الإقليمية لحقوق الإنسان، والمؤسسات الوطنية لحقوق الإنسان، والمنظمات غير الحكومية لتحديد الممارسات الجيدة المتصلة بإعمال حقوق الأشخاص المصابين بالجُذام وأفراد أسرهم، وبمشاركتهم على قدم المساواة مع غيرهم من أفراد المجتمع بغية تحقيق عالم خالٍ من الجُذام، ولتبادل هذه الممارسات وتشجيعها؛</w:t>
      </w:r>
    </w:p>
    <w:p w14:paraId="46B0256F" w14:textId="77777777" w:rsidR="003C20C1" w:rsidRPr="00490809" w:rsidRDefault="003C20C1" w:rsidP="003C20C1">
      <w:pPr>
        <w:pStyle w:val="SingleTxtGA"/>
        <w:spacing w:after="100" w:line="355" w:lineRule="exact"/>
      </w:pPr>
      <w:r w:rsidRPr="00490809">
        <w:rPr>
          <w:rtl/>
        </w:rPr>
        <w:tab/>
        <w:t>(ج)</w:t>
      </w:r>
      <w:r w:rsidRPr="00490809">
        <w:rPr>
          <w:rtl/>
        </w:rPr>
        <w:tab/>
        <w:t>إذكاء الوعي بحقوق الأشخاص المصابين بالجُذام وأفراد أسرهم ومكافحة مظاهر الوصم والتحيز والتمييز والممارسات والمعتقدات التقليدية الضارة التي تحول دون تمتعهم بحقوق الإنسان والحريات الأساسية ومشاركتهم في المجتمع على قدم المساواة مع غيرهم؛</w:t>
      </w:r>
    </w:p>
    <w:p w14:paraId="6E98F9C0" w14:textId="77777777" w:rsidR="003C20C1" w:rsidRPr="00490809" w:rsidRDefault="003C20C1" w:rsidP="003C20C1">
      <w:pPr>
        <w:pStyle w:val="SingleTxtGA"/>
        <w:spacing w:after="100" w:line="355" w:lineRule="exact"/>
      </w:pPr>
      <w:r w:rsidRPr="00490809">
        <w:rPr>
          <w:rtl/>
        </w:rPr>
        <w:tab/>
        <w:t>(د)</w:t>
      </w:r>
      <w:r w:rsidRPr="00490809">
        <w:rPr>
          <w:rtl/>
        </w:rPr>
        <w:tab/>
        <w:t>مواصلة تقديم تقارير سنوية إلى مجلس حقوق الإنسان، وتقديم تقارير إلى الجمعية العامة أيضاً، بدءاً من دورتها السادسة والسبعين؛</w:t>
      </w:r>
    </w:p>
    <w:p w14:paraId="7DB22BAA" w14:textId="77777777" w:rsidR="003C20C1" w:rsidRPr="00490809" w:rsidRDefault="003C20C1" w:rsidP="003C20C1">
      <w:pPr>
        <w:pStyle w:val="SingleTxtGA"/>
        <w:spacing w:after="100" w:line="355" w:lineRule="exact"/>
      </w:pPr>
      <w:r w:rsidRPr="00490809">
        <w:rPr>
          <w:rtl/>
        </w:rPr>
        <w:tab/>
      </w:r>
      <w:r w:rsidRPr="00490809">
        <w:rPr>
          <w:szCs w:val="20"/>
          <w:rtl/>
        </w:rPr>
        <w:t>3</w:t>
      </w:r>
      <w:r w:rsidRPr="00490809">
        <w:rPr>
          <w:rtl/>
        </w:rPr>
        <w:t>-</w:t>
      </w:r>
      <w:r w:rsidRPr="00490809">
        <w:rPr>
          <w:i/>
          <w:iCs/>
          <w:rtl/>
        </w:rPr>
        <w:tab/>
        <w:t>يهيب</w:t>
      </w:r>
      <w:r w:rsidRPr="00490809">
        <w:rPr>
          <w:rtl/>
        </w:rPr>
        <w:t xml:space="preserve"> بجميع الدول أن تتعاون مع المقرر(ة) الخاص(ة) في الاضطلاع بولايته(ا)، بطرق منها تقديم جميع المعلومات المطلوبة، كما يهيب بها أن تنظر بجدية في الاستجابة لطلبات المقرر(ة) الخاص(ة) لزيارة بلدانها، وأن تنظر في تنفيذ التوصيات المقدمة في تقارير المكلف(ة) بالولاية؛</w:t>
      </w:r>
    </w:p>
    <w:p w14:paraId="37420EC5" w14:textId="77777777" w:rsidR="003C20C1" w:rsidRPr="00490809" w:rsidRDefault="003C20C1" w:rsidP="003C20C1">
      <w:pPr>
        <w:pStyle w:val="SingleTxtGA"/>
        <w:spacing w:after="100" w:line="355" w:lineRule="exact"/>
      </w:pPr>
      <w:r w:rsidRPr="00490809">
        <w:rPr>
          <w:rtl/>
        </w:rPr>
        <w:tab/>
      </w:r>
      <w:r w:rsidRPr="00490809">
        <w:rPr>
          <w:szCs w:val="20"/>
          <w:rtl/>
        </w:rPr>
        <w:t>4</w:t>
      </w:r>
      <w:r w:rsidRPr="00490809">
        <w:rPr>
          <w:rtl/>
        </w:rPr>
        <w:t>-</w:t>
      </w:r>
      <w:r w:rsidRPr="00490809">
        <w:rPr>
          <w:i/>
          <w:iCs/>
          <w:rtl/>
        </w:rPr>
        <w:tab/>
        <w:t>يشجع</w:t>
      </w:r>
      <w:r w:rsidRPr="00490809">
        <w:rPr>
          <w:rtl/>
        </w:rPr>
        <w:t xml:space="preserve"> جميع الجهات صاحبة المصلحة ذات الصلة، بما فيها هيئات الأمم المتحدة ووكالاتها المتخصصة وبرامجها وصناديقها، والمنظمات الدولية الأخرى، والآليات الإقليمية لحقوق الإنسان، والمؤسسات الوطنية لحقوق الإنسان، والمنظمات غير الحكومية على التعاون تعاوناً تاماً مع المقرر(ة) الخاص(ة) لتمكينه(ا) من إنجاز ولايته(ا)؛</w:t>
      </w:r>
    </w:p>
    <w:p w14:paraId="7C3D78B3" w14:textId="77777777" w:rsidR="003C20C1" w:rsidRPr="00490809" w:rsidRDefault="003C20C1" w:rsidP="003C20C1">
      <w:pPr>
        <w:pStyle w:val="SingleTxtGA"/>
        <w:spacing w:after="100" w:line="355" w:lineRule="exact"/>
        <w:rPr>
          <w:spacing w:val="-4"/>
        </w:rPr>
      </w:pPr>
      <w:r w:rsidRPr="00490809">
        <w:rPr>
          <w:spacing w:val="-4"/>
          <w:rtl/>
        </w:rPr>
        <w:tab/>
      </w:r>
      <w:r w:rsidRPr="00490809">
        <w:rPr>
          <w:spacing w:val="-4"/>
          <w:szCs w:val="20"/>
          <w:rtl/>
        </w:rPr>
        <w:t>5</w:t>
      </w:r>
      <w:r w:rsidRPr="00490809">
        <w:rPr>
          <w:spacing w:val="-4"/>
          <w:rtl/>
        </w:rPr>
        <w:t>-</w:t>
      </w:r>
      <w:r w:rsidRPr="00490809">
        <w:rPr>
          <w:i/>
          <w:iCs/>
          <w:spacing w:val="-4"/>
          <w:rtl/>
        </w:rPr>
        <w:tab/>
        <w:t>يطلب</w:t>
      </w:r>
      <w:r w:rsidRPr="00490809">
        <w:rPr>
          <w:spacing w:val="-4"/>
          <w:rtl/>
        </w:rPr>
        <w:t xml:space="preserve"> إلى الأمين العام ومفوضة الأمم المتحدة السامية لحقوق الإنسان أن يقدما إلى المقرر(ة) الخاص(ة) كل ما يلزمه(ا) من مساعدة بشرية وتقنية ومالية للاضطلاع بالولاية على نحو فعال؛</w:t>
      </w:r>
    </w:p>
    <w:p w14:paraId="5D4C62C3" w14:textId="173FE24C" w:rsidR="003C20C1" w:rsidRPr="00490809" w:rsidRDefault="003C20C1" w:rsidP="003C20C1">
      <w:pPr>
        <w:pStyle w:val="SingleTxtGA"/>
        <w:spacing w:after="100" w:line="355" w:lineRule="exact"/>
      </w:pPr>
      <w:r w:rsidRPr="00490809">
        <w:rPr>
          <w:rtl/>
        </w:rPr>
        <w:tab/>
      </w:r>
      <w:r w:rsidRPr="00490809">
        <w:rPr>
          <w:szCs w:val="20"/>
          <w:rtl/>
        </w:rPr>
        <w:t>6</w:t>
      </w:r>
      <w:r w:rsidRPr="00490809">
        <w:rPr>
          <w:rtl/>
        </w:rPr>
        <w:t>-</w:t>
      </w:r>
      <w:r w:rsidRPr="00490809">
        <w:rPr>
          <w:i/>
          <w:iCs/>
          <w:rtl/>
        </w:rPr>
        <w:tab/>
        <w:t>يشجع</w:t>
      </w:r>
      <w:r w:rsidRPr="00490809">
        <w:rPr>
          <w:rtl/>
        </w:rPr>
        <w:t xml:space="preserve"> المفوضة السامية والمقرر(ة) الخاص(ة) على مواصلة المشاورات مع مختلف أصحاب المصلحة، بالتعاون مع الدول ومع المنظمات الدولية ذات الصلة، مثل منظمة الصحة العالمية، والمنظمات غير الحكومية المعنية، بهدف القضاء على التمييز المتصل بالجذام، بسبل منها نشر المبادئ والمبادئ التوجيهية على نطاق واسع وتعميق فهمها بين الدول وجميع أصحاب المصلحة المعنيين الآخرين، بمشاركة ذات مغزى من المصابين بالجذام وأفراد أسرهم؛</w:t>
      </w:r>
    </w:p>
    <w:p w14:paraId="5675B6DE" w14:textId="77777777" w:rsidR="003C20C1" w:rsidRPr="00490809" w:rsidRDefault="003C20C1" w:rsidP="003C20C1">
      <w:pPr>
        <w:pStyle w:val="SingleTxtGA"/>
        <w:spacing w:after="100" w:line="355" w:lineRule="exact"/>
      </w:pPr>
      <w:r w:rsidRPr="00490809">
        <w:rPr>
          <w:rtl/>
        </w:rPr>
        <w:tab/>
      </w:r>
      <w:r w:rsidRPr="00490809">
        <w:rPr>
          <w:szCs w:val="20"/>
          <w:rtl/>
        </w:rPr>
        <w:t>7</w:t>
      </w:r>
      <w:r w:rsidRPr="00490809">
        <w:rPr>
          <w:rtl/>
        </w:rPr>
        <w:t>-</w:t>
      </w:r>
      <w:r w:rsidRPr="00490809">
        <w:rPr>
          <w:i/>
          <w:iCs/>
          <w:rtl/>
        </w:rPr>
        <w:tab/>
        <w:t>يشجع</w:t>
      </w:r>
      <w:r w:rsidRPr="00490809">
        <w:rPr>
          <w:rtl/>
        </w:rPr>
        <w:t xml:space="preserve"> الدول وجميع أصحاب المصلحة المعنيين، بما في ذلك هيئات الأمم المتحدة، ووكالاتها المتخصصة وصناديقها وبرامجها، مثل منظمة الصحة العالمية، والإجراءات الخاصة، والمنظمات الدولية الأخرى، والآليات الإقليمية لحقوق الإنسان، والمؤسسات الوطنية لحقوق الإنسان، والمنظمات غير الحكومية، على المشاركة في المشاورات؛</w:t>
      </w:r>
    </w:p>
    <w:p w14:paraId="7CF54F4B" w14:textId="77777777" w:rsidR="003C20C1" w:rsidRDefault="003C20C1" w:rsidP="003C20C1">
      <w:pPr>
        <w:pStyle w:val="SingleTxtGA"/>
        <w:spacing w:after="0"/>
        <w:rPr>
          <w:rtl/>
        </w:rPr>
      </w:pPr>
      <w:r w:rsidRPr="00490809">
        <w:rPr>
          <w:rtl/>
        </w:rPr>
        <w:tab/>
      </w:r>
      <w:r w:rsidRPr="00490809">
        <w:rPr>
          <w:szCs w:val="20"/>
          <w:rtl/>
        </w:rPr>
        <w:t>8</w:t>
      </w:r>
      <w:r w:rsidRPr="00490809">
        <w:rPr>
          <w:rtl/>
        </w:rPr>
        <w:t>-</w:t>
      </w:r>
      <w:r w:rsidRPr="00490809">
        <w:rPr>
          <w:i/>
          <w:iCs/>
          <w:rtl/>
        </w:rPr>
        <w:tab/>
        <w:t>يقرر</w:t>
      </w:r>
      <w:r w:rsidRPr="00490809">
        <w:rPr>
          <w:rtl/>
        </w:rPr>
        <w:t xml:space="preserve"> إبقاء المسألة قيد نظره.</w:t>
      </w:r>
    </w:p>
    <w:p w14:paraId="69EFD89E" w14:textId="77777777" w:rsidR="00673245" w:rsidRPr="00FC105F" w:rsidRDefault="003C20C1" w:rsidP="003C20C1">
      <w:pPr>
        <w:pStyle w:val="SingleTxtGA"/>
        <w:jc w:val="center"/>
        <w:rPr>
          <w:rtl/>
        </w:rPr>
      </w:pPr>
      <w:r w:rsidRPr="003C20C1">
        <w:rPr>
          <w:u w:val="single"/>
          <w:rtl/>
        </w:rPr>
        <w:tab/>
      </w:r>
      <w:r w:rsidRPr="003C20C1">
        <w:rPr>
          <w:u w:val="single"/>
          <w:rtl/>
        </w:rPr>
        <w:tab/>
      </w:r>
      <w:r w:rsidRPr="003C20C1">
        <w:rPr>
          <w:u w:val="single"/>
          <w:rtl/>
        </w:rPr>
        <w:tab/>
      </w:r>
    </w:p>
    <w:sectPr w:rsidR="00673245" w:rsidRPr="00FC105F" w:rsidSect="00F63A1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21DE" w14:textId="77777777" w:rsidR="00FF436C" w:rsidRPr="002901D9" w:rsidRDefault="00FF436C" w:rsidP="002901D9">
      <w:pPr>
        <w:spacing w:after="60" w:line="240" w:lineRule="auto"/>
        <w:rPr>
          <w:i/>
          <w:iCs/>
        </w:rPr>
      </w:pPr>
      <w:r>
        <w:rPr>
          <w:rFonts w:hint="cs"/>
          <w:i/>
          <w:iCs/>
          <w:rtl/>
        </w:rPr>
        <w:t>الحواشي</w:t>
      </w:r>
    </w:p>
  </w:endnote>
  <w:endnote w:type="continuationSeparator" w:id="0">
    <w:p w14:paraId="7CD83075" w14:textId="77777777" w:rsidR="00FF436C" w:rsidRDefault="00FF436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43BC" w14:textId="77777777" w:rsidR="00F63A12" w:rsidRPr="003C20C1" w:rsidRDefault="003C20C1" w:rsidP="003C20C1">
    <w:pPr>
      <w:pStyle w:val="Footer"/>
      <w:tabs>
        <w:tab w:val="right" w:pos="9598"/>
      </w:tabs>
      <w:rPr>
        <w:sz w:val="17"/>
      </w:rPr>
    </w:pPr>
    <w:r>
      <w:rPr>
        <w:sz w:val="17"/>
      </w:rPr>
      <w:t>GE.20-09175</w:t>
    </w:r>
    <w:r>
      <w:rPr>
        <w:sz w:val="17"/>
      </w:rPr>
      <w:tab/>
    </w:r>
    <w:r w:rsidRPr="003C20C1">
      <w:rPr>
        <w:b/>
        <w:sz w:val="18"/>
      </w:rPr>
      <w:fldChar w:fldCharType="begin"/>
    </w:r>
    <w:r w:rsidRPr="003C20C1">
      <w:rPr>
        <w:b/>
        <w:sz w:val="18"/>
      </w:rPr>
      <w:instrText xml:space="preserve"> PAGE  \* MERGEFORMAT </w:instrText>
    </w:r>
    <w:r w:rsidRPr="003C20C1">
      <w:rPr>
        <w:b/>
        <w:sz w:val="18"/>
      </w:rPr>
      <w:fldChar w:fldCharType="separate"/>
    </w:r>
    <w:r>
      <w:rPr>
        <w:b/>
        <w:sz w:val="18"/>
      </w:rPr>
      <w:t>2</w:t>
    </w:r>
    <w:r w:rsidRPr="003C20C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FEB0" w14:textId="77777777" w:rsidR="006959B0" w:rsidRPr="003C20C1" w:rsidRDefault="003C20C1" w:rsidP="006959B0">
    <w:pPr>
      <w:pStyle w:val="Footer"/>
      <w:tabs>
        <w:tab w:val="right" w:pos="9599"/>
      </w:tabs>
      <w:jc w:val="left"/>
      <w:rPr>
        <w:b/>
        <w:sz w:val="18"/>
        <w:lang w:val="en-US"/>
      </w:rPr>
    </w:pPr>
    <w:r w:rsidRPr="003C20C1">
      <w:rPr>
        <w:b/>
        <w:sz w:val="18"/>
        <w:lang w:val="en-US"/>
      </w:rPr>
      <w:fldChar w:fldCharType="begin"/>
    </w:r>
    <w:r w:rsidRPr="003C20C1">
      <w:rPr>
        <w:b/>
        <w:sz w:val="18"/>
        <w:lang w:val="en-US"/>
      </w:rPr>
      <w:instrText xml:space="preserve"> PAGE  \* MERGEFORMAT </w:instrText>
    </w:r>
    <w:r w:rsidRPr="003C20C1">
      <w:rPr>
        <w:b/>
        <w:sz w:val="18"/>
        <w:lang w:val="en-US"/>
      </w:rPr>
      <w:fldChar w:fldCharType="separate"/>
    </w:r>
    <w:r w:rsidRPr="003C20C1">
      <w:rPr>
        <w:b/>
        <w:noProof/>
        <w:sz w:val="18"/>
        <w:lang w:val="en-US"/>
      </w:rPr>
      <w:t>3</w:t>
    </w:r>
    <w:r w:rsidRPr="003C20C1">
      <w:rPr>
        <w:b/>
        <w:sz w:val="18"/>
        <w:lang w:val="en-US"/>
      </w:rPr>
      <w:fldChar w:fldCharType="end"/>
    </w:r>
    <w:r>
      <w:rPr>
        <w:b/>
        <w:sz w:val="18"/>
        <w:lang w:val="en-US"/>
      </w:rPr>
      <w:tab/>
    </w:r>
    <w:r>
      <w:rPr>
        <w:sz w:val="17"/>
        <w:lang w:val="en-US"/>
      </w:rPr>
      <w:t>GE.20-09175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8CF8" w14:textId="4BF5CAF7" w:rsidR="00FD4BC9" w:rsidRDefault="00F63A12" w:rsidP="00F6741C">
    <w:pPr>
      <w:pStyle w:val="Footer"/>
      <w:spacing w:before="360"/>
      <w:jc w:val="right"/>
      <w:rPr>
        <w:sz w:val="20"/>
        <w:szCs w:val="20"/>
      </w:rPr>
    </w:pPr>
    <w:r>
      <w:rPr>
        <w:sz w:val="20"/>
        <w:szCs w:val="20"/>
      </w:rPr>
      <w:t>GE.20-09175</w:t>
    </w:r>
    <w:r w:rsidR="008C700A">
      <w:rPr>
        <w:noProof/>
      </w:rPr>
      <w:drawing>
        <wp:anchor distT="0" distB="0" distL="114300" distR="114300" simplePos="0" relativeHeight="251657728" behindDoc="1" locked="1" layoutInCell="0" allowOverlap="1" wp14:anchorId="2183CC61" wp14:editId="1918154C">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782CEF24" w14:textId="01AD3A53" w:rsidR="00F63A12" w:rsidRPr="00F63A12" w:rsidRDefault="00F63A12" w:rsidP="00F63A12">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8C700A">
      <w:rPr>
        <w:noProof/>
      </w:rPr>
      <w:drawing>
        <wp:anchor distT="0" distB="0" distL="114300" distR="114300" simplePos="0" relativeHeight="251659776" behindDoc="0" locked="0" layoutInCell="1" allowOverlap="1" wp14:anchorId="58445B7D" wp14:editId="618D3814">
          <wp:simplePos x="0" y="0"/>
          <wp:positionH relativeFrom="page">
            <wp:posOffset>719455</wp:posOffset>
          </wp:positionH>
          <wp:positionV relativeFrom="page">
            <wp:posOffset>9611995</wp:posOffset>
          </wp:positionV>
          <wp:extent cx="561340" cy="561340"/>
          <wp:effectExtent l="0" t="0" r="0" b="0"/>
          <wp:wrapNone/>
          <wp:docPr id="2" name="Picture 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9958" w14:textId="77777777" w:rsidR="00FF436C" w:rsidRPr="0054762C" w:rsidRDefault="00FF436C" w:rsidP="000E524A">
      <w:pPr>
        <w:pStyle w:val="Footer"/>
        <w:bidi/>
        <w:spacing w:after="80" w:line="200" w:lineRule="exact"/>
        <w:ind w:left="680"/>
      </w:pPr>
      <w:r>
        <w:rPr>
          <w:rtl/>
        </w:rPr>
        <w:t>__________</w:t>
      </w:r>
    </w:p>
  </w:footnote>
  <w:footnote w:type="continuationSeparator" w:id="0">
    <w:p w14:paraId="7AD06E96" w14:textId="77777777" w:rsidR="00FF436C" w:rsidRDefault="00FF436C" w:rsidP="00656392">
      <w:pPr>
        <w:spacing w:line="240" w:lineRule="auto"/>
      </w:pPr>
      <w:r>
        <w:continuationSeparator/>
      </w:r>
    </w:p>
  </w:footnote>
  <w:footnote w:id="1">
    <w:p w14:paraId="5176A85F" w14:textId="77777777" w:rsidR="003C20C1" w:rsidRPr="00FD78B8" w:rsidRDefault="003C20C1" w:rsidP="003C20C1">
      <w:pPr>
        <w:pStyle w:val="FootnoteText1"/>
        <w:rPr>
          <w:rtl/>
        </w:rPr>
      </w:pPr>
      <w:r>
        <w:rPr>
          <w:rtl/>
        </w:rPr>
        <w:t>*</w:t>
      </w:r>
      <w:r>
        <w:rPr>
          <w:rtl/>
        </w:rPr>
        <w:tab/>
      </w:r>
      <w:r>
        <w:rPr>
          <w:rFonts w:hint="cs"/>
          <w:rtl/>
        </w:rPr>
        <w:t>دولة غير عضو في مجلس حقوق الإنسان.</w:t>
      </w:r>
    </w:p>
  </w:footnote>
  <w:footnote w:id="2">
    <w:p w14:paraId="502615CF" w14:textId="37140CE8" w:rsidR="003C20C1" w:rsidRPr="00FD78B8" w:rsidRDefault="003C20C1" w:rsidP="003C20C1">
      <w:pPr>
        <w:pStyle w:val="FootnoteText1"/>
        <w:rPr>
          <w:lang w:val="ar-SA" w:eastAsia="zh-TW" w:bidi="en-GB"/>
        </w:rPr>
      </w:pPr>
      <w:r w:rsidRPr="00FD78B8">
        <w:rPr>
          <w:rStyle w:val="FootnoteReference"/>
          <w:rFonts w:ascii="Times New Roman" w:hAnsi="Times New Roman"/>
          <w:szCs w:val="26"/>
          <w:vertAlign w:val="baseline"/>
          <w:rtl/>
        </w:rPr>
        <w:t>(</w:t>
      </w:r>
      <w:r w:rsidRPr="00FD78B8">
        <w:rPr>
          <w:rStyle w:val="FootnoteReference"/>
          <w:rFonts w:ascii="Times New Roman" w:hAnsi="Times New Roman"/>
          <w:b w:val="0"/>
          <w:position w:val="2"/>
          <w:vertAlign w:val="baseline"/>
        </w:rPr>
        <w:footnoteRef/>
      </w:r>
      <w:r w:rsidRPr="00FD78B8">
        <w:rPr>
          <w:rStyle w:val="FootnoteReference"/>
          <w:rFonts w:ascii="Times New Roman" w:hAnsi="Times New Roman"/>
          <w:szCs w:val="26"/>
          <w:vertAlign w:val="baseline"/>
          <w:rtl/>
        </w:rPr>
        <w:t>)</w:t>
      </w:r>
      <w:r w:rsidRPr="00FD78B8">
        <w:rPr>
          <w:rStyle w:val="FootnoteReference"/>
          <w:rFonts w:ascii="Times New Roman" w:hAnsi="Times New Roman"/>
          <w:szCs w:val="26"/>
          <w:vertAlign w:val="baseline"/>
          <w:rtl/>
        </w:rPr>
        <w:tab/>
      </w:r>
      <w:r w:rsidRPr="00FD78B8">
        <w:t>AHRC/</w:t>
      </w:r>
      <w:r w:rsidRPr="00FD78B8">
        <w:rPr>
          <w:szCs w:val="18"/>
        </w:rPr>
        <w:t>38</w:t>
      </w:r>
      <w:r w:rsidRPr="00FD78B8">
        <w:t>/</w:t>
      </w:r>
      <w:r w:rsidRPr="00FD78B8">
        <w:rPr>
          <w:szCs w:val="18"/>
        </w:rPr>
        <w:t>42</w:t>
      </w:r>
      <w:r w:rsidRPr="00FD78B8">
        <w:rPr>
          <w:rtl/>
        </w:rPr>
        <w:t xml:space="preserve"> و</w:t>
      </w:r>
      <w:r w:rsidRPr="00FD78B8">
        <w:t>A/HRC/</w:t>
      </w:r>
      <w:r w:rsidRPr="00FD78B8">
        <w:rPr>
          <w:szCs w:val="18"/>
        </w:rPr>
        <w:t>41</w:t>
      </w:r>
      <w:r w:rsidRPr="00FD78B8">
        <w:t>/</w:t>
      </w:r>
      <w:r w:rsidRPr="00FD78B8">
        <w:rPr>
          <w:szCs w:val="18"/>
        </w:rPr>
        <w:t>47</w:t>
      </w:r>
      <w:r w:rsidRPr="00FD78B8">
        <w:rPr>
          <w:rtl/>
        </w:rPr>
        <w:t xml:space="preserve"> و</w:t>
      </w:r>
      <w:r w:rsidRPr="00FD78B8">
        <w:t>A/HRC/</w:t>
      </w:r>
      <w:r w:rsidRPr="00FD78B8">
        <w:rPr>
          <w:szCs w:val="18"/>
        </w:rPr>
        <w:t>44</w:t>
      </w:r>
      <w:r w:rsidRPr="00FD78B8">
        <w:t>/</w:t>
      </w:r>
      <w:r w:rsidRPr="00FD78B8">
        <w:rPr>
          <w:szCs w:val="18"/>
        </w:rPr>
        <w:t>46</w:t>
      </w:r>
      <w:r w:rsidRPr="00FD78B8">
        <w:rPr>
          <w:rtl/>
        </w:rPr>
        <w:t xml:space="preserve"> و</w:t>
      </w:r>
      <w:r w:rsidRPr="00FD78B8">
        <w:t>A/HRC/</w:t>
      </w:r>
      <w:r w:rsidRPr="00FD78B8">
        <w:rPr>
          <w:szCs w:val="18"/>
        </w:rPr>
        <w:t>44</w:t>
      </w:r>
      <w:r w:rsidRPr="00FD78B8">
        <w:t>/</w:t>
      </w:r>
      <w:r w:rsidRPr="00FD78B8">
        <w:rPr>
          <w:szCs w:val="18"/>
        </w:rPr>
        <w:t>46</w:t>
      </w:r>
      <w:r w:rsidRPr="00FD78B8">
        <w:t>/Add.</w:t>
      </w:r>
      <w:r w:rsidRPr="00FD78B8">
        <w:rPr>
          <w:szCs w:val="18"/>
        </w:rPr>
        <w:t>1</w:t>
      </w:r>
      <w:r w:rsidRPr="00FD78B8">
        <w:rPr>
          <w:rtl/>
        </w:rPr>
        <w:t xml:space="preserve"> و</w:t>
      </w:r>
      <w:r w:rsidRPr="00FD78B8">
        <w:t>A/HRC/</w:t>
      </w:r>
      <w:r w:rsidRPr="00FD78B8">
        <w:rPr>
          <w:szCs w:val="18"/>
        </w:rPr>
        <w:t>44</w:t>
      </w:r>
      <w:r w:rsidRPr="00FD78B8">
        <w:t>/</w:t>
      </w:r>
      <w:r w:rsidRPr="00FD78B8">
        <w:rPr>
          <w:szCs w:val="18"/>
        </w:rPr>
        <w:t>46</w:t>
      </w:r>
      <w:r w:rsidRPr="00FD78B8">
        <w:t>/Add.</w:t>
      </w:r>
      <w:r w:rsidRPr="00FD78B8">
        <w:rPr>
          <w:szCs w:val="18"/>
        </w:rPr>
        <w:t>2</w:t>
      </w:r>
      <w:r w:rsidRPr="00FD78B8">
        <w:rPr>
          <w:rtl/>
        </w:rPr>
        <w:t>.</w:t>
      </w:r>
    </w:p>
  </w:footnote>
  <w:footnote w:id="3">
    <w:p w14:paraId="601F831C" w14:textId="77777777" w:rsidR="003C20C1" w:rsidRPr="00FD78B8" w:rsidRDefault="003C20C1" w:rsidP="003C20C1">
      <w:pPr>
        <w:pStyle w:val="FootnoteText1"/>
        <w:rPr>
          <w:lang w:val="ar-SA" w:eastAsia="zh-TW" w:bidi="en-GB"/>
        </w:rPr>
      </w:pPr>
      <w:r w:rsidRPr="00FD78B8">
        <w:rPr>
          <w:rStyle w:val="FootnoteReference"/>
          <w:rFonts w:ascii="Times New Roman" w:hAnsi="Times New Roman"/>
          <w:szCs w:val="26"/>
          <w:vertAlign w:val="baseline"/>
          <w:rtl/>
        </w:rPr>
        <w:t>(</w:t>
      </w:r>
      <w:r w:rsidRPr="00FD78B8">
        <w:rPr>
          <w:rStyle w:val="FootnoteReference"/>
          <w:rFonts w:ascii="Times New Roman" w:hAnsi="Times New Roman"/>
          <w:b w:val="0"/>
          <w:position w:val="2"/>
          <w:vertAlign w:val="baseline"/>
        </w:rPr>
        <w:footnoteRef/>
      </w:r>
      <w:r w:rsidRPr="00FD78B8">
        <w:rPr>
          <w:rStyle w:val="FootnoteReference"/>
          <w:rFonts w:ascii="Times New Roman" w:hAnsi="Times New Roman"/>
          <w:szCs w:val="26"/>
          <w:vertAlign w:val="baseline"/>
          <w:rtl/>
        </w:rPr>
        <w:t>)</w:t>
      </w:r>
      <w:r w:rsidRPr="00FD78B8">
        <w:rPr>
          <w:rStyle w:val="FootnoteReference"/>
          <w:rFonts w:ascii="Times New Roman" w:hAnsi="Times New Roman"/>
          <w:szCs w:val="26"/>
          <w:vertAlign w:val="baseline"/>
          <w:rtl/>
        </w:rPr>
        <w:tab/>
      </w:r>
      <w:r w:rsidRPr="00FD78B8">
        <w:t>A/HRC/</w:t>
      </w:r>
      <w:r w:rsidRPr="00FD78B8">
        <w:rPr>
          <w:szCs w:val="18"/>
        </w:rPr>
        <w:t>15</w:t>
      </w:r>
      <w:r w:rsidRPr="00FD78B8">
        <w:t>/</w:t>
      </w:r>
      <w:r w:rsidRPr="00FD78B8">
        <w:rPr>
          <w:szCs w:val="18"/>
        </w:rPr>
        <w:t>30</w:t>
      </w:r>
      <w:r w:rsidRPr="00FD78B8">
        <w:rPr>
          <w:rtl/>
        </w:rPr>
        <w:t>، المرفق.</w:t>
      </w:r>
    </w:p>
  </w:footnote>
  <w:footnote w:id="4">
    <w:p w14:paraId="33F5AC01" w14:textId="77777777" w:rsidR="003C20C1" w:rsidRPr="00FD78B8" w:rsidRDefault="003C20C1" w:rsidP="003C20C1">
      <w:pPr>
        <w:pStyle w:val="FootnoteText1"/>
        <w:rPr>
          <w:lang w:val="ar-SA" w:eastAsia="zh-TW" w:bidi="en-GB"/>
        </w:rPr>
      </w:pPr>
      <w:r w:rsidRPr="00FD78B8">
        <w:rPr>
          <w:rStyle w:val="FootnoteReference"/>
          <w:rFonts w:ascii="Times New Roman" w:hAnsi="Times New Roman"/>
          <w:szCs w:val="26"/>
          <w:vertAlign w:val="baseline"/>
          <w:rtl/>
        </w:rPr>
        <w:t>(</w:t>
      </w:r>
      <w:r w:rsidRPr="00FD78B8">
        <w:rPr>
          <w:rStyle w:val="FootnoteReference"/>
          <w:rFonts w:ascii="Times New Roman" w:hAnsi="Times New Roman"/>
          <w:b w:val="0"/>
          <w:position w:val="2"/>
          <w:vertAlign w:val="baseline"/>
        </w:rPr>
        <w:footnoteRef/>
      </w:r>
      <w:r w:rsidRPr="00FD78B8">
        <w:rPr>
          <w:rStyle w:val="FootnoteReference"/>
          <w:rFonts w:ascii="Times New Roman" w:hAnsi="Times New Roman"/>
          <w:szCs w:val="26"/>
          <w:vertAlign w:val="baseline"/>
          <w:rtl/>
        </w:rPr>
        <w:t>)</w:t>
      </w:r>
      <w:r w:rsidRPr="00FD78B8">
        <w:rPr>
          <w:rStyle w:val="FootnoteReference"/>
          <w:rFonts w:ascii="Times New Roman" w:hAnsi="Times New Roman"/>
          <w:szCs w:val="26"/>
          <w:vertAlign w:val="baseline"/>
          <w:rtl/>
        </w:rPr>
        <w:tab/>
      </w:r>
      <w:r w:rsidRPr="00FD78B8">
        <w:t>A/HRC/</w:t>
      </w:r>
      <w:r w:rsidRPr="00FD78B8">
        <w:rPr>
          <w:szCs w:val="18"/>
        </w:rPr>
        <w:t>35</w:t>
      </w:r>
      <w:r w:rsidRPr="00FD78B8">
        <w:t>/</w:t>
      </w:r>
      <w:r w:rsidRPr="00FD78B8">
        <w:rPr>
          <w:szCs w:val="18"/>
        </w:rPr>
        <w:t>38</w:t>
      </w:r>
      <w:r w:rsidRPr="00FD78B8">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8AEB" w14:textId="77777777" w:rsidR="00F63A12" w:rsidRPr="003C20C1" w:rsidRDefault="003C20C1" w:rsidP="003C20C1">
    <w:pPr>
      <w:pStyle w:val="Header"/>
      <w:jc w:val="right"/>
    </w:pPr>
    <w:r w:rsidRPr="003C20C1">
      <w:t>A/HRC/44/L.4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5AC4" w14:textId="77777777" w:rsidR="00F63A12" w:rsidRPr="003C20C1" w:rsidRDefault="003C20C1" w:rsidP="003C20C1">
    <w:pPr>
      <w:pStyle w:val="Header"/>
      <w:jc w:val="left"/>
    </w:pPr>
    <w:r w:rsidRPr="003C20C1">
      <w:t>A/HRC/44/L.4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FF436C"/>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C20C1"/>
    <w:rsid w:val="003D1062"/>
    <w:rsid w:val="003E159A"/>
    <w:rsid w:val="004205C7"/>
    <w:rsid w:val="00420D7B"/>
    <w:rsid w:val="00442FBA"/>
    <w:rsid w:val="00450B21"/>
    <w:rsid w:val="00453B63"/>
    <w:rsid w:val="00455780"/>
    <w:rsid w:val="00490809"/>
    <w:rsid w:val="004B0A1C"/>
    <w:rsid w:val="004D298E"/>
    <w:rsid w:val="004E32F4"/>
    <w:rsid w:val="004F2E9F"/>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62648"/>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C700A"/>
    <w:rsid w:val="008F49E1"/>
    <w:rsid w:val="0090370F"/>
    <w:rsid w:val="009269D2"/>
    <w:rsid w:val="00942135"/>
    <w:rsid w:val="009521B0"/>
    <w:rsid w:val="009658C5"/>
    <w:rsid w:val="009A7E9F"/>
    <w:rsid w:val="009E5018"/>
    <w:rsid w:val="00A12B37"/>
    <w:rsid w:val="00A50EC0"/>
    <w:rsid w:val="00A74331"/>
    <w:rsid w:val="00AB3BCA"/>
    <w:rsid w:val="00AB6758"/>
    <w:rsid w:val="00AF203E"/>
    <w:rsid w:val="00B13763"/>
    <w:rsid w:val="00B477A4"/>
    <w:rsid w:val="00B54045"/>
    <w:rsid w:val="00BA5E8B"/>
    <w:rsid w:val="00C022F5"/>
    <w:rsid w:val="00C06421"/>
    <w:rsid w:val="00C301E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3A12"/>
    <w:rsid w:val="00F6741C"/>
    <w:rsid w:val="00F763B4"/>
    <w:rsid w:val="00F900C3"/>
    <w:rsid w:val="00FC105F"/>
    <w:rsid w:val="00FC75D1"/>
    <w:rsid w:val="00FD28F3"/>
    <w:rsid w:val="00FD4BC9"/>
    <w:rsid w:val="00FF2AB2"/>
    <w:rsid w:val="00FF436C"/>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AF6A07F"/>
  <w15:docId w15:val="{51D58E8B-A8B4-4DEC-B5D8-2DC43444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8150-DA5F-4E3E-948A-56449433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A/HRC/44/L.4</vt:lpstr>
    </vt:vector>
  </TitlesOfParts>
  <Company>DCM</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A/HRC/44/L.4</dc:title>
  <dc:subject>GE.2009175A</dc:subject>
  <dc:creator>JKAH - ASE</dc:creator>
  <cp:keywords>ODS No.2017713A</cp:keywords>
  <dc:description>Original: English _x000d_
Distribution: Limited_x000d_
Date: 10 July 2020</dc:description>
  <cp:lastModifiedBy>Ibrahim Balan</cp:lastModifiedBy>
  <cp:revision>2</cp:revision>
  <dcterms:created xsi:type="dcterms:W3CDTF">2020-07-13T09:30:00Z</dcterms:created>
  <dcterms:modified xsi:type="dcterms:W3CDTF">2020-07-13T09:30:00Z</dcterms:modified>
  <cp:category>Final</cp:category>
</cp:coreProperties>
</file>