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770911D" w14:textId="77777777" w:rsidTr="00281242">
        <w:trPr>
          <w:trHeight w:hRule="exact" w:val="851"/>
        </w:trPr>
        <w:tc>
          <w:tcPr>
            <w:tcW w:w="1274" w:type="dxa"/>
            <w:tcBorders>
              <w:bottom w:val="single" w:sz="4" w:space="0" w:color="auto"/>
            </w:tcBorders>
            <w:shd w:val="clear" w:color="auto" w:fill="auto"/>
          </w:tcPr>
          <w:p w14:paraId="1AE1B5A9"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002D787"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68134CA7" w14:textId="77777777" w:rsidR="006B3E27" w:rsidRPr="00281242" w:rsidRDefault="006176A1" w:rsidP="007F3137">
            <w:pPr>
              <w:bidi w:val="0"/>
              <w:spacing w:after="20"/>
              <w:jc w:val="left"/>
              <w:rPr>
                <w:szCs w:val="20"/>
              </w:rPr>
            </w:pPr>
            <w:r w:rsidRPr="006176A1">
              <w:rPr>
                <w:sz w:val="40"/>
                <w:szCs w:val="20"/>
              </w:rPr>
              <w:t>A</w:t>
            </w:r>
            <w:r>
              <w:rPr>
                <w:szCs w:val="20"/>
              </w:rPr>
              <w:t>/HRC/</w:t>
            </w:r>
            <w:r w:rsidRPr="00D91C56">
              <w:rPr>
                <w:szCs w:val="20"/>
              </w:rPr>
              <w:t>44</w:t>
            </w:r>
            <w:r>
              <w:rPr>
                <w:szCs w:val="20"/>
              </w:rPr>
              <w:t>/</w:t>
            </w:r>
            <w:proofErr w:type="spellStart"/>
            <w:r>
              <w:rPr>
                <w:szCs w:val="20"/>
              </w:rPr>
              <w:t>L.</w:t>
            </w:r>
            <w:r w:rsidRPr="00D91C56">
              <w:rPr>
                <w:szCs w:val="20"/>
              </w:rPr>
              <w:t>8</w:t>
            </w:r>
            <w:proofErr w:type="spellEnd"/>
          </w:p>
        </w:tc>
      </w:tr>
      <w:tr w:rsidR="006B3E27" w:rsidRPr="00ED7442" w14:paraId="216D43ED" w14:textId="77777777" w:rsidTr="00281242">
        <w:trPr>
          <w:trHeight w:hRule="exact" w:val="2835"/>
        </w:trPr>
        <w:tc>
          <w:tcPr>
            <w:tcW w:w="1274" w:type="dxa"/>
            <w:tcBorders>
              <w:top w:val="single" w:sz="4" w:space="0" w:color="auto"/>
              <w:bottom w:val="single" w:sz="12" w:space="0" w:color="auto"/>
            </w:tcBorders>
            <w:shd w:val="clear" w:color="auto" w:fill="auto"/>
          </w:tcPr>
          <w:p w14:paraId="447BD555" w14:textId="6A944B18" w:rsidR="006B3E27" w:rsidRPr="00281242" w:rsidRDefault="009A0166" w:rsidP="00281242">
            <w:pPr>
              <w:jc w:val="center"/>
              <w:rPr>
                <w:sz w:val="56"/>
                <w:szCs w:val="56"/>
                <w:rtl/>
              </w:rPr>
            </w:pPr>
            <w:r>
              <w:rPr>
                <w:noProof/>
                <w:sz w:val="56"/>
                <w:szCs w:val="56"/>
              </w:rPr>
              <w:drawing>
                <wp:inline distT="0" distB="0" distL="0" distR="0" wp14:anchorId="674E5EEB" wp14:editId="735A4EF7">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5DB408E0"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EC561E6" w14:textId="77777777" w:rsidR="006B3E27" w:rsidRDefault="007F3137" w:rsidP="007F3137">
            <w:pPr>
              <w:bidi w:val="0"/>
              <w:spacing w:before="240"/>
              <w:jc w:val="left"/>
              <w:rPr>
                <w:szCs w:val="20"/>
              </w:rPr>
            </w:pPr>
            <w:r>
              <w:rPr>
                <w:szCs w:val="20"/>
              </w:rPr>
              <w:t>Distr.: Limited</w:t>
            </w:r>
          </w:p>
          <w:p w14:paraId="55499D4E" w14:textId="77777777" w:rsidR="007F3137" w:rsidRDefault="007F3137" w:rsidP="007F3137">
            <w:pPr>
              <w:bidi w:val="0"/>
              <w:jc w:val="left"/>
              <w:rPr>
                <w:szCs w:val="20"/>
              </w:rPr>
            </w:pPr>
            <w:r w:rsidRPr="00D91C56">
              <w:rPr>
                <w:szCs w:val="20"/>
              </w:rPr>
              <w:t>13</w:t>
            </w:r>
            <w:r>
              <w:rPr>
                <w:szCs w:val="20"/>
              </w:rPr>
              <w:t xml:space="preserve"> July </w:t>
            </w:r>
            <w:r w:rsidRPr="00D91C56">
              <w:rPr>
                <w:szCs w:val="20"/>
              </w:rPr>
              <w:t>2020</w:t>
            </w:r>
          </w:p>
          <w:p w14:paraId="042490A2" w14:textId="77777777" w:rsidR="007F3137" w:rsidRDefault="007F3137" w:rsidP="007F3137">
            <w:pPr>
              <w:bidi w:val="0"/>
              <w:jc w:val="left"/>
              <w:rPr>
                <w:szCs w:val="20"/>
              </w:rPr>
            </w:pPr>
            <w:r>
              <w:rPr>
                <w:szCs w:val="20"/>
              </w:rPr>
              <w:t>Arabic</w:t>
            </w:r>
          </w:p>
          <w:p w14:paraId="09CD3B6C" w14:textId="77777777" w:rsidR="007F3137" w:rsidRPr="00281242" w:rsidRDefault="007F3137" w:rsidP="007F3137">
            <w:pPr>
              <w:bidi w:val="0"/>
              <w:jc w:val="left"/>
              <w:rPr>
                <w:szCs w:val="20"/>
              </w:rPr>
            </w:pPr>
            <w:r>
              <w:rPr>
                <w:szCs w:val="20"/>
              </w:rPr>
              <w:t>Original: English</w:t>
            </w:r>
          </w:p>
        </w:tc>
      </w:tr>
    </w:tbl>
    <w:p w14:paraId="77D39C95" w14:textId="77777777" w:rsidR="007F3137" w:rsidRPr="00D91C56" w:rsidRDefault="00673245" w:rsidP="007F3137">
      <w:pPr>
        <w:pStyle w:val="SingleTxtGA"/>
        <w:spacing w:before="120" w:after="0"/>
        <w:ind w:left="0"/>
        <w:rPr>
          <w:b/>
          <w:bCs/>
          <w:sz w:val="36"/>
          <w:szCs w:val="36"/>
          <w:rtl/>
        </w:rPr>
      </w:pPr>
      <w:r w:rsidRPr="00D91C56">
        <w:rPr>
          <w:rFonts w:hint="cs"/>
          <w:b/>
          <w:bCs/>
          <w:sz w:val="36"/>
          <w:szCs w:val="36"/>
          <w:rtl/>
        </w:rPr>
        <w:t>مجلس حقوق الإنسان</w:t>
      </w:r>
    </w:p>
    <w:p w14:paraId="1A60C010" w14:textId="77777777" w:rsidR="007F3137" w:rsidRPr="00D91C56" w:rsidRDefault="007F3137" w:rsidP="007F3137">
      <w:pPr>
        <w:spacing w:line="360" w:lineRule="exact"/>
        <w:textDirection w:val="tbRlV"/>
        <w:rPr>
          <w:b/>
          <w:szCs w:val="20"/>
          <w:lang w:eastAsia="zh-TW" w:bidi="en-GB"/>
        </w:rPr>
      </w:pPr>
      <w:r w:rsidRPr="00D91C56">
        <w:rPr>
          <w:b/>
          <w:bCs/>
          <w:rtl/>
        </w:rPr>
        <w:t>الدورة الرابعة والأربعون</w:t>
      </w:r>
    </w:p>
    <w:p w14:paraId="0CB4E19C" w14:textId="560F0A89" w:rsidR="007F3137" w:rsidRPr="00D91C56" w:rsidRDefault="007F3137" w:rsidP="007F3137">
      <w:pPr>
        <w:spacing w:line="360" w:lineRule="exact"/>
        <w:textDirection w:val="tbRlV"/>
        <w:rPr>
          <w:szCs w:val="20"/>
          <w:lang w:val="ar-SA" w:eastAsia="zh-TW" w:bidi="en-GB"/>
        </w:rPr>
      </w:pPr>
      <w:r w:rsidRPr="00D91C56">
        <w:rPr>
          <w:szCs w:val="20"/>
          <w:rtl/>
        </w:rPr>
        <w:t>30</w:t>
      </w:r>
      <w:r w:rsidRPr="00D91C56">
        <w:rPr>
          <w:rtl/>
        </w:rPr>
        <w:t xml:space="preserve"> حزيران/</w:t>
      </w:r>
      <w:proofErr w:type="gramStart"/>
      <w:r w:rsidRPr="00D91C56">
        <w:rPr>
          <w:rtl/>
        </w:rPr>
        <w:t>يوني</w:t>
      </w:r>
      <w:r w:rsidRPr="00D91C56">
        <w:rPr>
          <w:rFonts w:hint="cs"/>
          <w:rtl/>
        </w:rPr>
        <w:t>ه</w:t>
      </w:r>
      <w:proofErr w:type="gramEnd"/>
      <w:r w:rsidRPr="00D91C56">
        <w:rPr>
          <w:rtl/>
        </w:rPr>
        <w:t xml:space="preserve"> - </w:t>
      </w:r>
      <w:r w:rsidRPr="00D91C56">
        <w:rPr>
          <w:szCs w:val="20"/>
          <w:rtl/>
        </w:rPr>
        <w:t>17</w:t>
      </w:r>
      <w:r w:rsidRPr="00D91C56">
        <w:rPr>
          <w:rtl/>
        </w:rPr>
        <w:t xml:space="preserve"> تموز/يولي</w:t>
      </w:r>
      <w:r w:rsidRPr="00D91C56">
        <w:rPr>
          <w:rFonts w:hint="cs"/>
          <w:rtl/>
        </w:rPr>
        <w:t>ه</w:t>
      </w:r>
      <w:r w:rsidRPr="00D91C56">
        <w:rPr>
          <w:rtl/>
        </w:rPr>
        <w:t xml:space="preserve"> </w:t>
      </w:r>
      <w:r w:rsidRPr="00D91C56">
        <w:rPr>
          <w:szCs w:val="20"/>
          <w:rtl/>
        </w:rPr>
        <w:t>2020</w:t>
      </w:r>
    </w:p>
    <w:p w14:paraId="123FDD92" w14:textId="77777777" w:rsidR="007F3137" w:rsidRPr="00D91C56" w:rsidRDefault="007F3137" w:rsidP="007F3137">
      <w:pPr>
        <w:spacing w:line="360" w:lineRule="exact"/>
        <w:textDirection w:val="tbRlV"/>
        <w:rPr>
          <w:szCs w:val="20"/>
          <w:lang w:eastAsia="zh-TW" w:bidi="en-GB"/>
        </w:rPr>
      </w:pPr>
      <w:r w:rsidRPr="00D91C56">
        <w:rPr>
          <w:rtl/>
        </w:rPr>
        <w:t xml:space="preserve">البند </w:t>
      </w:r>
      <w:r w:rsidRPr="00D91C56">
        <w:rPr>
          <w:szCs w:val="20"/>
          <w:rtl/>
        </w:rPr>
        <w:t>2</w:t>
      </w:r>
      <w:r w:rsidRPr="00D91C56">
        <w:rPr>
          <w:rtl/>
        </w:rPr>
        <w:t xml:space="preserve"> من جدول الأعمال</w:t>
      </w:r>
    </w:p>
    <w:p w14:paraId="3723E30B" w14:textId="77777777" w:rsidR="007F3137" w:rsidRPr="00D91C56" w:rsidRDefault="007F3137" w:rsidP="007F3137">
      <w:pPr>
        <w:spacing w:line="360" w:lineRule="exact"/>
        <w:ind w:right="5012"/>
        <w:textDirection w:val="tbRlV"/>
        <w:rPr>
          <w:b/>
          <w:szCs w:val="20"/>
          <w:lang w:eastAsia="zh-TW" w:bidi="en-GB"/>
        </w:rPr>
      </w:pPr>
      <w:r w:rsidRPr="00D91C56">
        <w:rPr>
          <w:b/>
          <w:bCs/>
          <w:rtl/>
        </w:rPr>
        <w:t>التقرير السنوي لمفوضة الأمم المتحدة السامية لحقوق الإنسان وتقارير المفوضية السامية والأمين العام</w:t>
      </w:r>
    </w:p>
    <w:p w14:paraId="76C9E116" w14:textId="5F3F4A1D" w:rsidR="007F3137" w:rsidRPr="00D91C56" w:rsidRDefault="007F3137" w:rsidP="007F3137">
      <w:pPr>
        <w:pStyle w:val="H23GA"/>
        <w:rPr>
          <w:rFonts w:ascii="Times New Roman" w:hAnsi="Times New Roman"/>
          <w:lang w:val="ar-SA" w:eastAsia="zh-TW" w:bidi="en-GB"/>
        </w:rPr>
      </w:pPr>
      <w:r w:rsidRPr="00D91C56">
        <w:rPr>
          <w:rFonts w:ascii="Times New Roman" w:hAnsi="Times New Roman"/>
          <w:rtl/>
        </w:rPr>
        <w:tab/>
      </w:r>
      <w:r w:rsidRPr="00D91C56">
        <w:rPr>
          <w:rFonts w:ascii="Times New Roman" w:hAnsi="Times New Roman"/>
          <w:rtl/>
        </w:rPr>
        <w:tab/>
        <w:t>إسبانيا، أستراليا، إستونيا</w:t>
      </w:r>
      <w:r w:rsidR="00D91C56" w:rsidRPr="00D91C56">
        <w:rPr>
          <w:rStyle w:val="FootnoteReference"/>
          <w:rFonts w:ascii="Times New Roman" w:hAnsi="Times New Roman"/>
          <w:sz w:val="20"/>
          <w:szCs w:val="28"/>
          <w:vertAlign w:val="baseline"/>
          <w:rtl/>
        </w:rPr>
        <w:footnoteReference w:customMarkFollows="1" w:id="1"/>
        <w:t>*</w:t>
      </w:r>
      <w:r w:rsidRPr="00D91C56">
        <w:rPr>
          <w:rFonts w:ascii="Times New Roman" w:hAnsi="Times New Roman"/>
          <w:rtl/>
        </w:rPr>
        <w:t>، ألمانيا، أيرلندا*، آيسلندا*، إيطاليا، بلجيكا</w:t>
      </w:r>
      <w:r w:rsidR="00D91C56" w:rsidRPr="00E551B9">
        <w:rPr>
          <w:rStyle w:val="FootnoteReference"/>
          <w:rFonts w:ascii="Times New Roman" w:hAnsi="Times New Roman" w:hint="cs"/>
          <w:szCs w:val="28"/>
          <w:vertAlign w:val="baseline"/>
          <w:rtl/>
        </w:rPr>
        <w:t>*</w:t>
      </w:r>
      <w:r w:rsidRPr="00D91C56">
        <w:rPr>
          <w:rFonts w:ascii="Times New Roman" w:hAnsi="Times New Roman"/>
          <w:rtl/>
        </w:rPr>
        <w:t>، بلغاريا، بولندا، تشيكيا، الجبل الأسود*، الدانمرك، رو</w:t>
      </w:r>
      <w:bookmarkStart w:id="0" w:name="_GoBack"/>
      <w:bookmarkEnd w:id="0"/>
      <w:r w:rsidRPr="00D91C56">
        <w:rPr>
          <w:rFonts w:ascii="Times New Roman" w:hAnsi="Times New Roman"/>
          <w:rtl/>
        </w:rPr>
        <w:t>مانيا*، سلوفاكيا، سلوفينيا*، السويد*، سويسرا*، فرنسا*، فنلندا*، قبرص*، كرواتيا*، كندا*، لاتفيا*، لكسمبرغ*، ليتوانيا*، ليختنشتاين*، مالطة*، مقدونيا الشمالية*، موناكو*، النرويج*، النمسا، هولندا، اليونان*: مشروع قرار</w:t>
      </w:r>
    </w:p>
    <w:p w14:paraId="39CCEEF8" w14:textId="0F98A9CB" w:rsidR="007F3137" w:rsidRPr="00D91C56" w:rsidRDefault="007F3137" w:rsidP="007F3137">
      <w:pPr>
        <w:pStyle w:val="H1GA"/>
        <w:rPr>
          <w:szCs w:val="20"/>
          <w:lang w:val="ar-SA" w:eastAsia="zh-TW" w:bidi="en-GB"/>
        </w:rPr>
      </w:pPr>
      <w:r w:rsidRPr="00D91C56">
        <w:rPr>
          <w:sz w:val="32"/>
          <w:szCs w:val="28"/>
          <w:rtl/>
        </w:rPr>
        <w:tab/>
      </w:r>
      <w:r w:rsidRPr="00D91C56">
        <w:rPr>
          <w:sz w:val="32"/>
          <w:szCs w:val="28"/>
          <w:rtl/>
        </w:rPr>
        <w:tab/>
      </w:r>
      <w:r w:rsidRPr="00D91C56">
        <w:rPr>
          <w:sz w:val="32"/>
          <w:szCs w:val="24"/>
          <w:rtl/>
        </w:rPr>
        <w:t>44</w:t>
      </w:r>
      <w:r w:rsidRPr="00D91C56">
        <w:rPr>
          <w:sz w:val="32"/>
          <w:szCs w:val="28"/>
          <w:rtl/>
        </w:rPr>
        <w:t>/...</w:t>
      </w:r>
      <w:r w:rsidRPr="00D91C56">
        <w:rPr>
          <w:rtl/>
        </w:rPr>
        <w:tab/>
        <w:t>حالة حقوق الإنسان في إريتريا</w:t>
      </w:r>
    </w:p>
    <w:p w14:paraId="05F8822E" w14:textId="69B39F1F" w:rsidR="007F3137" w:rsidRPr="00D91C56" w:rsidRDefault="007F3137" w:rsidP="007F3137">
      <w:pPr>
        <w:pStyle w:val="SingleTxtGA"/>
        <w:rPr>
          <w:i/>
          <w:iCs/>
          <w:szCs w:val="20"/>
          <w:lang w:val="ar-SA" w:eastAsia="zh-TW" w:bidi="en-GB"/>
        </w:rPr>
      </w:pPr>
      <w:r w:rsidRPr="00D91C56">
        <w:rPr>
          <w:i/>
          <w:iCs/>
          <w:rtl/>
        </w:rPr>
        <w:tab/>
        <w:t>إن مجلس حقوق الإنسان،</w:t>
      </w:r>
    </w:p>
    <w:p w14:paraId="29A6C946" w14:textId="2AEC4B18" w:rsidR="007F3137" w:rsidRPr="00D91C56" w:rsidRDefault="007F3137" w:rsidP="007F3137">
      <w:pPr>
        <w:pStyle w:val="SingleTxtGA"/>
        <w:rPr>
          <w:szCs w:val="20"/>
          <w:lang w:val="ar-SA" w:eastAsia="zh-TW" w:bidi="en-GB"/>
        </w:rPr>
      </w:pPr>
      <w:r w:rsidRPr="00D91C56">
        <w:rPr>
          <w:i/>
          <w:iCs/>
          <w:rtl/>
        </w:rPr>
        <w:tab/>
      </w:r>
      <w:r w:rsidRPr="00D91C56">
        <w:rPr>
          <w:i/>
          <w:iCs/>
          <w:rtl/>
        </w:rPr>
        <w:t>إذ يسترشد</w:t>
      </w:r>
      <w:r w:rsidRPr="00D91C56">
        <w:rPr>
          <w:rtl/>
        </w:rPr>
        <w:t xml:space="preserve"> بميثاق الأمم المتحدة، والإعلان العالمي لحقوق الإنسان، والعهدين الدوليين الخاصين بحقوق الإنسان، وغير ذلك من صكوك حقوق الإنسان الدولية ذات الصلة،</w:t>
      </w:r>
    </w:p>
    <w:p w14:paraId="7E843C7F" w14:textId="4609A199" w:rsidR="007F3137" w:rsidRPr="00D91C56" w:rsidRDefault="007F3137" w:rsidP="007F3137">
      <w:pPr>
        <w:pStyle w:val="SingleTxtGA"/>
        <w:rPr>
          <w:szCs w:val="20"/>
          <w:lang w:val="ar-SA" w:eastAsia="zh-TW" w:bidi="en-GB"/>
        </w:rPr>
      </w:pPr>
      <w:r w:rsidRPr="00D91C56">
        <w:rPr>
          <w:i/>
          <w:iCs/>
          <w:rtl/>
        </w:rPr>
        <w:tab/>
      </w:r>
      <w:r w:rsidRPr="00D91C56">
        <w:rPr>
          <w:i/>
          <w:iCs/>
          <w:rtl/>
        </w:rPr>
        <w:t>وإذ يشير إلى</w:t>
      </w:r>
      <w:r w:rsidRPr="00D91C56">
        <w:rPr>
          <w:rtl/>
        </w:rPr>
        <w:t xml:space="preserve"> قرار الجمعية العامة </w:t>
      </w:r>
      <w:r w:rsidRPr="00D91C56">
        <w:rPr>
          <w:szCs w:val="20"/>
          <w:rtl/>
        </w:rPr>
        <w:t>60/251</w:t>
      </w:r>
      <w:r w:rsidRPr="00D91C56">
        <w:rPr>
          <w:rtl/>
        </w:rPr>
        <w:t xml:space="preserve"> المؤرخ </w:t>
      </w:r>
      <w:r w:rsidRPr="00D91C56">
        <w:rPr>
          <w:szCs w:val="20"/>
          <w:rtl/>
        </w:rPr>
        <w:t>15</w:t>
      </w:r>
      <w:r w:rsidRPr="00D91C56">
        <w:rPr>
          <w:rtl/>
        </w:rPr>
        <w:t xml:space="preserve"> آذار/مارس </w:t>
      </w:r>
      <w:r w:rsidRPr="00D91C56">
        <w:rPr>
          <w:szCs w:val="20"/>
          <w:rtl/>
        </w:rPr>
        <w:t>2006</w:t>
      </w:r>
      <w:r w:rsidRPr="00D91C56">
        <w:rPr>
          <w:rtl/>
        </w:rPr>
        <w:t xml:space="preserve">، وقراريْ مجلس حقوق الإنسان </w:t>
      </w:r>
      <w:r w:rsidRPr="00D91C56">
        <w:rPr>
          <w:szCs w:val="20"/>
          <w:rtl/>
        </w:rPr>
        <w:t>5/1</w:t>
      </w:r>
      <w:r w:rsidRPr="00D91C56">
        <w:rPr>
          <w:rtl/>
        </w:rPr>
        <w:t xml:space="preserve"> </w:t>
      </w:r>
      <w:proofErr w:type="spellStart"/>
      <w:r w:rsidRPr="00D91C56">
        <w:rPr>
          <w:rtl/>
        </w:rPr>
        <w:t>و</w:t>
      </w:r>
      <w:r w:rsidRPr="00D91C56">
        <w:rPr>
          <w:szCs w:val="20"/>
          <w:rtl/>
        </w:rPr>
        <w:t>5</w:t>
      </w:r>
      <w:proofErr w:type="spellEnd"/>
      <w:r w:rsidRPr="00D91C56">
        <w:rPr>
          <w:szCs w:val="20"/>
          <w:rtl/>
        </w:rPr>
        <w:t>/2</w:t>
      </w:r>
      <w:r w:rsidRPr="00D91C56">
        <w:rPr>
          <w:rtl/>
        </w:rPr>
        <w:t xml:space="preserve"> المؤرخَيْن </w:t>
      </w:r>
      <w:r w:rsidRPr="00D91C56">
        <w:rPr>
          <w:szCs w:val="20"/>
          <w:rtl/>
        </w:rPr>
        <w:t>18</w:t>
      </w:r>
      <w:r w:rsidRPr="00D91C56">
        <w:rPr>
          <w:rtl/>
        </w:rPr>
        <w:t xml:space="preserve"> حزيران/</w:t>
      </w:r>
      <w:proofErr w:type="gramStart"/>
      <w:r w:rsidRPr="00D91C56">
        <w:rPr>
          <w:rtl/>
        </w:rPr>
        <w:t>يونيه</w:t>
      </w:r>
      <w:proofErr w:type="gramEnd"/>
      <w:r w:rsidRPr="00D91C56">
        <w:rPr>
          <w:rtl/>
        </w:rPr>
        <w:t xml:space="preserve"> </w:t>
      </w:r>
      <w:r w:rsidRPr="00D91C56">
        <w:rPr>
          <w:szCs w:val="20"/>
          <w:rtl/>
        </w:rPr>
        <w:t>2007</w:t>
      </w:r>
      <w:r w:rsidRPr="00D91C56">
        <w:rPr>
          <w:rtl/>
        </w:rPr>
        <w:t xml:space="preserve">، والقرار </w:t>
      </w:r>
      <w:r w:rsidRPr="00D91C56">
        <w:rPr>
          <w:szCs w:val="20"/>
          <w:rtl/>
        </w:rPr>
        <w:t>91</w:t>
      </w:r>
      <w:r w:rsidRPr="00D91C56">
        <w:rPr>
          <w:rtl/>
        </w:rPr>
        <w:t xml:space="preserve"> للجنة الأفريقية لحقوق الإنسان والشعوب ومقرراتها </w:t>
      </w:r>
      <w:r w:rsidRPr="00D91C56">
        <w:rPr>
          <w:szCs w:val="20"/>
          <w:rtl/>
        </w:rPr>
        <w:t>250/2002</w:t>
      </w:r>
      <w:r w:rsidRPr="00D91C56">
        <w:rPr>
          <w:rtl/>
        </w:rPr>
        <w:t xml:space="preserve">، </w:t>
      </w:r>
      <w:proofErr w:type="spellStart"/>
      <w:r w:rsidRPr="00D91C56">
        <w:rPr>
          <w:rtl/>
        </w:rPr>
        <w:t>و</w:t>
      </w:r>
      <w:r w:rsidRPr="00D91C56">
        <w:rPr>
          <w:szCs w:val="20"/>
          <w:rtl/>
        </w:rPr>
        <w:t>275</w:t>
      </w:r>
      <w:proofErr w:type="spellEnd"/>
      <w:r w:rsidRPr="00D91C56">
        <w:rPr>
          <w:szCs w:val="20"/>
          <w:rtl/>
        </w:rPr>
        <w:t>/2003</w:t>
      </w:r>
      <w:r w:rsidRPr="00D91C56">
        <w:rPr>
          <w:rtl/>
        </w:rPr>
        <w:t xml:space="preserve">، </w:t>
      </w:r>
      <w:proofErr w:type="spellStart"/>
      <w:r w:rsidRPr="00D91C56">
        <w:rPr>
          <w:rtl/>
        </w:rPr>
        <w:t>و</w:t>
      </w:r>
      <w:r w:rsidRPr="00D91C56">
        <w:rPr>
          <w:szCs w:val="20"/>
          <w:rtl/>
        </w:rPr>
        <w:t>428</w:t>
      </w:r>
      <w:proofErr w:type="spellEnd"/>
      <w:r w:rsidRPr="00D91C56">
        <w:rPr>
          <w:szCs w:val="20"/>
          <w:rtl/>
        </w:rPr>
        <w:t>/12</w:t>
      </w:r>
      <w:r w:rsidRPr="00D91C56">
        <w:rPr>
          <w:rtl/>
        </w:rPr>
        <w:t>، وجميع قرارات المجلس السابقة بشأن حالة حقوق الإنسان في إريتريا،</w:t>
      </w:r>
    </w:p>
    <w:p w14:paraId="3211CB93" w14:textId="7A89482A" w:rsidR="007F3137" w:rsidRPr="00D91C56" w:rsidRDefault="007F3137" w:rsidP="007F3137">
      <w:pPr>
        <w:pStyle w:val="SingleTxtGA"/>
        <w:rPr>
          <w:szCs w:val="20"/>
          <w:lang w:val="ar-SA" w:eastAsia="zh-TW" w:bidi="en-GB"/>
        </w:rPr>
      </w:pPr>
      <w:r w:rsidRPr="00D91C56">
        <w:rPr>
          <w:i/>
          <w:iCs/>
          <w:rtl/>
        </w:rPr>
        <w:tab/>
      </w:r>
      <w:r w:rsidRPr="00D91C56">
        <w:rPr>
          <w:i/>
          <w:iCs/>
          <w:rtl/>
        </w:rPr>
        <w:t>وإذ يشير أيضاً إلى</w:t>
      </w:r>
      <w:r w:rsidRPr="00D91C56">
        <w:rPr>
          <w:rtl/>
        </w:rPr>
        <w:t xml:space="preserve"> التطورات الإقليمية الهامة التي حدثت في السنوات الأخيرة وإلى ما تنطوي عليه من إمكانات في مجال تطوير حقوق الإنسان في إريتريا،</w:t>
      </w:r>
    </w:p>
    <w:p w14:paraId="6FBB8E8E" w14:textId="5BA52CD3" w:rsidR="007F3137" w:rsidRPr="00D91C56" w:rsidRDefault="007F3137" w:rsidP="007F3137">
      <w:pPr>
        <w:pStyle w:val="SingleTxtGA"/>
        <w:rPr>
          <w:szCs w:val="20"/>
          <w:lang w:eastAsia="zh-TW" w:bidi="en-GB"/>
        </w:rPr>
      </w:pPr>
      <w:r w:rsidRPr="00D91C56">
        <w:rPr>
          <w:i/>
          <w:iCs/>
          <w:rtl/>
        </w:rPr>
        <w:tab/>
      </w:r>
      <w:r w:rsidRPr="00D91C56">
        <w:rPr>
          <w:i/>
          <w:iCs/>
          <w:rtl/>
        </w:rPr>
        <w:t xml:space="preserve">وإذ يرحب </w:t>
      </w:r>
      <w:r w:rsidRPr="00D91C56">
        <w:rPr>
          <w:rtl/>
        </w:rPr>
        <w:t xml:space="preserve">بالتزام حكومة إريتريا بأهداف التنمية المستدامة، ومشاركتها في الجولة الثالثة للاستعراض الدوري الشامل في </w:t>
      </w:r>
      <w:r w:rsidRPr="00D91C56">
        <w:rPr>
          <w:szCs w:val="20"/>
          <w:rtl/>
        </w:rPr>
        <w:t>28</w:t>
      </w:r>
      <w:r w:rsidRPr="00D91C56">
        <w:rPr>
          <w:rtl/>
        </w:rPr>
        <w:t xml:space="preserve"> كانون الثاني/يناير </w:t>
      </w:r>
      <w:r w:rsidRPr="00D91C56">
        <w:rPr>
          <w:szCs w:val="20"/>
          <w:rtl/>
        </w:rPr>
        <w:t>2019</w:t>
      </w:r>
      <w:r w:rsidR="00D91C56">
        <w:rPr>
          <w:vertAlign w:val="superscript"/>
          <w:rtl/>
        </w:rPr>
        <w:t>(</w:t>
      </w:r>
      <w:r w:rsidR="00D91C56" w:rsidRPr="00D91C56">
        <w:rPr>
          <w:rStyle w:val="FootnoteReference"/>
          <w:rFonts w:ascii="Times New Roman" w:hAnsi="Times New Roman" w:cs="Times New Roman"/>
          <w:b w:val="0"/>
          <w:position w:val="4"/>
          <w:sz w:val="20"/>
        </w:rPr>
        <w:footnoteReference w:id="2"/>
      </w:r>
      <w:r w:rsidR="00D91C56">
        <w:rPr>
          <w:vertAlign w:val="superscript"/>
          <w:rtl/>
        </w:rPr>
        <w:t>)</w:t>
      </w:r>
      <w:r w:rsidR="00D91C56">
        <w:rPr>
          <w:rFonts w:hint="cs"/>
          <w:rtl/>
        </w:rPr>
        <w:t xml:space="preserve">، </w:t>
      </w:r>
      <w:r w:rsidRPr="00D91C56">
        <w:rPr>
          <w:rtl/>
        </w:rPr>
        <w:t xml:space="preserve">وفي الحوار بشأن حقوق الإنسان مع اللجنة المعنية بالقضاء على التمييز ضد المرأة في </w:t>
      </w:r>
      <w:r w:rsidRPr="00D91C56">
        <w:rPr>
          <w:szCs w:val="20"/>
          <w:rtl/>
        </w:rPr>
        <w:t>14</w:t>
      </w:r>
      <w:r w:rsidRPr="00D91C56">
        <w:rPr>
          <w:rtl/>
        </w:rPr>
        <w:t xml:space="preserve"> شباط/فبراير </w:t>
      </w:r>
      <w:r w:rsidRPr="00D91C56">
        <w:rPr>
          <w:szCs w:val="20"/>
          <w:rtl/>
        </w:rPr>
        <w:t>2020</w:t>
      </w:r>
      <w:r w:rsidR="00D91C56">
        <w:rPr>
          <w:vertAlign w:val="superscript"/>
          <w:rtl/>
        </w:rPr>
        <w:t>(</w:t>
      </w:r>
      <w:r w:rsidR="00D91C56" w:rsidRPr="00D91C56">
        <w:rPr>
          <w:rStyle w:val="FootnoteReference"/>
          <w:rFonts w:ascii="Times New Roman" w:hAnsi="Times New Roman" w:cs="Times New Roman"/>
          <w:b w:val="0"/>
          <w:position w:val="4"/>
          <w:sz w:val="20"/>
        </w:rPr>
        <w:footnoteReference w:id="3"/>
      </w:r>
      <w:r w:rsidR="00D91C56">
        <w:rPr>
          <w:vertAlign w:val="superscript"/>
          <w:rtl/>
        </w:rPr>
        <w:t>)</w:t>
      </w:r>
      <w:r w:rsidRPr="00D91C56">
        <w:rPr>
          <w:rtl/>
        </w:rPr>
        <w:t>،</w:t>
      </w:r>
    </w:p>
    <w:p w14:paraId="0958DAB8" w14:textId="4DAE216E" w:rsidR="007F3137" w:rsidRPr="00D91C56" w:rsidRDefault="007F3137" w:rsidP="007F3137">
      <w:pPr>
        <w:pStyle w:val="SingleTxtG"/>
        <w:bidi/>
        <w:ind w:firstLine="567"/>
        <w:textDirection w:val="tbRlV"/>
        <w:rPr>
          <w:rFonts w:hint="default"/>
          <w:szCs w:val="20"/>
          <w:lang w:val="ar-SA" w:eastAsia="zh-TW" w:bidi="en-GB"/>
        </w:rPr>
      </w:pPr>
      <w:r w:rsidRPr="00D91C56">
        <w:rPr>
          <w:i/>
          <w:iCs/>
          <w:rtl/>
        </w:rPr>
        <w:lastRenderedPageBreak/>
        <w:t>وإذ يرحب أيضاً</w:t>
      </w:r>
      <w:r w:rsidRPr="00D91C56">
        <w:rPr>
          <w:rtl/>
        </w:rPr>
        <w:t xml:space="preserve"> بتقرير المقررة الخاصة المعنية بحالة حقوق الإنسان في </w:t>
      </w:r>
      <w:proofErr w:type="gramStart"/>
      <w:r w:rsidRPr="00D91C56">
        <w:rPr>
          <w:rtl/>
        </w:rPr>
        <w:t>إريتريا</w:t>
      </w:r>
      <w:r w:rsidR="00D91C56">
        <w:rPr>
          <w:rFonts w:hint="default"/>
          <w:vertAlign w:val="superscript"/>
          <w:rtl/>
        </w:rPr>
        <w:t>(</w:t>
      </w:r>
      <w:proofErr w:type="gramEnd"/>
      <w:r w:rsidR="00D91C56" w:rsidRPr="00D91C56">
        <w:rPr>
          <w:rStyle w:val="FootnoteReference"/>
          <w:rFonts w:ascii="Times New Roman" w:hAnsi="Times New Roman" w:cs="Times New Roman" w:hint="default"/>
          <w:b w:val="0"/>
          <w:position w:val="4"/>
          <w:sz w:val="20"/>
          <w:lang w:val="en-US"/>
        </w:rPr>
        <w:footnoteReference w:id="4"/>
      </w:r>
      <w:r w:rsidR="00D91C56">
        <w:rPr>
          <w:rFonts w:hint="default"/>
          <w:vertAlign w:val="superscript"/>
          <w:rtl/>
        </w:rPr>
        <w:t>)</w:t>
      </w:r>
      <w:r w:rsidR="00D91C56">
        <w:rPr>
          <w:rtl/>
        </w:rPr>
        <w:t xml:space="preserve"> </w:t>
      </w:r>
      <w:r w:rsidRPr="00D91C56">
        <w:rPr>
          <w:rtl/>
        </w:rPr>
        <w:t>واستنتاجاتها،</w:t>
      </w:r>
    </w:p>
    <w:p w14:paraId="30CB8582" w14:textId="54484EB8" w:rsidR="007F3137" w:rsidRPr="00D91C56" w:rsidRDefault="00D91C56" w:rsidP="007F3137">
      <w:pPr>
        <w:pStyle w:val="SingleTxtGA"/>
        <w:rPr>
          <w:szCs w:val="20"/>
          <w:lang w:val="ar-SA" w:eastAsia="zh-TW" w:bidi="en-GB"/>
        </w:rPr>
      </w:pPr>
      <w:r w:rsidRPr="00D91C56">
        <w:rPr>
          <w:szCs w:val="20"/>
          <w:rtl/>
        </w:rPr>
        <w:tab/>
      </w:r>
      <w:r w:rsidR="007F3137" w:rsidRPr="00D91C56">
        <w:rPr>
          <w:szCs w:val="20"/>
          <w:rtl/>
        </w:rPr>
        <w:t>1-</w:t>
      </w:r>
      <w:r w:rsidR="007F3137" w:rsidRPr="00D91C56">
        <w:rPr>
          <w:rtl/>
        </w:rPr>
        <w:tab/>
      </w:r>
      <w:r w:rsidR="007F3137" w:rsidRPr="00D91C56">
        <w:rPr>
          <w:i/>
          <w:iCs/>
          <w:rtl/>
        </w:rPr>
        <w:t xml:space="preserve">يطلب </w:t>
      </w:r>
      <w:r w:rsidR="007F3137" w:rsidRPr="00D91C56">
        <w:rPr>
          <w:rtl/>
        </w:rPr>
        <w:t>إلى مفوضية الأمم المتحدة السامية لحقوق الإنسان أن تقدم إلى مجلس حقوق الإنسان في دورته السادسة والأربعين معلومات شفوية محدَّثة عن التقدم المحرز في التعاون بين إريتريا والمفوضية السامية وعن تأثير هذا التعاون في حالة حقوق الإنسان في إريتريا؛</w:t>
      </w:r>
    </w:p>
    <w:p w14:paraId="0ACD9CB4" w14:textId="7500BBC9" w:rsidR="007F3137" w:rsidRPr="00D91C56" w:rsidRDefault="00D91C56" w:rsidP="007F3137">
      <w:pPr>
        <w:pStyle w:val="SingleTxtGA"/>
        <w:rPr>
          <w:szCs w:val="20"/>
          <w:lang w:val="ar-SA" w:eastAsia="zh-TW" w:bidi="en-GB"/>
        </w:rPr>
      </w:pPr>
      <w:r w:rsidRPr="00D91C56">
        <w:rPr>
          <w:szCs w:val="20"/>
          <w:rtl/>
        </w:rPr>
        <w:tab/>
      </w:r>
      <w:r w:rsidR="007F3137" w:rsidRPr="00D91C56">
        <w:rPr>
          <w:szCs w:val="20"/>
          <w:rtl/>
        </w:rPr>
        <w:t>2-</w:t>
      </w:r>
      <w:r w:rsidR="007F3137" w:rsidRPr="00D91C56">
        <w:rPr>
          <w:rtl/>
        </w:rPr>
        <w:tab/>
      </w:r>
      <w:r w:rsidR="007F3137" w:rsidRPr="00D91C56">
        <w:rPr>
          <w:i/>
          <w:iCs/>
          <w:rtl/>
        </w:rPr>
        <w:t>يقرر</w:t>
      </w:r>
      <w:r w:rsidR="007F3137" w:rsidRPr="00D91C56">
        <w:rPr>
          <w:rtl/>
        </w:rPr>
        <w:t xml:space="preserve"> تمديد ولاية المقررة الخاصة المعنية بحالة حقوق الإنسان في إريتريا لفترة إضافية مدتها سنة واحدة، ومواصلة تقييم حالة حقوق الإنسان والإبلاغ عنها في متابعةٍ لتقرير المقررة الخاصة، ويطلب إلى المقررة الخاصة أن تقدم معلومات شفوية محدَّثة إلى مجلس حقوق الإنسان في دورته السادسة والأربعين في أثناء جلسة تحاور، وأن تقدّم، خلال جلسة تحاور، تقريراً عن تنفيذ الولاية إلى المجلس في دورته السابعة والأربعين وإلى الجمعية العامة في دورتها الخامسة والسبعين؛</w:t>
      </w:r>
    </w:p>
    <w:p w14:paraId="0D015C04" w14:textId="4C4A87EC" w:rsidR="007F3137" w:rsidRPr="00D91C56" w:rsidRDefault="00D91C56" w:rsidP="007F3137">
      <w:pPr>
        <w:pStyle w:val="SingleTxtGA"/>
        <w:rPr>
          <w:szCs w:val="20"/>
          <w:lang w:eastAsia="zh-TW" w:bidi="en-GB"/>
        </w:rPr>
      </w:pPr>
      <w:r w:rsidRPr="00D91C56">
        <w:rPr>
          <w:szCs w:val="20"/>
          <w:rtl/>
        </w:rPr>
        <w:tab/>
      </w:r>
      <w:r w:rsidR="007F3137" w:rsidRPr="00D91C56">
        <w:rPr>
          <w:szCs w:val="20"/>
          <w:rtl/>
        </w:rPr>
        <w:t>3-</w:t>
      </w:r>
      <w:r w:rsidR="007F3137" w:rsidRPr="00D91C56">
        <w:rPr>
          <w:rtl/>
        </w:rPr>
        <w:tab/>
      </w:r>
      <w:r w:rsidR="007F3137" w:rsidRPr="00D91C56">
        <w:rPr>
          <w:i/>
          <w:iCs/>
          <w:rtl/>
        </w:rPr>
        <w:t>يهيب</w:t>
      </w:r>
      <w:r w:rsidR="007F3137" w:rsidRPr="00D91C56">
        <w:rPr>
          <w:rtl/>
        </w:rPr>
        <w:t xml:space="preserve"> بحكومة إريتريا أن تتعاون تعاوناً تاماً مع المقررة الخاصة، بسبل منها إتاحة إمكانية الوصول إلى البلد والالتزام بإحراز تقدم بشأن النقاط المرجعية </w:t>
      </w:r>
      <w:proofErr w:type="gramStart"/>
      <w:r w:rsidR="007F3137" w:rsidRPr="00D91C56">
        <w:rPr>
          <w:rtl/>
        </w:rPr>
        <w:t>المقترحة</w:t>
      </w:r>
      <w:r>
        <w:rPr>
          <w:vertAlign w:val="superscript"/>
          <w:rtl/>
        </w:rPr>
        <w:t>(</w:t>
      </w:r>
      <w:proofErr w:type="gramEnd"/>
      <w:r w:rsidRPr="00D91C56">
        <w:rPr>
          <w:rStyle w:val="FootnoteReference"/>
          <w:rFonts w:ascii="Times New Roman" w:hAnsi="Times New Roman" w:cs="Times New Roman"/>
          <w:b w:val="0"/>
          <w:position w:val="4"/>
          <w:sz w:val="20"/>
        </w:rPr>
        <w:footnoteReference w:id="5"/>
      </w:r>
      <w:r>
        <w:rPr>
          <w:vertAlign w:val="superscript"/>
          <w:rtl/>
        </w:rPr>
        <w:t>)</w:t>
      </w:r>
      <w:r w:rsidR="007F3137" w:rsidRPr="00D91C56">
        <w:rPr>
          <w:rtl/>
        </w:rPr>
        <w:t>؛</w:t>
      </w:r>
    </w:p>
    <w:p w14:paraId="0833C8E4" w14:textId="4D6B8D7C" w:rsidR="007F3137" w:rsidRPr="00955F01" w:rsidRDefault="00D91C56" w:rsidP="007F3137">
      <w:pPr>
        <w:pStyle w:val="SingleTxtGA"/>
        <w:rPr>
          <w:szCs w:val="20"/>
          <w:lang w:eastAsia="zh-TW" w:bidi="en-GB"/>
        </w:rPr>
      </w:pPr>
      <w:r w:rsidRPr="00D91C56">
        <w:rPr>
          <w:szCs w:val="20"/>
          <w:rtl/>
        </w:rPr>
        <w:tab/>
      </w:r>
      <w:r w:rsidR="007F3137" w:rsidRPr="00D91C56">
        <w:rPr>
          <w:szCs w:val="20"/>
          <w:rtl/>
        </w:rPr>
        <w:t>4-</w:t>
      </w:r>
      <w:r w:rsidR="007F3137" w:rsidRPr="00D91C56">
        <w:rPr>
          <w:rtl/>
        </w:rPr>
        <w:tab/>
      </w:r>
      <w:r w:rsidR="007F3137" w:rsidRPr="00D91C56">
        <w:rPr>
          <w:i/>
          <w:iCs/>
          <w:rtl/>
        </w:rPr>
        <w:t>يطلب</w:t>
      </w:r>
      <w:r w:rsidR="007F3137" w:rsidRPr="00D91C56">
        <w:rPr>
          <w:rtl/>
        </w:rPr>
        <w:t xml:space="preserve"> إلى الأمين العام أن يزود المقررة الخاصة بجميع المعلومات والموارد اللازمة للاضطلاع بالولاية؛</w:t>
      </w:r>
    </w:p>
    <w:p w14:paraId="45AE9896" w14:textId="321FAE1B" w:rsidR="007F3137" w:rsidRPr="00D91C56" w:rsidRDefault="00D91C56" w:rsidP="007F3137">
      <w:pPr>
        <w:pStyle w:val="SingleTxtGA"/>
        <w:rPr>
          <w:szCs w:val="20"/>
          <w:lang w:val="ar-SA" w:eastAsia="zh-TW" w:bidi="en-GB"/>
        </w:rPr>
      </w:pPr>
      <w:r w:rsidRPr="00D91C56">
        <w:rPr>
          <w:szCs w:val="20"/>
          <w:rtl/>
        </w:rPr>
        <w:tab/>
      </w:r>
      <w:r w:rsidR="007F3137" w:rsidRPr="00D91C56">
        <w:rPr>
          <w:szCs w:val="20"/>
          <w:rtl/>
        </w:rPr>
        <w:t>5-</w:t>
      </w:r>
      <w:r w:rsidR="007F3137" w:rsidRPr="00D91C56">
        <w:rPr>
          <w:rtl/>
        </w:rPr>
        <w:tab/>
      </w:r>
      <w:r w:rsidR="007F3137" w:rsidRPr="00D91C56">
        <w:rPr>
          <w:i/>
          <w:iCs/>
          <w:rtl/>
        </w:rPr>
        <w:t>يقرر</w:t>
      </w:r>
      <w:r w:rsidR="007F3137" w:rsidRPr="00D91C56">
        <w:rPr>
          <w:rtl/>
        </w:rPr>
        <w:t xml:space="preserve"> إبقاء المسألة قيد نظره.</w:t>
      </w:r>
    </w:p>
    <w:p w14:paraId="0C2AF6E5" w14:textId="6EB67BAD" w:rsidR="00673245" w:rsidRPr="007F3137" w:rsidRDefault="007F3137" w:rsidP="007F3137">
      <w:pPr>
        <w:spacing w:before="120"/>
        <w:jc w:val="center"/>
        <w:rPr>
          <w:rFonts w:hint="cs"/>
          <w:u w:val="single"/>
          <w:rtl/>
        </w:rPr>
      </w:pPr>
      <w:r>
        <w:rPr>
          <w:u w:val="single"/>
          <w:rtl/>
        </w:rPr>
        <w:tab/>
      </w:r>
      <w:r>
        <w:rPr>
          <w:u w:val="single"/>
          <w:rtl/>
        </w:rPr>
        <w:tab/>
      </w:r>
      <w:r>
        <w:rPr>
          <w:u w:val="single"/>
          <w:rtl/>
        </w:rPr>
        <w:tab/>
      </w:r>
    </w:p>
    <w:sectPr w:rsidR="00673245" w:rsidRPr="007F3137" w:rsidSect="006176A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51CE" w14:textId="77777777" w:rsidR="00A14CA2" w:rsidRPr="002901D9" w:rsidRDefault="00A14CA2" w:rsidP="002901D9">
      <w:pPr>
        <w:spacing w:after="60" w:line="240" w:lineRule="auto"/>
        <w:rPr>
          <w:i/>
          <w:iCs/>
        </w:rPr>
      </w:pPr>
      <w:r>
        <w:rPr>
          <w:rFonts w:hint="cs"/>
          <w:i/>
          <w:iCs/>
          <w:rtl/>
        </w:rPr>
        <w:t>الحواشي</w:t>
      </w:r>
    </w:p>
  </w:endnote>
  <w:endnote w:type="continuationSeparator" w:id="0">
    <w:p w14:paraId="51230E4C" w14:textId="77777777" w:rsidR="00A14CA2" w:rsidRDefault="00A14CA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E3E6" w14:textId="77777777" w:rsidR="006176A1" w:rsidRPr="007F3137" w:rsidRDefault="007F3137" w:rsidP="007F3137">
    <w:pPr>
      <w:pStyle w:val="Footer"/>
      <w:tabs>
        <w:tab w:val="right" w:pos="9598"/>
      </w:tabs>
      <w:rPr>
        <w:sz w:val="17"/>
      </w:rPr>
    </w:pPr>
    <w:r>
      <w:rPr>
        <w:sz w:val="17"/>
      </w:rPr>
      <w:t>GE.20-09192</w:t>
    </w:r>
    <w:r>
      <w:rPr>
        <w:sz w:val="17"/>
      </w:rPr>
      <w:tab/>
    </w:r>
    <w:r w:rsidRPr="007F3137">
      <w:rPr>
        <w:b/>
        <w:sz w:val="18"/>
      </w:rPr>
      <w:fldChar w:fldCharType="begin"/>
    </w:r>
    <w:r w:rsidRPr="007F3137">
      <w:rPr>
        <w:b/>
        <w:sz w:val="18"/>
      </w:rPr>
      <w:instrText xml:space="preserve"> PAGE  \* MERGEFORMAT </w:instrText>
    </w:r>
    <w:r w:rsidRPr="007F3137">
      <w:rPr>
        <w:b/>
        <w:sz w:val="18"/>
      </w:rPr>
      <w:fldChar w:fldCharType="separate"/>
    </w:r>
    <w:r>
      <w:rPr>
        <w:b/>
        <w:sz w:val="18"/>
      </w:rPr>
      <w:t>2</w:t>
    </w:r>
    <w:r w:rsidRPr="007F313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5900" w14:textId="77777777" w:rsidR="006959B0" w:rsidRPr="007F3137" w:rsidRDefault="007F3137" w:rsidP="006959B0">
    <w:pPr>
      <w:pStyle w:val="Footer"/>
      <w:tabs>
        <w:tab w:val="right" w:pos="9599"/>
      </w:tabs>
      <w:jc w:val="left"/>
      <w:rPr>
        <w:b/>
        <w:sz w:val="18"/>
        <w:lang w:val="en-US"/>
      </w:rPr>
    </w:pPr>
    <w:r w:rsidRPr="007F3137">
      <w:rPr>
        <w:b/>
        <w:sz w:val="18"/>
        <w:lang w:val="en-US"/>
      </w:rPr>
      <w:fldChar w:fldCharType="begin"/>
    </w:r>
    <w:r w:rsidRPr="007F3137">
      <w:rPr>
        <w:b/>
        <w:sz w:val="18"/>
        <w:lang w:val="en-US"/>
      </w:rPr>
      <w:instrText xml:space="preserve"> PAGE  \* MERGEFORMAT </w:instrText>
    </w:r>
    <w:r w:rsidRPr="007F3137">
      <w:rPr>
        <w:b/>
        <w:sz w:val="18"/>
        <w:lang w:val="en-US"/>
      </w:rPr>
      <w:fldChar w:fldCharType="separate"/>
    </w:r>
    <w:r w:rsidRPr="007F3137">
      <w:rPr>
        <w:b/>
        <w:noProof/>
        <w:sz w:val="18"/>
        <w:lang w:val="en-US"/>
      </w:rPr>
      <w:t>3</w:t>
    </w:r>
    <w:r w:rsidRPr="007F3137">
      <w:rPr>
        <w:b/>
        <w:sz w:val="18"/>
        <w:lang w:val="en-US"/>
      </w:rPr>
      <w:fldChar w:fldCharType="end"/>
    </w:r>
    <w:r>
      <w:rPr>
        <w:b/>
        <w:sz w:val="18"/>
        <w:lang w:val="en-US"/>
      </w:rPr>
      <w:tab/>
    </w:r>
    <w:r>
      <w:rPr>
        <w:sz w:val="17"/>
        <w:lang w:val="en-US"/>
      </w:rPr>
      <w:t>GE.20-09192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32EB" w14:textId="0D844CA6" w:rsidR="00FD4BC9" w:rsidRDefault="006176A1" w:rsidP="00F6741C">
    <w:pPr>
      <w:pStyle w:val="Footer"/>
      <w:spacing w:before="360"/>
      <w:jc w:val="right"/>
      <w:rPr>
        <w:sz w:val="20"/>
        <w:szCs w:val="20"/>
      </w:rPr>
    </w:pPr>
    <w:r>
      <w:rPr>
        <w:sz w:val="20"/>
        <w:szCs w:val="20"/>
      </w:rPr>
      <w:t>GE.20-09192</w:t>
    </w:r>
    <w:r w:rsidR="009A0166">
      <w:rPr>
        <w:noProof/>
      </w:rPr>
      <w:drawing>
        <wp:anchor distT="0" distB="0" distL="114300" distR="114300" simplePos="0" relativeHeight="251657728" behindDoc="1" locked="1" layoutInCell="0" allowOverlap="1" wp14:anchorId="43343010" wp14:editId="59F0FF70">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09654BA0" w14:textId="738480A4" w:rsidR="006176A1" w:rsidRPr="006176A1" w:rsidRDefault="006176A1" w:rsidP="006176A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9A0166">
      <w:rPr>
        <w:noProof/>
      </w:rPr>
      <w:drawing>
        <wp:anchor distT="0" distB="0" distL="114300" distR="114300" simplePos="0" relativeHeight="251659776" behindDoc="0" locked="0" layoutInCell="1" allowOverlap="1" wp14:anchorId="44249D98" wp14:editId="712A0165">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4B43" w14:textId="77777777" w:rsidR="00A14CA2" w:rsidRPr="0054762C" w:rsidRDefault="00A14CA2" w:rsidP="000E524A">
      <w:pPr>
        <w:pStyle w:val="Footer"/>
        <w:bidi/>
        <w:spacing w:after="80" w:line="200" w:lineRule="exact"/>
        <w:ind w:left="680"/>
      </w:pPr>
      <w:r>
        <w:rPr>
          <w:rtl/>
        </w:rPr>
        <w:t>__________</w:t>
      </w:r>
    </w:p>
  </w:footnote>
  <w:footnote w:type="continuationSeparator" w:id="0">
    <w:p w14:paraId="616A9F28" w14:textId="77777777" w:rsidR="00A14CA2" w:rsidRDefault="00A14CA2" w:rsidP="00656392">
      <w:pPr>
        <w:spacing w:line="240" w:lineRule="auto"/>
      </w:pPr>
      <w:r>
        <w:continuationSeparator/>
      </w:r>
    </w:p>
  </w:footnote>
  <w:footnote w:id="1">
    <w:p w14:paraId="21CBDBDE" w14:textId="7E35EDD5" w:rsidR="00D91C56" w:rsidRPr="00D91C56" w:rsidRDefault="00D91C56" w:rsidP="00D91C56">
      <w:pPr>
        <w:pStyle w:val="FootnoteText1"/>
        <w:rPr>
          <w:rFonts w:hint="cs"/>
          <w:szCs w:val="24"/>
          <w:rtl/>
        </w:rPr>
      </w:pPr>
      <w:r w:rsidRPr="00D91C56">
        <w:rPr>
          <w:szCs w:val="24"/>
          <w:rtl/>
        </w:rPr>
        <w:t>*</w:t>
      </w:r>
      <w:r w:rsidRPr="00D91C56">
        <w:rPr>
          <w:szCs w:val="24"/>
          <w:rtl/>
        </w:rPr>
        <w:tab/>
      </w:r>
      <w:r w:rsidRPr="00D91C56">
        <w:rPr>
          <w:rFonts w:hint="cs"/>
          <w:szCs w:val="24"/>
          <w:rtl/>
        </w:rPr>
        <w:t>دولة غير عضو في مجلس حقوق الإنسان.</w:t>
      </w:r>
    </w:p>
  </w:footnote>
  <w:footnote w:id="2">
    <w:p w14:paraId="5837E083" w14:textId="652F9058" w:rsidR="00D91C56" w:rsidRPr="00D91C56" w:rsidRDefault="00D91C56" w:rsidP="00D91C56">
      <w:pPr>
        <w:pStyle w:val="FootnoteText1"/>
        <w:rPr>
          <w:rFonts w:hint="cs"/>
          <w:szCs w:val="24"/>
        </w:rPr>
      </w:pPr>
      <w:r w:rsidRPr="00D91C56">
        <w:rPr>
          <w:szCs w:val="24"/>
          <w:rtl/>
        </w:rPr>
        <w:t>(</w:t>
      </w:r>
      <w:r w:rsidRPr="00D91C56">
        <w:rPr>
          <w:rStyle w:val="FootnoteReference"/>
          <w:rFonts w:ascii="Times New Roman" w:hAnsi="Times New Roman" w:cs="Times New Roman"/>
          <w:b w:val="0"/>
          <w:szCs w:val="24"/>
          <w:vertAlign w:val="baseline"/>
        </w:rPr>
        <w:footnoteRef/>
      </w:r>
      <w:r w:rsidRPr="00D91C56">
        <w:rPr>
          <w:szCs w:val="24"/>
          <w:rtl/>
        </w:rPr>
        <w:t>)</w:t>
      </w:r>
      <w:r w:rsidRPr="00D91C56">
        <w:rPr>
          <w:szCs w:val="24"/>
          <w:rtl/>
        </w:rPr>
        <w:tab/>
      </w:r>
      <w:r w:rsidRPr="00D91C56">
        <w:rPr>
          <w:rFonts w:cs="Times New Roman"/>
          <w:szCs w:val="24"/>
        </w:rPr>
        <w:t>A/HRC/41/14</w:t>
      </w:r>
      <w:r w:rsidRPr="00D91C56">
        <w:rPr>
          <w:szCs w:val="24"/>
          <w:rtl/>
        </w:rPr>
        <w:t>.</w:t>
      </w:r>
    </w:p>
  </w:footnote>
  <w:footnote w:id="3">
    <w:p w14:paraId="5D362314" w14:textId="319E6524" w:rsidR="00D91C56" w:rsidRPr="00D91C56" w:rsidRDefault="00D91C56" w:rsidP="00D91C56">
      <w:pPr>
        <w:pStyle w:val="FootnoteText1"/>
        <w:rPr>
          <w:rFonts w:hint="cs"/>
          <w:szCs w:val="24"/>
          <w:rtl/>
        </w:rPr>
      </w:pPr>
      <w:r w:rsidRPr="00D91C56">
        <w:rPr>
          <w:szCs w:val="24"/>
          <w:rtl/>
        </w:rPr>
        <w:t>(</w:t>
      </w:r>
      <w:r w:rsidRPr="00D91C56">
        <w:rPr>
          <w:rStyle w:val="FootnoteReference"/>
          <w:rFonts w:ascii="Times New Roman" w:hAnsi="Times New Roman" w:cs="Times New Roman"/>
          <w:b w:val="0"/>
          <w:szCs w:val="24"/>
          <w:vertAlign w:val="baseline"/>
        </w:rPr>
        <w:footnoteRef/>
      </w:r>
      <w:r w:rsidRPr="00D91C56">
        <w:rPr>
          <w:szCs w:val="24"/>
          <w:rtl/>
        </w:rPr>
        <w:t>)</w:t>
      </w:r>
      <w:r w:rsidRPr="00D91C56">
        <w:rPr>
          <w:szCs w:val="24"/>
          <w:rtl/>
        </w:rPr>
        <w:tab/>
        <w:t xml:space="preserve">انظر </w:t>
      </w:r>
      <w:r w:rsidRPr="00D91C56">
        <w:rPr>
          <w:rFonts w:cs="Times New Roman"/>
          <w:szCs w:val="24"/>
        </w:rPr>
        <w:t>CEDAW/C/ERI/CO/6</w:t>
      </w:r>
      <w:r w:rsidRPr="00D91C56">
        <w:rPr>
          <w:szCs w:val="24"/>
          <w:rtl/>
        </w:rPr>
        <w:t>.</w:t>
      </w:r>
    </w:p>
  </w:footnote>
  <w:footnote w:id="4">
    <w:p w14:paraId="21E85306" w14:textId="39445BCF" w:rsidR="00D91C56" w:rsidRPr="00D91C56" w:rsidRDefault="00D91C56" w:rsidP="00D91C56">
      <w:pPr>
        <w:pStyle w:val="FootnoteText1"/>
        <w:rPr>
          <w:rFonts w:hint="cs"/>
          <w:szCs w:val="24"/>
        </w:rPr>
      </w:pPr>
      <w:r w:rsidRPr="00D91C56">
        <w:rPr>
          <w:szCs w:val="24"/>
          <w:rtl/>
        </w:rPr>
        <w:t>(</w:t>
      </w:r>
      <w:r w:rsidRPr="00D91C56">
        <w:rPr>
          <w:rStyle w:val="FootnoteReference"/>
          <w:rFonts w:ascii="Times New Roman" w:hAnsi="Times New Roman" w:cs="Times New Roman"/>
          <w:b w:val="0"/>
          <w:szCs w:val="24"/>
          <w:vertAlign w:val="baseline"/>
        </w:rPr>
        <w:footnoteRef/>
      </w:r>
      <w:r w:rsidRPr="00D91C56">
        <w:rPr>
          <w:szCs w:val="24"/>
          <w:rtl/>
        </w:rPr>
        <w:t>)</w:t>
      </w:r>
      <w:r w:rsidRPr="00D91C56">
        <w:rPr>
          <w:szCs w:val="24"/>
          <w:rtl/>
        </w:rPr>
        <w:tab/>
      </w:r>
      <w:r w:rsidRPr="00D91C56">
        <w:rPr>
          <w:rFonts w:cs="Times New Roman"/>
          <w:szCs w:val="24"/>
        </w:rPr>
        <w:t>A/HRC/44/23</w:t>
      </w:r>
      <w:r w:rsidRPr="00D91C56">
        <w:rPr>
          <w:szCs w:val="24"/>
          <w:rtl/>
        </w:rPr>
        <w:t>.</w:t>
      </w:r>
    </w:p>
  </w:footnote>
  <w:footnote w:id="5">
    <w:p w14:paraId="2254BA54" w14:textId="58FBBB3A" w:rsidR="00D91C56" w:rsidRPr="00D91C56" w:rsidRDefault="00D91C56" w:rsidP="00D91C56">
      <w:pPr>
        <w:pStyle w:val="FootnoteText1"/>
        <w:rPr>
          <w:rFonts w:hint="cs"/>
          <w:szCs w:val="24"/>
          <w:rtl/>
        </w:rPr>
      </w:pPr>
      <w:r w:rsidRPr="00D91C56">
        <w:rPr>
          <w:szCs w:val="24"/>
          <w:rtl/>
        </w:rPr>
        <w:t>(</w:t>
      </w:r>
      <w:r w:rsidRPr="00D91C56">
        <w:rPr>
          <w:rStyle w:val="FootnoteReference"/>
          <w:rFonts w:ascii="Times New Roman" w:hAnsi="Times New Roman" w:cs="Times New Roman"/>
          <w:b w:val="0"/>
          <w:szCs w:val="24"/>
          <w:vertAlign w:val="baseline"/>
        </w:rPr>
        <w:footnoteRef/>
      </w:r>
      <w:r w:rsidRPr="00D91C56">
        <w:rPr>
          <w:szCs w:val="24"/>
          <w:rtl/>
        </w:rPr>
        <w:t>)</w:t>
      </w:r>
      <w:r w:rsidRPr="00D91C56">
        <w:rPr>
          <w:szCs w:val="24"/>
          <w:rtl/>
        </w:rPr>
        <w:tab/>
      </w:r>
      <w:r w:rsidRPr="00D91C56">
        <w:rPr>
          <w:rFonts w:cs="Times New Roman"/>
          <w:szCs w:val="24"/>
        </w:rPr>
        <w:t>A/HRC/41/53</w:t>
      </w:r>
      <w:r w:rsidRPr="00D91C56">
        <w:rPr>
          <w:szCs w:val="24"/>
          <w:rtl/>
        </w:rPr>
        <w:t xml:space="preserve">، الفقرة </w:t>
      </w:r>
      <w:r w:rsidRPr="00D91C56">
        <w:rPr>
          <w:sz w:val="12"/>
          <w:szCs w:val="18"/>
          <w:rtl/>
        </w:rPr>
        <w:t>75</w:t>
      </w:r>
      <w:r w:rsidRPr="00D91C56">
        <w:rPr>
          <w:szCs w:val="24"/>
          <w:rtl/>
        </w:rPr>
        <w:t>-</w:t>
      </w:r>
      <w:r w:rsidRPr="00D91C56">
        <w:rPr>
          <w:sz w:val="12"/>
          <w:szCs w:val="18"/>
          <w:rtl/>
        </w:rPr>
        <w:t>81</w:t>
      </w:r>
      <w:r w:rsidRPr="00D91C56">
        <w:rPr>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8FB9" w14:textId="77777777" w:rsidR="006176A1" w:rsidRPr="007F3137" w:rsidRDefault="007F3137" w:rsidP="007F3137">
    <w:pPr>
      <w:pStyle w:val="Header"/>
      <w:jc w:val="right"/>
    </w:pPr>
    <w:r w:rsidRPr="007F3137">
      <w:t>A/HRC/44/</w:t>
    </w:r>
    <w:proofErr w:type="spellStart"/>
    <w:r w:rsidRPr="007F3137">
      <w:t>L.8</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AE6F" w14:textId="77777777" w:rsidR="006176A1" w:rsidRPr="007F3137" w:rsidRDefault="007F3137" w:rsidP="007F3137">
    <w:pPr>
      <w:pStyle w:val="Header"/>
      <w:jc w:val="left"/>
    </w:pPr>
    <w:r w:rsidRPr="007F3137">
      <w:t>A/HRC/44/</w:t>
    </w:r>
    <w:proofErr w:type="spellStart"/>
    <w:r w:rsidRPr="007F3137">
      <w:t>L.8</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14CA2"/>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A44B3"/>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176A1"/>
    <w:rsid w:val="00656392"/>
    <w:rsid w:val="00673245"/>
    <w:rsid w:val="0068781D"/>
    <w:rsid w:val="006959B0"/>
    <w:rsid w:val="006B3E27"/>
    <w:rsid w:val="006B6507"/>
    <w:rsid w:val="006C104C"/>
    <w:rsid w:val="00733704"/>
    <w:rsid w:val="00740188"/>
    <w:rsid w:val="00764796"/>
    <w:rsid w:val="0078071A"/>
    <w:rsid w:val="007A70BB"/>
    <w:rsid w:val="007F3137"/>
    <w:rsid w:val="00852A9A"/>
    <w:rsid w:val="00853DDE"/>
    <w:rsid w:val="00871544"/>
    <w:rsid w:val="008930DB"/>
    <w:rsid w:val="00895D16"/>
    <w:rsid w:val="008A4DC0"/>
    <w:rsid w:val="008F49E1"/>
    <w:rsid w:val="0090370F"/>
    <w:rsid w:val="009269D2"/>
    <w:rsid w:val="00942135"/>
    <w:rsid w:val="009521B0"/>
    <w:rsid w:val="00955F01"/>
    <w:rsid w:val="009A0166"/>
    <w:rsid w:val="009A7E9F"/>
    <w:rsid w:val="009E5018"/>
    <w:rsid w:val="00A12B37"/>
    <w:rsid w:val="00A14CA2"/>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91C56"/>
    <w:rsid w:val="00DD13C3"/>
    <w:rsid w:val="00DD596E"/>
    <w:rsid w:val="00DD621E"/>
    <w:rsid w:val="00DF0575"/>
    <w:rsid w:val="00E551B9"/>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A1EF186"/>
  <w15:docId w15:val="{BD4CCC58-917F-463A-AD58-70728DE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
    <w:link w:val="FootnoteText"/>
    <w:uiPriority w:val="99"/>
    <w:rsid w:val="001A1371"/>
    <w:rPr>
      <w:sz w:val="20"/>
      <w:szCs w:val="20"/>
    </w:rPr>
  </w:style>
  <w:style w:type="character" w:styleId="FootnoteReference">
    <w:name w:val="footnote reference"/>
    <w:aliases w:val="4_GA,4_G"/>
    <w:uiPriority w:val="99"/>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7F3137"/>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D68C-D2CA-4ABF-8E84-7E637110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397</Words>
  <Characters>2234</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A/HRC/44/L.8</vt:lpstr>
    </vt:vector>
  </TitlesOfParts>
  <Company>DCM</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A/HRC/44/L.8</dc:title>
  <dc:subject>GE. 2009192</dc:subject>
  <dc:creator>IBAL</dc:creator>
  <cp:keywords>ODS No.</cp:keywords>
  <dc:description>Original: English _x000d_
Distribution: General_x000d_
Date:</dc:description>
  <cp:lastModifiedBy>Ibrahim Balan</cp:lastModifiedBy>
  <cp:revision>3</cp:revision>
  <cp:lastPrinted>2020-07-13T09:14:00Z</cp:lastPrinted>
  <dcterms:created xsi:type="dcterms:W3CDTF">2020-07-13T09:14:00Z</dcterms:created>
  <dcterms:modified xsi:type="dcterms:W3CDTF">2020-07-13T09:15:00Z</dcterms:modified>
  <cp:category>Final</cp:category>
</cp:coreProperties>
</file>