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6075C7" w:rsidRDefault="008A0612" w:rsidP="000E62AA">
            <w:pPr>
              <w:spacing w:line="240" w:lineRule="atLeast"/>
              <w:jc w:val="right"/>
              <w:rPr>
                <w:sz w:val="20"/>
                <w:szCs w:val="21"/>
              </w:rPr>
            </w:pPr>
            <w:r>
              <w:rPr>
                <w:sz w:val="40"/>
                <w:szCs w:val="21"/>
              </w:rPr>
              <w:t>A</w:t>
            </w:r>
            <w:r w:rsidR="006075C7">
              <w:rPr>
                <w:sz w:val="20"/>
                <w:szCs w:val="21"/>
              </w:rPr>
              <w:t>/</w:t>
            </w:r>
            <w:r>
              <w:rPr>
                <w:sz w:val="20"/>
                <w:szCs w:val="21"/>
              </w:rPr>
              <w:t>HRC</w:t>
            </w:r>
            <w:r w:rsidR="006075C7">
              <w:rPr>
                <w:sz w:val="20"/>
                <w:szCs w:val="21"/>
              </w:rPr>
              <w:t>/</w:t>
            </w:r>
            <w:r>
              <w:rPr>
                <w:sz w:val="20"/>
                <w:szCs w:val="21"/>
              </w:rPr>
              <w:t>44</w:t>
            </w:r>
            <w:r w:rsidR="006075C7">
              <w:rPr>
                <w:sz w:val="20"/>
                <w:szCs w:val="21"/>
              </w:rPr>
              <w:t>/</w:t>
            </w:r>
            <w:r>
              <w:rPr>
                <w:sz w:val="20"/>
                <w:szCs w:val="21"/>
              </w:rPr>
              <w:t>L</w:t>
            </w:r>
            <w:r w:rsidR="006075C7">
              <w:rPr>
                <w:sz w:val="20"/>
                <w:szCs w:val="21"/>
              </w:rPr>
              <w:t>.</w:t>
            </w:r>
            <w:r>
              <w:rPr>
                <w:sz w:val="20"/>
                <w:szCs w:val="21"/>
              </w:rPr>
              <w:t>7</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8A0612" w:rsidP="000E62AA">
            <w:pPr>
              <w:spacing w:before="240" w:line="240" w:lineRule="atLeast"/>
              <w:rPr>
                <w:sz w:val="20"/>
              </w:rPr>
            </w:pPr>
            <w:r>
              <w:rPr>
                <w:sz w:val="20"/>
              </w:rPr>
              <w:t>Distr.: Limited</w:t>
            </w:r>
          </w:p>
          <w:p w:rsidR="00A1364C" w:rsidRPr="00F124C6" w:rsidRDefault="008A0612" w:rsidP="000E62AA">
            <w:pPr>
              <w:spacing w:line="240" w:lineRule="atLeast"/>
              <w:rPr>
                <w:sz w:val="20"/>
              </w:rPr>
            </w:pPr>
            <w:r>
              <w:rPr>
                <w:sz w:val="20"/>
              </w:rPr>
              <w:t>14</w:t>
            </w:r>
            <w:r w:rsidR="006075C7" w:rsidRPr="006075C7">
              <w:rPr>
                <w:sz w:val="20"/>
              </w:rPr>
              <w:t xml:space="preserve"> </w:t>
            </w:r>
            <w:r>
              <w:rPr>
                <w:sz w:val="20"/>
              </w:rPr>
              <w:t>July</w:t>
            </w:r>
            <w:r w:rsidR="006075C7" w:rsidRPr="006075C7">
              <w:rPr>
                <w:sz w:val="20"/>
              </w:rPr>
              <w:t xml:space="preserve"> </w:t>
            </w:r>
            <w:r>
              <w:rPr>
                <w:sz w:val="20"/>
              </w:rPr>
              <w:t>2</w:t>
            </w:r>
            <w:r w:rsidR="006075C7" w:rsidRPr="006075C7">
              <w:rPr>
                <w:sz w:val="20"/>
              </w:rPr>
              <w:t>0</w:t>
            </w:r>
            <w:r>
              <w:rPr>
                <w:sz w:val="20"/>
              </w:rPr>
              <w:t>2</w:t>
            </w:r>
            <w:r w:rsidR="006075C7" w:rsidRPr="006075C7">
              <w:rPr>
                <w:sz w:val="20"/>
              </w:rPr>
              <w:t>0</w:t>
            </w:r>
          </w:p>
          <w:p w:rsidR="00A1364C" w:rsidRPr="00F124C6" w:rsidRDefault="008A0612" w:rsidP="000E62AA">
            <w:pPr>
              <w:spacing w:line="240" w:lineRule="atLeast"/>
              <w:rPr>
                <w:sz w:val="20"/>
              </w:rPr>
            </w:pPr>
            <w:r>
              <w:rPr>
                <w:sz w:val="20"/>
              </w:rPr>
              <w:t>Chinese</w:t>
            </w:r>
            <w:r w:rsidR="00A1364C" w:rsidRPr="00F124C6">
              <w:rPr>
                <w:sz w:val="20"/>
              </w:rPr>
              <w:t xml:space="preserve"> </w:t>
            </w:r>
          </w:p>
          <w:p w:rsidR="00A1364C" w:rsidRPr="00F124C6" w:rsidRDefault="008A0612" w:rsidP="000E62AA">
            <w:pPr>
              <w:spacing w:line="240" w:lineRule="atLeast"/>
            </w:pPr>
            <w:r>
              <w:rPr>
                <w:sz w:val="20"/>
              </w:rPr>
              <w:t>Original: English</w:t>
            </w:r>
          </w:p>
        </w:tc>
      </w:tr>
    </w:tbl>
    <w:p w:rsidR="006075C7" w:rsidRDefault="006075C7" w:rsidP="00C7253F">
      <w:pPr>
        <w:spacing w:before="120"/>
        <w:rPr>
          <w:rFonts w:eastAsia="黑体"/>
          <w:sz w:val="24"/>
          <w:szCs w:val="24"/>
          <w:lang w:val="fr-CH"/>
        </w:rPr>
      </w:pPr>
      <w:r>
        <w:rPr>
          <w:rFonts w:eastAsia="黑体" w:hint="eastAsia"/>
          <w:sz w:val="24"/>
          <w:szCs w:val="24"/>
          <w:lang w:val="fr-CH"/>
        </w:rPr>
        <w:t>人权理事会</w:t>
      </w:r>
    </w:p>
    <w:p w:rsidR="006075C7" w:rsidRPr="0024138C" w:rsidRDefault="006075C7" w:rsidP="0024138C">
      <w:pPr>
        <w:rPr>
          <w:rFonts w:eastAsia="黑体" w:hint="eastAsia"/>
          <w:szCs w:val="21"/>
          <w:lang w:val="fr-CH"/>
        </w:rPr>
      </w:pPr>
      <w:r w:rsidRPr="0024138C">
        <w:rPr>
          <w:rFonts w:eastAsia="黑体" w:hint="eastAsia"/>
          <w:szCs w:val="21"/>
          <w:lang w:val="fr-CH"/>
        </w:rPr>
        <w:t>第四十四届会议</w:t>
      </w:r>
    </w:p>
    <w:p w:rsidR="006075C7" w:rsidRPr="0024138C" w:rsidRDefault="008A0612" w:rsidP="0024138C">
      <w:pPr>
        <w:rPr>
          <w:rFonts w:ascii="Time New Roman" w:hAnsi="Time New Roman" w:hint="eastAsia"/>
          <w:szCs w:val="21"/>
          <w:lang w:val="fr-CH"/>
        </w:rPr>
      </w:pPr>
      <w:r>
        <w:rPr>
          <w:rFonts w:ascii="Time New Roman" w:hAnsi="Time New Roman" w:hint="eastAsia"/>
          <w:szCs w:val="21"/>
          <w:lang w:val="fr-CH"/>
        </w:rPr>
        <w:t>2</w:t>
      </w:r>
      <w:r w:rsidR="006075C7" w:rsidRPr="0024138C">
        <w:rPr>
          <w:rFonts w:ascii="Time New Roman" w:hAnsi="Time New Roman" w:hint="eastAsia"/>
          <w:szCs w:val="21"/>
          <w:lang w:val="fr-CH"/>
        </w:rPr>
        <w:t>0</w:t>
      </w:r>
      <w:r>
        <w:rPr>
          <w:rFonts w:ascii="Time New Roman" w:hAnsi="Time New Roman" w:hint="eastAsia"/>
          <w:szCs w:val="21"/>
          <w:lang w:val="fr-CH"/>
        </w:rPr>
        <w:t>2</w:t>
      </w:r>
      <w:r w:rsidR="006075C7" w:rsidRPr="0024138C">
        <w:rPr>
          <w:rFonts w:ascii="Time New Roman" w:hAnsi="Time New Roman" w:hint="eastAsia"/>
          <w:szCs w:val="21"/>
          <w:lang w:val="fr-CH"/>
        </w:rPr>
        <w:t>0</w:t>
      </w:r>
      <w:r w:rsidR="006075C7" w:rsidRPr="0024138C">
        <w:rPr>
          <w:rFonts w:ascii="Time New Roman" w:hAnsi="Time New Roman" w:hint="eastAsia"/>
          <w:szCs w:val="21"/>
          <w:lang w:val="fr-CH"/>
        </w:rPr>
        <w:t>年</w:t>
      </w:r>
      <w:r>
        <w:rPr>
          <w:rFonts w:ascii="Time New Roman" w:hAnsi="Time New Roman" w:hint="eastAsia"/>
          <w:szCs w:val="21"/>
          <w:lang w:val="fr-CH"/>
        </w:rPr>
        <w:t>6</w:t>
      </w:r>
      <w:r w:rsidR="006075C7" w:rsidRPr="0024138C">
        <w:rPr>
          <w:rFonts w:ascii="Time New Roman" w:hAnsi="Time New Roman" w:hint="eastAsia"/>
          <w:szCs w:val="21"/>
          <w:lang w:val="fr-CH"/>
        </w:rPr>
        <w:t>月</w:t>
      </w:r>
      <w:r>
        <w:rPr>
          <w:rFonts w:ascii="Time New Roman" w:hAnsi="Time New Roman" w:hint="eastAsia"/>
          <w:szCs w:val="21"/>
          <w:lang w:val="fr-CH"/>
        </w:rPr>
        <w:t>3</w:t>
      </w:r>
      <w:r w:rsidR="006075C7" w:rsidRPr="0024138C">
        <w:rPr>
          <w:rFonts w:ascii="Time New Roman" w:hAnsi="Time New Roman" w:hint="eastAsia"/>
          <w:szCs w:val="21"/>
          <w:lang w:val="fr-CH"/>
        </w:rPr>
        <w:t>0</w:t>
      </w:r>
      <w:r w:rsidR="006075C7" w:rsidRPr="0024138C">
        <w:rPr>
          <w:rFonts w:ascii="Time New Roman" w:hAnsi="Time New Roman" w:hint="eastAsia"/>
          <w:szCs w:val="21"/>
          <w:lang w:val="fr-CH"/>
        </w:rPr>
        <w:t>日至</w:t>
      </w:r>
      <w:r>
        <w:rPr>
          <w:rFonts w:ascii="Time New Roman" w:hAnsi="Time New Roman" w:hint="eastAsia"/>
          <w:szCs w:val="21"/>
          <w:lang w:val="fr-CH"/>
        </w:rPr>
        <w:t>7</w:t>
      </w:r>
      <w:r w:rsidR="006075C7" w:rsidRPr="0024138C">
        <w:rPr>
          <w:rFonts w:ascii="Time New Roman" w:hAnsi="Time New Roman" w:hint="eastAsia"/>
          <w:szCs w:val="21"/>
          <w:lang w:val="fr-CH"/>
        </w:rPr>
        <w:t>月</w:t>
      </w:r>
      <w:r>
        <w:rPr>
          <w:rFonts w:ascii="Time New Roman" w:hAnsi="Time New Roman" w:hint="eastAsia"/>
          <w:szCs w:val="21"/>
          <w:lang w:val="fr-CH"/>
        </w:rPr>
        <w:t>17</w:t>
      </w:r>
      <w:r w:rsidR="006075C7" w:rsidRPr="0024138C">
        <w:rPr>
          <w:rFonts w:ascii="Time New Roman" w:hAnsi="Time New Roman" w:hint="eastAsia"/>
          <w:szCs w:val="21"/>
          <w:lang w:val="fr-CH"/>
        </w:rPr>
        <w:t>日</w:t>
      </w:r>
    </w:p>
    <w:p w:rsidR="006075C7" w:rsidRPr="0024138C" w:rsidRDefault="006075C7" w:rsidP="0024138C">
      <w:pPr>
        <w:rPr>
          <w:rFonts w:ascii="Time New Roman" w:hAnsi="Time New Roman" w:hint="eastAsia"/>
          <w:szCs w:val="21"/>
          <w:lang w:val="fr-CH"/>
        </w:rPr>
      </w:pPr>
      <w:r w:rsidRPr="0024138C">
        <w:rPr>
          <w:rFonts w:ascii="Time New Roman" w:hAnsi="Time New Roman" w:hint="eastAsia"/>
          <w:szCs w:val="21"/>
          <w:lang w:val="fr-CH"/>
        </w:rPr>
        <w:t>议程项目</w:t>
      </w:r>
      <w:r w:rsidR="008A0612">
        <w:rPr>
          <w:rFonts w:ascii="Time New Roman" w:hAnsi="Time New Roman" w:hint="eastAsia"/>
          <w:szCs w:val="21"/>
          <w:lang w:val="fr-CH"/>
        </w:rPr>
        <w:t>3</w:t>
      </w:r>
    </w:p>
    <w:p w:rsidR="006075C7" w:rsidRPr="0024138C" w:rsidRDefault="006075C7" w:rsidP="0024138C">
      <w:pPr>
        <w:rPr>
          <w:rFonts w:eastAsia="黑体" w:hint="eastAsia"/>
          <w:szCs w:val="21"/>
          <w:lang w:val="fr-CH"/>
        </w:rPr>
      </w:pPr>
      <w:r w:rsidRPr="0024138C">
        <w:rPr>
          <w:rFonts w:eastAsia="黑体" w:hint="eastAsia"/>
          <w:szCs w:val="21"/>
          <w:lang w:val="fr-CH"/>
        </w:rPr>
        <w:t>促进和保护所有人权</w:t>
      </w:r>
      <w:r w:rsidR="00E76D55" w:rsidRPr="00E76D55">
        <w:rPr>
          <w:rFonts w:eastAsia="黑体" w:hint="eastAsia"/>
          <w:spacing w:val="-50"/>
          <w:szCs w:val="21"/>
          <w:lang w:val="fr-CH"/>
        </w:rPr>
        <w:t>―</w:t>
      </w:r>
      <w:r w:rsidR="00E76D55" w:rsidRPr="00E76D55">
        <w:rPr>
          <w:rFonts w:eastAsia="黑体" w:hint="eastAsia"/>
          <w:szCs w:val="21"/>
          <w:lang w:val="fr-CH"/>
        </w:rPr>
        <w:t>―</w:t>
      </w:r>
      <w:r w:rsidRPr="00E76D55">
        <w:rPr>
          <w:rFonts w:eastAsia="黑体" w:hint="eastAsia"/>
          <w:szCs w:val="21"/>
          <w:lang w:val="fr-CH"/>
        </w:rPr>
        <w:t>公</w:t>
      </w:r>
      <w:r w:rsidRPr="0024138C">
        <w:rPr>
          <w:rFonts w:eastAsia="黑体" w:hint="eastAsia"/>
          <w:szCs w:val="21"/>
          <w:lang w:val="fr-CH"/>
        </w:rPr>
        <w:t>民权利、政治权利、</w:t>
      </w:r>
      <w:r w:rsidR="0024138C">
        <w:rPr>
          <w:rFonts w:eastAsia="黑体"/>
          <w:szCs w:val="21"/>
          <w:lang w:val="fr-CH"/>
        </w:rPr>
        <w:br/>
      </w:r>
      <w:r w:rsidRPr="0024138C">
        <w:rPr>
          <w:rFonts w:eastAsia="黑体" w:hint="eastAsia"/>
          <w:szCs w:val="21"/>
          <w:lang w:val="fr-CH"/>
        </w:rPr>
        <w:t>经济、社会及文化权利，包括发展权</w:t>
      </w:r>
    </w:p>
    <w:p w:rsidR="006075C7" w:rsidRPr="006075C7" w:rsidRDefault="006075C7" w:rsidP="0024138C">
      <w:pPr>
        <w:pStyle w:val="H23GC"/>
        <w:rPr>
          <w:rFonts w:hint="eastAsia"/>
          <w:lang w:val="fr-CH"/>
        </w:rPr>
      </w:pPr>
      <w:r w:rsidRPr="006075C7">
        <w:rPr>
          <w:rFonts w:hint="eastAsia"/>
          <w:lang w:val="fr-CH"/>
        </w:rPr>
        <w:tab/>
      </w:r>
      <w:r w:rsidRPr="006075C7">
        <w:rPr>
          <w:rFonts w:hint="eastAsia"/>
          <w:lang w:val="fr-CH"/>
        </w:rPr>
        <w:tab/>
      </w:r>
      <w:r w:rsidRPr="006075C7">
        <w:rPr>
          <w:rFonts w:hint="eastAsia"/>
          <w:lang w:val="fr-CH"/>
        </w:rPr>
        <w:t>阿根廷、亚美尼亚、澳大利亚、奥地利、博茨瓦纳</w:t>
      </w:r>
      <w:r w:rsidR="0052528C" w:rsidRPr="008141CB">
        <w:rPr>
          <w:rStyle w:val="a8"/>
          <w:sz w:val="22"/>
          <w:vertAlign w:val="baseline"/>
          <w:lang w:val="fr-CH"/>
        </w:rPr>
        <w:footnoteReference w:customMarkFollows="1" w:id="2"/>
        <w:t>*</w:t>
      </w:r>
      <w:r w:rsidRPr="006075C7">
        <w:rPr>
          <w:rFonts w:hint="eastAsia"/>
          <w:lang w:val="fr-CH"/>
        </w:rPr>
        <w:t>、保加利亚、加拿大</w:t>
      </w:r>
      <w:r w:rsidRPr="006075C7">
        <w:rPr>
          <w:rFonts w:hint="eastAsia"/>
          <w:lang w:val="fr-CH"/>
        </w:rPr>
        <w:t>*</w:t>
      </w:r>
      <w:r w:rsidRPr="006075C7">
        <w:rPr>
          <w:rFonts w:hint="eastAsia"/>
          <w:lang w:val="fr-CH"/>
        </w:rPr>
        <w:t>、智利、克罗地亚</w:t>
      </w:r>
      <w:r w:rsidRPr="006075C7">
        <w:rPr>
          <w:rFonts w:hint="eastAsia"/>
          <w:lang w:val="fr-CH"/>
        </w:rPr>
        <w:t>*</w:t>
      </w:r>
      <w:r w:rsidRPr="006075C7">
        <w:rPr>
          <w:rFonts w:hint="eastAsia"/>
          <w:lang w:val="fr-CH"/>
        </w:rPr>
        <w:t>、捷克、丹麦、爱沙尼亚</w:t>
      </w:r>
      <w:r w:rsidRPr="006075C7">
        <w:rPr>
          <w:rFonts w:hint="eastAsia"/>
          <w:lang w:val="fr-CH"/>
        </w:rPr>
        <w:t>*</w:t>
      </w:r>
      <w:r w:rsidRPr="006075C7">
        <w:rPr>
          <w:rFonts w:hint="eastAsia"/>
          <w:lang w:val="fr-CH"/>
        </w:rPr>
        <w:t>、芬兰</w:t>
      </w:r>
      <w:r w:rsidRPr="006075C7">
        <w:rPr>
          <w:rFonts w:hint="eastAsia"/>
          <w:lang w:val="fr-CH"/>
        </w:rPr>
        <w:t>*</w:t>
      </w:r>
      <w:r w:rsidRPr="006075C7">
        <w:rPr>
          <w:rFonts w:hint="eastAsia"/>
          <w:lang w:val="fr-CH"/>
        </w:rPr>
        <w:t>、希腊</w:t>
      </w:r>
      <w:r w:rsidRPr="006075C7">
        <w:rPr>
          <w:rFonts w:hint="eastAsia"/>
          <w:lang w:val="fr-CH"/>
        </w:rPr>
        <w:t>*</w:t>
      </w:r>
      <w:r w:rsidRPr="006075C7">
        <w:rPr>
          <w:rFonts w:hint="eastAsia"/>
          <w:lang w:val="fr-CH"/>
        </w:rPr>
        <w:t>、匈牙利</w:t>
      </w:r>
      <w:r w:rsidRPr="006075C7">
        <w:rPr>
          <w:rFonts w:hint="eastAsia"/>
          <w:lang w:val="fr-CH"/>
        </w:rPr>
        <w:t>*</w:t>
      </w:r>
      <w:r w:rsidRPr="006075C7">
        <w:rPr>
          <w:rFonts w:hint="eastAsia"/>
          <w:lang w:val="fr-CH"/>
        </w:rPr>
        <w:t>、印度、爱尔兰</w:t>
      </w:r>
      <w:r w:rsidRPr="006075C7">
        <w:rPr>
          <w:rFonts w:hint="eastAsia"/>
          <w:lang w:val="fr-CH"/>
        </w:rPr>
        <w:t>*</w:t>
      </w:r>
      <w:r w:rsidRPr="006075C7">
        <w:rPr>
          <w:rFonts w:hint="eastAsia"/>
          <w:lang w:val="fr-CH"/>
        </w:rPr>
        <w:t>、拉脱维亚</w:t>
      </w:r>
      <w:r w:rsidRPr="006075C7">
        <w:rPr>
          <w:rFonts w:hint="eastAsia"/>
          <w:lang w:val="fr-CH"/>
        </w:rPr>
        <w:t>*</w:t>
      </w:r>
      <w:r w:rsidRPr="006075C7">
        <w:rPr>
          <w:rFonts w:hint="eastAsia"/>
          <w:lang w:val="fr-CH"/>
        </w:rPr>
        <w:t>、列支敦士登</w:t>
      </w:r>
      <w:r w:rsidRPr="006075C7">
        <w:rPr>
          <w:rFonts w:hint="eastAsia"/>
          <w:lang w:val="fr-CH"/>
        </w:rPr>
        <w:t>*</w:t>
      </w:r>
      <w:r w:rsidRPr="006075C7">
        <w:rPr>
          <w:rFonts w:hint="eastAsia"/>
          <w:lang w:val="fr-CH"/>
        </w:rPr>
        <w:t>、立陶宛</w:t>
      </w:r>
      <w:r w:rsidRPr="006075C7">
        <w:rPr>
          <w:rFonts w:hint="eastAsia"/>
          <w:lang w:val="fr-CH"/>
        </w:rPr>
        <w:t>*</w:t>
      </w:r>
      <w:r w:rsidRPr="006075C7">
        <w:rPr>
          <w:rFonts w:hint="eastAsia"/>
          <w:lang w:val="fr-CH"/>
        </w:rPr>
        <w:t>、马尔代夫</w:t>
      </w:r>
      <w:r w:rsidRPr="006075C7">
        <w:rPr>
          <w:rFonts w:hint="eastAsia"/>
          <w:lang w:val="fr-CH"/>
        </w:rPr>
        <w:t>*</w:t>
      </w:r>
      <w:r w:rsidRPr="006075C7">
        <w:rPr>
          <w:rFonts w:hint="eastAsia"/>
          <w:lang w:val="fr-CH"/>
        </w:rPr>
        <w:t>、马耳他</w:t>
      </w:r>
      <w:r w:rsidRPr="006075C7">
        <w:rPr>
          <w:rFonts w:hint="eastAsia"/>
          <w:lang w:val="fr-CH"/>
        </w:rPr>
        <w:t>*</w:t>
      </w:r>
      <w:r w:rsidRPr="006075C7">
        <w:rPr>
          <w:rFonts w:hint="eastAsia"/>
          <w:lang w:val="fr-CH"/>
        </w:rPr>
        <w:t>、墨西哥、黑山</w:t>
      </w:r>
      <w:r w:rsidRPr="006075C7">
        <w:rPr>
          <w:rFonts w:hint="eastAsia"/>
          <w:lang w:val="fr-CH"/>
        </w:rPr>
        <w:t>*</w:t>
      </w:r>
      <w:r w:rsidRPr="006075C7">
        <w:rPr>
          <w:rFonts w:hint="eastAsia"/>
          <w:lang w:val="fr-CH"/>
        </w:rPr>
        <w:t>、新西兰</w:t>
      </w:r>
      <w:r w:rsidRPr="006075C7">
        <w:rPr>
          <w:rFonts w:hint="eastAsia"/>
          <w:lang w:val="fr-CH"/>
        </w:rPr>
        <w:t>*</w:t>
      </w:r>
      <w:r w:rsidRPr="006075C7">
        <w:rPr>
          <w:rFonts w:hint="eastAsia"/>
          <w:lang w:val="fr-CH"/>
        </w:rPr>
        <w:t>、挪威</w:t>
      </w:r>
      <w:r w:rsidRPr="006075C7">
        <w:rPr>
          <w:rFonts w:hint="eastAsia"/>
          <w:lang w:val="fr-CH"/>
        </w:rPr>
        <w:t>*</w:t>
      </w:r>
      <w:r w:rsidRPr="006075C7">
        <w:rPr>
          <w:rFonts w:hint="eastAsia"/>
          <w:lang w:val="fr-CH"/>
        </w:rPr>
        <w:t>、秘鲁、罗马尼亚</w:t>
      </w:r>
      <w:r w:rsidRPr="006075C7">
        <w:rPr>
          <w:rFonts w:hint="eastAsia"/>
          <w:lang w:val="fr-CH"/>
        </w:rPr>
        <w:t>*</w:t>
      </w:r>
      <w:r w:rsidRPr="006075C7">
        <w:rPr>
          <w:rFonts w:hint="eastAsia"/>
          <w:lang w:val="fr-CH"/>
        </w:rPr>
        <w:t>、斯洛文尼亚</w:t>
      </w:r>
      <w:r w:rsidRPr="006075C7">
        <w:rPr>
          <w:rFonts w:hint="eastAsia"/>
          <w:lang w:val="fr-CH"/>
        </w:rPr>
        <w:t>*</w:t>
      </w:r>
      <w:r w:rsidRPr="006075C7">
        <w:rPr>
          <w:rFonts w:hint="eastAsia"/>
          <w:lang w:val="fr-CH"/>
        </w:rPr>
        <w:t>、西班牙、瑞典</w:t>
      </w:r>
      <w:r w:rsidRPr="006075C7">
        <w:rPr>
          <w:rFonts w:hint="eastAsia"/>
          <w:lang w:val="fr-CH"/>
        </w:rPr>
        <w:t>*</w:t>
      </w:r>
      <w:r w:rsidRPr="006075C7">
        <w:rPr>
          <w:rFonts w:hint="eastAsia"/>
          <w:lang w:val="fr-CH"/>
        </w:rPr>
        <w:t>、泰国</w:t>
      </w:r>
      <w:r w:rsidRPr="006075C7">
        <w:rPr>
          <w:rFonts w:hint="eastAsia"/>
          <w:lang w:val="fr-CH"/>
        </w:rPr>
        <w:t>*</w:t>
      </w:r>
      <w:r w:rsidRPr="006075C7">
        <w:rPr>
          <w:rFonts w:hint="eastAsia"/>
          <w:lang w:val="fr-CH"/>
        </w:rPr>
        <w:t>、突尼斯</w:t>
      </w:r>
      <w:r w:rsidRPr="006075C7">
        <w:rPr>
          <w:rFonts w:hint="eastAsia"/>
          <w:lang w:val="fr-CH"/>
        </w:rPr>
        <w:t>*</w:t>
      </w:r>
      <w:r w:rsidRPr="006075C7">
        <w:rPr>
          <w:rFonts w:hint="eastAsia"/>
          <w:lang w:val="fr-CH"/>
        </w:rPr>
        <w:t>、乌克兰和乌拉圭：决议草案</w:t>
      </w:r>
    </w:p>
    <w:p w:rsidR="006075C7" w:rsidRPr="006075C7" w:rsidRDefault="0024138C" w:rsidP="0024138C">
      <w:pPr>
        <w:pStyle w:val="H1GC"/>
        <w:rPr>
          <w:rFonts w:hint="eastAsia"/>
          <w:lang w:val="fr-CH"/>
        </w:rPr>
      </w:pPr>
      <w:r>
        <w:rPr>
          <w:lang w:val="fr-CH"/>
        </w:rPr>
        <w:tab/>
      </w:r>
      <w:r w:rsidR="008A0612">
        <w:rPr>
          <w:rFonts w:hint="eastAsia"/>
          <w:lang w:val="fr-CH"/>
        </w:rPr>
        <w:t>44</w:t>
      </w:r>
      <w:r w:rsidR="006075C7" w:rsidRPr="006075C7">
        <w:rPr>
          <w:rFonts w:hint="eastAsia"/>
          <w:lang w:val="fr-CH"/>
        </w:rPr>
        <w:t>/</w:t>
      </w:r>
      <w:r w:rsidR="006075C7" w:rsidRPr="006075C7">
        <w:rPr>
          <w:rFonts w:hint="eastAsia"/>
          <w:lang w:val="fr-CH"/>
        </w:rPr>
        <w:t>…</w:t>
      </w:r>
      <w:r w:rsidR="006075C7" w:rsidRPr="006075C7">
        <w:rPr>
          <w:rFonts w:hint="eastAsia"/>
          <w:lang w:val="fr-CH"/>
        </w:rPr>
        <w:tab/>
      </w:r>
      <w:r w:rsidR="006075C7" w:rsidRPr="006075C7">
        <w:rPr>
          <w:rFonts w:hint="eastAsia"/>
          <w:lang w:val="fr-CH"/>
        </w:rPr>
        <w:t>司法机关、陪审员、襄审员的独立性和公正性以及律师的独立性</w:t>
      </w:r>
    </w:p>
    <w:p w:rsidR="006075C7" w:rsidRPr="006075C7" w:rsidRDefault="0024138C" w:rsidP="006075C7">
      <w:pPr>
        <w:pStyle w:val="SingleTxtGC"/>
        <w:rPr>
          <w:rFonts w:hint="eastAsia"/>
          <w:lang w:val="fr-CH"/>
        </w:rPr>
      </w:pPr>
      <w:r>
        <w:rPr>
          <w:rFonts w:hint="eastAsia"/>
          <w:lang w:val="fr-CH"/>
        </w:rPr>
        <w:tab/>
      </w:r>
      <w:r w:rsidR="006075C7" w:rsidRPr="0024138C">
        <w:rPr>
          <w:rFonts w:ascii="Time New Roman" w:eastAsia="楷体" w:hAnsi="Time New Roman" w:hint="eastAsia"/>
          <w:lang w:val="fr-CH"/>
        </w:rPr>
        <w:t>人权理事会</w:t>
      </w:r>
      <w:r w:rsidR="006075C7" w:rsidRPr="006075C7">
        <w:rPr>
          <w:rFonts w:hint="eastAsia"/>
          <w:lang w:val="fr-CH"/>
        </w:rPr>
        <w:t>，</w:t>
      </w:r>
    </w:p>
    <w:p w:rsidR="006075C7" w:rsidRPr="006075C7" w:rsidRDefault="0024138C" w:rsidP="006075C7">
      <w:pPr>
        <w:pStyle w:val="SingleTxtGC"/>
        <w:rPr>
          <w:rFonts w:hint="eastAsia"/>
          <w:lang w:val="fr-CH"/>
        </w:rPr>
      </w:pPr>
      <w:r>
        <w:rPr>
          <w:rFonts w:hint="eastAsia"/>
          <w:lang w:val="fr-CH"/>
        </w:rPr>
        <w:tab/>
      </w:r>
      <w:r w:rsidR="006075C7" w:rsidRPr="0024138C">
        <w:rPr>
          <w:rFonts w:ascii="Time New Roman" w:eastAsia="楷体" w:hAnsi="Time New Roman" w:hint="eastAsia"/>
          <w:lang w:val="fr-CH"/>
        </w:rPr>
        <w:t>遵循</w:t>
      </w:r>
      <w:r w:rsidR="006075C7" w:rsidRPr="006075C7">
        <w:rPr>
          <w:rFonts w:hint="eastAsia"/>
          <w:lang w:val="fr-CH"/>
        </w:rPr>
        <w:t>《联合国宪章》的宗旨和原则，以及《世界人权宣言》第七、第八、第九、第十、第十一条和《公民及政治权利国际公约》第二、第四、第九、第十四、第二十六条，并铭记《维也纳宣言和行动纲领》，</w:t>
      </w:r>
    </w:p>
    <w:p w:rsidR="006075C7" w:rsidRPr="006075C7" w:rsidRDefault="0024138C" w:rsidP="006075C7">
      <w:pPr>
        <w:pStyle w:val="SingleTxtGC"/>
        <w:rPr>
          <w:rFonts w:hint="eastAsia"/>
          <w:lang w:val="fr-CH"/>
        </w:rPr>
      </w:pPr>
      <w:r>
        <w:rPr>
          <w:rFonts w:hint="eastAsia"/>
          <w:lang w:val="fr-CH"/>
        </w:rPr>
        <w:tab/>
      </w:r>
      <w:r w:rsidR="006075C7" w:rsidRPr="0024138C">
        <w:rPr>
          <w:rFonts w:ascii="Time New Roman" w:eastAsia="楷体" w:hAnsi="Time New Roman" w:hint="eastAsia"/>
          <w:lang w:val="fr-CH"/>
        </w:rPr>
        <w:t>回顾</w:t>
      </w:r>
      <w:r w:rsidR="006075C7" w:rsidRPr="006075C7">
        <w:rPr>
          <w:rFonts w:hint="eastAsia"/>
          <w:lang w:val="fr-CH"/>
        </w:rPr>
        <w:t>《关于司法机关独立的基本原则》、《关于律师作用的基本原则》、《关于检察官作用的准则》、《关于司法行为的班加罗尔原则》以及《联合国关于在刑事司法系统内获得法律援助机会的原则和准则》，</w:t>
      </w:r>
    </w:p>
    <w:p w:rsidR="006075C7" w:rsidRPr="006075C7" w:rsidRDefault="0024138C" w:rsidP="006075C7">
      <w:pPr>
        <w:pStyle w:val="SingleTxtGC"/>
        <w:rPr>
          <w:rFonts w:hint="eastAsia"/>
          <w:lang w:val="fr-CH"/>
        </w:rPr>
      </w:pPr>
      <w:r>
        <w:rPr>
          <w:rFonts w:hint="eastAsia"/>
          <w:lang w:val="fr-CH"/>
        </w:rPr>
        <w:tab/>
      </w:r>
      <w:r w:rsidR="006075C7" w:rsidRPr="0024138C">
        <w:rPr>
          <w:rFonts w:ascii="Time New Roman" w:eastAsia="楷体" w:hAnsi="Time New Roman" w:hint="eastAsia"/>
          <w:lang w:val="fr-CH"/>
        </w:rPr>
        <w:t>又回顾</w:t>
      </w:r>
      <w:r w:rsidR="006075C7" w:rsidRPr="006075C7">
        <w:rPr>
          <w:rFonts w:hint="eastAsia"/>
          <w:lang w:val="fr-CH"/>
        </w:rPr>
        <w:t>人权理事会、人权委员会和大会以往所有有关司法机关的独立性和公正性以及关于司法制度廉正性的决议和决定，</w:t>
      </w:r>
    </w:p>
    <w:p w:rsidR="006075C7" w:rsidRPr="006075C7" w:rsidRDefault="005A4A0E" w:rsidP="006075C7">
      <w:pPr>
        <w:pStyle w:val="SingleTxtGC"/>
        <w:rPr>
          <w:rFonts w:hint="eastAsia"/>
          <w:lang w:val="fr-CH"/>
        </w:rPr>
      </w:pPr>
      <w:r>
        <w:rPr>
          <w:rFonts w:ascii="Time New Roman" w:eastAsia="楷体" w:hAnsi="Time New Roman"/>
          <w:lang w:val="fr-CH"/>
        </w:rPr>
        <w:tab/>
      </w:r>
      <w:r w:rsidR="006075C7" w:rsidRPr="0024138C">
        <w:rPr>
          <w:rFonts w:ascii="Time New Roman" w:eastAsia="楷体" w:hAnsi="Time New Roman" w:hint="eastAsia"/>
          <w:lang w:val="fr-CH"/>
        </w:rPr>
        <w:t>注意到</w:t>
      </w:r>
      <w:r w:rsidR="006075C7" w:rsidRPr="006075C7">
        <w:rPr>
          <w:rFonts w:hint="eastAsia"/>
          <w:lang w:val="fr-CH"/>
        </w:rPr>
        <w:t>法官和律师独立性问题特别报告员提交人权理事会第三十八届会议</w:t>
      </w:r>
      <w:r w:rsidR="00F0428D">
        <w:rPr>
          <w:rStyle w:val="a8"/>
          <w:lang w:val="fr-CH"/>
        </w:rPr>
        <w:footnoteReference w:id="3"/>
      </w:r>
      <w:r w:rsidR="00C3445B">
        <w:rPr>
          <w:rFonts w:hint="eastAsia"/>
          <w:lang w:val="fr-CH"/>
        </w:rPr>
        <w:t xml:space="preserve"> </w:t>
      </w:r>
      <w:r w:rsidR="006075C7" w:rsidRPr="006075C7">
        <w:rPr>
          <w:rFonts w:hint="eastAsia"/>
          <w:lang w:val="fr-CH"/>
        </w:rPr>
        <w:t>和第四十一届会议</w:t>
      </w:r>
      <w:r w:rsidR="00F0428D">
        <w:rPr>
          <w:rStyle w:val="a8"/>
          <w:lang w:val="fr-CH"/>
        </w:rPr>
        <w:footnoteReference w:id="4"/>
      </w:r>
      <w:r w:rsidR="00C3445B">
        <w:rPr>
          <w:rFonts w:hint="eastAsia"/>
          <w:lang w:val="fr-CH"/>
        </w:rPr>
        <w:t xml:space="preserve"> </w:t>
      </w:r>
      <w:r w:rsidR="006075C7" w:rsidRPr="006075C7">
        <w:rPr>
          <w:rFonts w:hint="eastAsia"/>
          <w:lang w:val="fr-CH"/>
        </w:rPr>
        <w:t>以及提交大会第七十四届会议的报告</w:t>
      </w:r>
      <w:r w:rsidR="00F0428D">
        <w:rPr>
          <w:rStyle w:val="a8"/>
          <w:lang w:val="fr-CH"/>
        </w:rPr>
        <w:footnoteReference w:id="5"/>
      </w:r>
      <w:r w:rsidR="008A0612" w:rsidRPr="006075C7">
        <w:rPr>
          <w:rFonts w:hint="eastAsia"/>
          <w:lang w:val="fr-CH"/>
        </w:rPr>
        <w:t>，</w:t>
      </w:r>
    </w:p>
    <w:p w:rsidR="006075C7" w:rsidRPr="006075C7" w:rsidRDefault="0024138C" w:rsidP="006075C7">
      <w:pPr>
        <w:pStyle w:val="SingleTxtGC"/>
        <w:rPr>
          <w:rFonts w:hint="eastAsia"/>
          <w:lang w:val="fr-CH"/>
        </w:rPr>
      </w:pPr>
      <w:r>
        <w:rPr>
          <w:rFonts w:hint="eastAsia"/>
          <w:lang w:val="fr-CH"/>
        </w:rPr>
        <w:lastRenderedPageBreak/>
        <w:tab/>
      </w:r>
      <w:r w:rsidR="006075C7" w:rsidRPr="0024138C">
        <w:rPr>
          <w:rFonts w:ascii="Time New Roman" w:eastAsia="楷体" w:hAnsi="Time New Roman" w:hint="eastAsia"/>
          <w:lang w:val="fr-CH"/>
        </w:rPr>
        <w:t>深信</w:t>
      </w:r>
      <w:r w:rsidR="006075C7" w:rsidRPr="006075C7">
        <w:rPr>
          <w:rFonts w:hint="eastAsia"/>
          <w:lang w:val="fr-CH"/>
        </w:rPr>
        <w:t>独立公正的司法机关、独立的法律专业人员、客观公正并能照此履行职能的检察部门以及司法制度的廉正是保护人权、实行法治的先决条件，也是确保审判公平、司法无歧视的先决条件，</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回顾</w:t>
      </w:r>
      <w:r w:rsidR="006075C7" w:rsidRPr="006075C7">
        <w:rPr>
          <w:rFonts w:hint="eastAsia"/>
          <w:lang w:val="fr-CH"/>
        </w:rPr>
        <w:t>检察官应始终一贯迅速公平地依法行事，尊重和保护人的尊严，捍卫人权，从而促进正当程序和刑事司法系统的顺利运行；他们应避免基于种族、肤色、性别、语言、宗教、政治或其他见解、民族或社会出身、财产、出生或其他身份的一切形式偏见、歧视和污名化，并与之作斗争，</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强调</w:t>
      </w:r>
      <w:r w:rsidR="006075C7" w:rsidRPr="006075C7">
        <w:rPr>
          <w:rFonts w:hint="eastAsia"/>
          <w:lang w:val="fr-CH"/>
        </w:rPr>
        <w:t>司法机关的独立性和公正性以及律师和法律专业人员的独立性是实现《</w:t>
      </w:r>
      <w:r w:rsidR="008A0612">
        <w:rPr>
          <w:rFonts w:hint="eastAsia"/>
          <w:lang w:val="fr-CH"/>
        </w:rPr>
        <w:t>2</w:t>
      </w:r>
      <w:r w:rsidR="006075C7" w:rsidRPr="006075C7">
        <w:rPr>
          <w:rFonts w:hint="eastAsia"/>
          <w:lang w:val="fr-CH"/>
        </w:rPr>
        <w:t>0</w:t>
      </w:r>
      <w:r w:rsidR="008A0612">
        <w:rPr>
          <w:rFonts w:hint="eastAsia"/>
          <w:lang w:val="fr-CH"/>
        </w:rPr>
        <w:t>3</w:t>
      </w:r>
      <w:r w:rsidR="006075C7" w:rsidRPr="006075C7">
        <w:rPr>
          <w:rFonts w:hint="eastAsia"/>
          <w:lang w:val="fr-CH"/>
        </w:rPr>
        <w:t>0</w:t>
      </w:r>
      <w:r w:rsidR="006075C7" w:rsidRPr="006075C7">
        <w:rPr>
          <w:rFonts w:hint="eastAsia"/>
          <w:lang w:val="fr-CH"/>
        </w:rPr>
        <w:t>年可持续发展议程》</w:t>
      </w:r>
      <w:r w:rsidR="008A0612">
        <w:rPr>
          <w:rStyle w:val="a8"/>
          <w:lang w:val="fr-CH"/>
        </w:rPr>
        <w:footnoteReference w:id="6"/>
      </w:r>
      <w:r w:rsidR="008A0612">
        <w:rPr>
          <w:rFonts w:hint="eastAsia"/>
          <w:lang w:val="fr-CH"/>
        </w:rPr>
        <w:t xml:space="preserve"> </w:t>
      </w:r>
      <w:r w:rsidR="006075C7" w:rsidRPr="006075C7">
        <w:rPr>
          <w:rFonts w:hint="eastAsia"/>
          <w:lang w:val="fr-CH"/>
        </w:rPr>
        <w:t>可持续发展目标</w:t>
      </w:r>
      <w:r w:rsidR="008A0612">
        <w:rPr>
          <w:rFonts w:hint="eastAsia"/>
          <w:lang w:val="fr-CH"/>
        </w:rPr>
        <w:t>16</w:t>
      </w:r>
      <w:r w:rsidR="006075C7" w:rsidRPr="006075C7">
        <w:rPr>
          <w:rFonts w:hint="eastAsia"/>
          <w:lang w:val="fr-CH"/>
        </w:rPr>
        <w:t>的必要要素，各会员国在该项目标中承诺，除其他外，要让所有人都能诉诸司法，在各级建立有效、负责和包容的机构，</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谴责</w:t>
      </w:r>
      <w:r w:rsidR="006075C7" w:rsidRPr="006075C7">
        <w:rPr>
          <w:rFonts w:hint="eastAsia"/>
          <w:lang w:val="fr-CH"/>
        </w:rPr>
        <w:t>法官、律师、检察官和法庭官员的独立性越来越频繁地遭到攻击，尤其是在履行其专业职能时遭到威胁、恫吓和干预，</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回顾</w:t>
      </w:r>
      <w:r w:rsidR="006075C7" w:rsidRPr="006075C7">
        <w:rPr>
          <w:rFonts w:hint="eastAsia"/>
          <w:lang w:val="fr-CH"/>
        </w:rPr>
        <w:t>每个国家均应提供有效的补救框架，对在人权方面遭遇不平或侵犯的情况予以救济；司法工作，包括执法和检察机构特别是符合相关国际文书所载适用标准的独立的司法机关和法律专业人员在内，对于充分而无歧视地落实人权至关重要，对于民主和可持续发展进程也必不可少，</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又回顾</w:t>
      </w:r>
      <w:r w:rsidR="006075C7" w:rsidRPr="006075C7">
        <w:rPr>
          <w:rFonts w:hint="eastAsia"/>
          <w:lang w:val="fr-CH"/>
        </w:rPr>
        <w:t>必须通过改进招聘方式以及开展法律和专业培训，确保法官、检察官、律师和法庭官员具备履行职能所需的专业资质，并提供一切必要手段，让他们在确保法治方面妥善履行职责，</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注意到</w:t>
      </w:r>
      <w:r w:rsidR="006075C7" w:rsidRPr="006075C7">
        <w:rPr>
          <w:rFonts w:hint="eastAsia"/>
          <w:lang w:val="fr-CH"/>
        </w:rPr>
        <w:t>必须向所有法官、律师、检察官和司法工作中涉及的其他专业人员提供有针对性的跨学科人权培训，以此避免司法工作中出现歧视现象，</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强调</w:t>
      </w:r>
      <w:r w:rsidR="006075C7" w:rsidRPr="006075C7">
        <w:rPr>
          <w:rFonts w:hint="eastAsia"/>
          <w:lang w:val="fr-CH"/>
        </w:rPr>
        <w:t>在根据《关于司法机关独立的基本原则》和其他相关规范、原则和标准实行司法独立时，必须作为司法独立的一项基本内容和法治的一个固有理念，确保司法机关的问责、透明和廉正，</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强调</w:t>
      </w:r>
      <w:r w:rsidR="006075C7" w:rsidRPr="006075C7">
        <w:rPr>
          <w:rFonts w:hint="eastAsia"/>
          <w:lang w:val="fr-CH"/>
        </w:rPr>
        <w:t>法官、检察官和律师在捍卫人权，包括在捍卫免受酷刑和其他残忍、不人道或有辱人格的待遇或处罚这一不容克减的绝对权利方面发挥着关键作用，</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又强调</w:t>
      </w:r>
      <w:r w:rsidR="006075C7" w:rsidRPr="006075C7">
        <w:rPr>
          <w:rFonts w:hint="eastAsia"/>
          <w:lang w:val="fr-CH"/>
        </w:rPr>
        <w:t>促进男女任职比例均衡并推动建立顾及性别平等程序的独立公正的司法机关、客观公正的检察部门和独立的法律行业，对于切实保护妇女权利，包括保护妇女免遭暴力侵害和免在法院系统内再次受害，对于确保司法工作中没有性别歧视和性别成见，以及对于承认司法部门平等对待妇女可使男女均受益，均有着必不可少的意义，</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承认</w:t>
      </w:r>
      <w:r w:rsidR="006075C7" w:rsidRPr="006075C7">
        <w:rPr>
          <w:rFonts w:hint="eastAsia"/>
          <w:lang w:val="fr-CH"/>
        </w:rPr>
        <w:t>律师专业协会在维护职业标准和道德、保护其成员免受迫害和不公正的限制与侵权以及向一切有需要的人员提供法律服务方面具有极为重要的作用，</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确认</w:t>
      </w:r>
      <w:r w:rsidR="006075C7" w:rsidRPr="006075C7">
        <w:rPr>
          <w:rFonts w:hint="eastAsia"/>
          <w:lang w:val="fr-CH"/>
        </w:rPr>
        <w:t>独立且自治的律师协会、法官和检察官专业协会的重要作用，以及努力捍卫法官和律师独立性原则的非政府组织的重要作用，</w:t>
      </w:r>
    </w:p>
    <w:p w:rsidR="006075C7" w:rsidRPr="006075C7" w:rsidRDefault="005A4A0E" w:rsidP="006075C7">
      <w:pPr>
        <w:pStyle w:val="SingleTxtGC"/>
        <w:rPr>
          <w:rFonts w:hint="eastAsia"/>
          <w:lang w:val="fr-CH"/>
        </w:rPr>
      </w:pPr>
      <w:r>
        <w:rPr>
          <w:rFonts w:ascii="Time New Roman" w:eastAsia="楷体" w:hAnsi="Time New Roman"/>
          <w:lang w:val="fr-CH"/>
        </w:rPr>
        <w:lastRenderedPageBreak/>
        <w:tab/>
      </w:r>
      <w:r w:rsidR="006075C7" w:rsidRPr="005A4A0E">
        <w:rPr>
          <w:rFonts w:ascii="Time New Roman" w:eastAsia="楷体" w:hAnsi="Time New Roman" w:hint="eastAsia"/>
          <w:lang w:val="fr-CH"/>
        </w:rPr>
        <w:t>注意到</w:t>
      </w:r>
      <w:r w:rsidR="006075C7" w:rsidRPr="006075C7">
        <w:rPr>
          <w:rFonts w:hint="eastAsia"/>
          <w:lang w:val="fr-CH"/>
        </w:rPr>
        <w:t>世界各地的律师协会、法律协会以及国内和国际律师组织值《关于律师作用的基本原则》通过三十周年之际，对采取行动支持《基本原则》的呼吁表示支持，确认律师和法律专业人员在维护法治以及促进和保护人权方面可以发挥至关重要的作用，</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表示关切的是</w:t>
      </w:r>
      <w:r w:rsidR="006075C7" w:rsidRPr="006075C7">
        <w:rPr>
          <w:rFonts w:hint="eastAsia"/>
          <w:lang w:val="fr-CH"/>
        </w:rPr>
        <w:t>，存在能否进入或继续从事法律职业受到行政部门的控制或任意干预的情况，特别是存在滥用律师执照制度的情况，</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强调</w:t>
      </w:r>
      <w:r w:rsidR="006075C7" w:rsidRPr="006075C7">
        <w:rPr>
          <w:rFonts w:hint="eastAsia"/>
          <w:lang w:val="fr-CH"/>
        </w:rPr>
        <w:t>根据《关于促进和保护人权的国家机构的地位的原则》</w:t>
      </w:r>
      <w:r w:rsidR="008A0612">
        <w:rPr>
          <w:rFonts w:hint="eastAsia"/>
          <w:lang w:val="fr-CH"/>
        </w:rPr>
        <w:t>(</w:t>
      </w:r>
      <w:r w:rsidR="006075C7" w:rsidRPr="006075C7">
        <w:rPr>
          <w:rFonts w:hint="eastAsia"/>
          <w:lang w:val="fr-CH"/>
        </w:rPr>
        <w:t>《巴黎原则》</w:t>
      </w:r>
      <w:r w:rsidR="008A0612">
        <w:rPr>
          <w:rFonts w:hint="eastAsia"/>
          <w:lang w:val="fr-CH"/>
        </w:rPr>
        <w:t>)</w:t>
      </w:r>
      <w:r w:rsidR="006075C7" w:rsidRPr="006075C7">
        <w:rPr>
          <w:rFonts w:hint="eastAsia"/>
          <w:lang w:val="fr-CH"/>
        </w:rPr>
        <w:t>建立的独立有效的国家人权机构在加强法治和支持司法制度的独立与廉正方面可以发挥并应该发挥的作用，</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确认</w:t>
      </w:r>
      <w:r w:rsidR="006075C7" w:rsidRPr="006075C7">
        <w:rPr>
          <w:rFonts w:hint="eastAsia"/>
          <w:lang w:val="fr-CH"/>
        </w:rPr>
        <w:t>易于获得、切实有效的法律援助是基于法治的公平、人道和有效率的司法制度的一项基本要素，</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注意到</w:t>
      </w:r>
      <w:r w:rsidR="006075C7" w:rsidRPr="006075C7">
        <w:rPr>
          <w:rFonts w:hint="eastAsia"/>
          <w:lang w:val="fr-CH"/>
        </w:rPr>
        <w:t>妇女、儿童和少数群体成员的权利和特殊需求，特别是那些触犯司法制度的弱势人员的权利和特殊需求，这些人可能需要与其互动的专业人员，特别是律师、检察官和法官，给予特别关注和保护并运用特别技巧，</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承认</w:t>
      </w:r>
      <w:r w:rsidR="006075C7" w:rsidRPr="006075C7">
        <w:rPr>
          <w:rFonts w:hint="eastAsia"/>
          <w:lang w:val="fr-CH"/>
        </w:rPr>
        <w:t>以保密原则为基础的律师与委托人之间的特权关系的重要性，</w:t>
      </w:r>
    </w:p>
    <w:p w:rsidR="006075C7" w:rsidRPr="006075C7" w:rsidRDefault="005A4A0E" w:rsidP="006075C7">
      <w:pPr>
        <w:pStyle w:val="SingleTxtGC"/>
        <w:rPr>
          <w:rFonts w:hint="eastAsia"/>
          <w:lang w:val="fr-CH"/>
        </w:rPr>
      </w:pPr>
      <w:r>
        <w:rPr>
          <w:rFonts w:ascii="Time New Roman" w:eastAsia="楷体" w:hAnsi="Time New Roman"/>
          <w:lang w:val="fr-CH"/>
        </w:rPr>
        <w:tab/>
      </w:r>
      <w:r w:rsidR="006075C7" w:rsidRPr="005A4A0E">
        <w:rPr>
          <w:rFonts w:ascii="Time New Roman" w:eastAsia="楷体" w:hAnsi="Time New Roman" w:hint="eastAsia"/>
          <w:lang w:val="fr-CH"/>
        </w:rPr>
        <w:t>深感关切的是</w:t>
      </w:r>
      <w:r w:rsidR="006075C7" w:rsidRPr="006075C7">
        <w:rPr>
          <w:rFonts w:hint="eastAsia"/>
          <w:lang w:val="fr-CH"/>
        </w:rPr>
        <w:t>，</w:t>
      </w:r>
      <w:r w:rsidR="008A0612">
        <w:rPr>
          <w:rFonts w:hint="eastAsia"/>
          <w:lang w:val="fr-CH"/>
        </w:rPr>
        <w:t>2</w:t>
      </w:r>
      <w:r w:rsidR="006075C7" w:rsidRPr="006075C7">
        <w:rPr>
          <w:rFonts w:hint="eastAsia"/>
          <w:lang w:val="fr-CH"/>
        </w:rPr>
        <w:t>0</w:t>
      </w:r>
      <w:r w:rsidR="008A0612">
        <w:rPr>
          <w:rFonts w:hint="eastAsia"/>
          <w:lang w:val="fr-CH"/>
        </w:rPr>
        <w:t>19</w:t>
      </w:r>
      <w:r w:rsidR="006075C7" w:rsidRPr="006075C7">
        <w:rPr>
          <w:rFonts w:hint="eastAsia"/>
          <w:lang w:val="fr-CH"/>
        </w:rPr>
        <w:t>冠状病毒</w:t>
      </w:r>
      <w:proofErr w:type="gramStart"/>
      <w:r w:rsidR="006075C7" w:rsidRPr="006075C7">
        <w:rPr>
          <w:rFonts w:hint="eastAsia"/>
          <w:lang w:val="fr-CH"/>
        </w:rPr>
        <w:t>病全球</w:t>
      </w:r>
      <w:proofErr w:type="gramEnd"/>
      <w:r w:rsidR="006075C7" w:rsidRPr="006075C7">
        <w:rPr>
          <w:rFonts w:hint="eastAsia"/>
          <w:lang w:val="fr-CH"/>
        </w:rPr>
        <w:t>大流行导致生命和生计的丧失以及经济和社会的扰乱，并在世界各地对享有人权造成负面影响；注意到此类非常情况给司法系统带来威胁和挑战，包括在诉诸司法问题上</w:t>
      </w:r>
      <w:r w:rsidR="00E27E7C" w:rsidRPr="006075C7">
        <w:rPr>
          <w:rFonts w:hint="eastAsia"/>
          <w:lang w:val="fr-CH"/>
        </w:rPr>
        <w:t>，</w:t>
      </w:r>
    </w:p>
    <w:p w:rsidR="006075C7" w:rsidRPr="006075C7" w:rsidRDefault="005A4A0E" w:rsidP="006075C7">
      <w:pPr>
        <w:pStyle w:val="SingleTxtGC"/>
        <w:rPr>
          <w:rFonts w:hint="eastAsia"/>
          <w:lang w:val="fr-CH"/>
        </w:rPr>
      </w:pPr>
      <w:r>
        <w:rPr>
          <w:rFonts w:ascii="Time New Roman" w:eastAsia="楷体" w:hAnsi="Time New Roman"/>
          <w:lang w:val="fr-CH"/>
        </w:rPr>
        <w:tab/>
      </w:r>
      <w:r w:rsidR="006075C7" w:rsidRPr="005A4A0E">
        <w:rPr>
          <w:rFonts w:ascii="Time New Roman" w:eastAsia="楷体" w:hAnsi="Time New Roman" w:hint="eastAsia"/>
          <w:lang w:val="fr-CH"/>
        </w:rPr>
        <w:t>重申</w:t>
      </w:r>
      <w:r w:rsidR="006075C7" w:rsidRPr="006075C7">
        <w:rPr>
          <w:rFonts w:hint="eastAsia"/>
          <w:lang w:val="fr-CH"/>
        </w:rPr>
        <w:t>各国根据包括</w:t>
      </w:r>
      <w:r w:rsidR="008A0612">
        <w:rPr>
          <w:rFonts w:hint="eastAsia"/>
          <w:lang w:val="fr-CH"/>
        </w:rPr>
        <w:t>2</w:t>
      </w:r>
      <w:r w:rsidR="006075C7" w:rsidRPr="006075C7">
        <w:rPr>
          <w:rFonts w:hint="eastAsia"/>
          <w:lang w:val="fr-CH"/>
        </w:rPr>
        <w:t>0</w:t>
      </w:r>
      <w:r w:rsidR="008A0612">
        <w:rPr>
          <w:rFonts w:hint="eastAsia"/>
          <w:lang w:val="fr-CH"/>
        </w:rPr>
        <w:t>19</w:t>
      </w:r>
      <w:r w:rsidR="006075C7" w:rsidRPr="006075C7">
        <w:rPr>
          <w:rFonts w:hint="eastAsia"/>
          <w:lang w:val="fr-CH"/>
        </w:rPr>
        <w:t>冠状病毒</w:t>
      </w:r>
      <w:proofErr w:type="gramStart"/>
      <w:r w:rsidR="006075C7" w:rsidRPr="006075C7">
        <w:rPr>
          <w:rFonts w:hint="eastAsia"/>
          <w:lang w:val="fr-CH"/>
        </w:rPr>
        <w:t>病全球</w:t>
      </w:r>
      <w:proofErr w:type="gramEnd"/>
      <w:r w:rsidR="006075C7" w:rsidRPr="006075C7">
        <w:rPr>
          <w:rFonts w:hint="eastAsia"/>
          <w:lang w:val="fr-CH"/>
        </w:rPr>
        <w:t>大流行及其</w:t>
      </w:r>
      <w:proofErr w:type="gramStart"/>
      <w:r w:rsidR="006075C7" w:rsidRPr="006075C7">
        <w:rPr>
          <w:rFonts w:hint="eastAsia"/>
          <w:lang w:val="fr-CH"/>
        </w:rPr>
        <w:t>他危机</w:t>
      </w:r>
      <w:proofErr w:type="gramEnd"/>
      <w:r w:rsidR="006075C7" w:rsidRPr="006075C7">
        <w:rPr>
          <w:rFonts w:hint="eastAsia"/>
          <w:lang w:val="fr-CH"/>
        </w:rPr>
        <w:t>局势在内的非常情况采取的紧急措施，包括与司法工作有关的紧急措施，必须是必要的、与所评估的风险相称且不具歧视性，必须有着明确的宗旨和特定的时限，且必须符合本国在适用的国际人权法下承担的义务</w:t>
      </w:r>
      <w:r w:rsidR="008E1B39" w:rsidRPr="006075C7">
        <w:rPr>
          <w:rFonts w:hint="eastAsia"/>
          <w:lang w:val="fr-CH"/>
        </w:rPr>
        <w:t>，</w:t>
      </w:r>
    </w:p>
    <w:p w:rsidR="006075C7" w:rsidRPr="006075C7" w:rsidRDefault="0024138C" w:rsidP="006075C7">
      <w:pPr>
        <w:pStyle w:val="SingleTxtGC"/>
        <w:rPr>
          <w:rFonts w:hint="eastAsia"/>
          <w:lang w:val="fr-CH"/>
        </w:rPr>
      </w:pPr>
      <w:r>
        <w:rPr>
          <w:rFonts w:hint="eastAsia"/>
          <w:lang w:val="fr-CH"/>
        </w:rPr>
        <w:tab/>
      </w:r>
      <w:r w:rsidR="006075C7" w:rsidRPr="005A4A0E">
        <w:rPr>
          <w:rFonts w:ascii="Time New Roman" w:eastAsia="楷体" w:hAnsi="Time New Roman" w:hint="eastAsia"/>
          <w:lang w:val="fr-CH"/>
        </w:rPr>
        <w:t>重申</w:t>
      </w:r>
      <w:r w:rsidR="006075C7" w:rsidRPr="006075C7">
        <w:rPr>
          <w:rFonts w:hint="eastAsia"/>
          <w:lang w:val="fr-CH"/>
        </w:rPr>
        <w:t>人权理事会将法官和律师独立性问题特别报告员任期延长三年的各项决议，承认特别报告员必须有能力在其任务范围之内，为保证法官和律师的独立性，与联合国人权事务高级专员办事处在咨询服务和技术合作等领域密切合作，</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1</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吁请</w:t>
      </w:r>
      <w:r w:rsidR="006075C7" w:rsidRPr="006075C7">
        <w:rPr>
          <w:rFonts w:hint="eastAsia"/>
          <w:lang w:val="fr-CH"/>
        </w:rPr>
        <w:t>所有国家保证法官和律师的独立性以及检察官的客观性和公正性，并保证他们能照此履行职能，包括采取有效的立法、执法和其他适当措施，使他们能在不受任何干预、骚扰、威胁或恫吓的情况下履行专业职责</w:t>
      </w:r>
      <w:bookmarkStart w:id="0" w:name="_GoBack"/>
      <w:r w:rsidR="006075C7" w:rsidRPr="006075C7">
        <w:rPr>
          <w:rFonts w:hint="eastAsia"/>
          <w:lang w:val="fr-CH"/>
        </w:rPr>
        <w:t>；</w:t>
      </w:r>
      <w:bookmarkEnd w:id="0"/>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2</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鼓励</w:t>
      </w:r>
      <w:r w:rsidR="006075C7" w:rsidRPr="006075C7">
        <w:rPr>
          <w:rFonts w:hint="eastAsia"/>
          <w:lang w:val="fr-CH"/>
        </w:rPr>
        <w:t>各国增进司法机关人员构成的多样性，包括虑及性别平等视角，积极促进社会各阶层男女在各级任职的比例均衡，还要考虑到属于少数群体和其他弱势群体的人员；并确保加入司法机关的要求以及司法人员的选拔程序不含歧视、公开透明、基于客观标准，且能保证根据个人的长处并在平等的工作条件下任用廉正能干、经过适当法律培训并具备法律资质的个人；</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3</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强调</w:t>
      </w:r>
      <w:r w:rsidR="006075C7" w:rsidRPr="006075C7">
        <w:rPr>
          <w:rFonts w:hint="eastAsia"/>
          <w:lang w:val="fr-CH"/>
        </w:rPr>
        <w:t>法官的任期、独立性、保障、适当薪酬、服务条件、退休金和退休年龄应得到法律的充分保障；法官的任期保障是司法机关独立性的一项基本保障；撤职理由必须明确，且符合法律所清楚规定的情况，涉及到不称职或举止不端使其不适于履行其职能等原因；对法官采取纪律处分、停职或撤职的程序须符合正当法律程序；</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4</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鼓励</w:t>
      </w:r>
      <w:r w:rsidR="006075C7" w:rsidRPr="006075C7">
        <w:rPr>
          <w:rFonts w:hint="eastAsia"/>
          <w:lang w:val="fr-CH"/>
        </w:rPr>
        <w:t>各国在作为综合性司法制度组成部分的恢复性司法领域酌情制订政策、程序和方案；</w:t>
      </w:r>
    </w:p>
    <w:p w:rsidR="006075C7" w:rsidRPr="006075C7" w:rsidRDefault="0024138C" w:rsidP="006075C7">
      <w:pPr>
        <w:pStyle w:val="SingleTxtGC"/>
        <w:rPr>
          <w:rFonts w:hint="eastAsia"/>
          <w:lang w:val="fr-CH"/>
        </w:rPr>
      </w:pPr>
      <w:r>
        <w:rPr>
          <w:rFonts w:hint="eastAsia"/>
          <w:lang w:val="fr-CH"/>
        </w:rPr>
        <w:lastRenderedPageBreak/>
        <w:tab/>
      </w:r>
      <w:r w:rsidR="008A0612">
        <w:rPr>
          <w:rFonts w:hint="eastAsia"/>
          <w:lang w:val="fr-CH"/>
        </w:rPr>
        <w:t>5</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又鼓励</w:t>
      </w:r>
      <w:r w:rsidR="006075C7" w:rsidRPr="006075C7">
        <w:rPr>
          <w:rFonts w:hint="eastAsia"/>
          <w:lang w:val="fr-CH"/>
        </w:rPr>
        <w:t>各国在律师协会、法官和检察官协会以及教育机构等有关国家实体的协作下，考虑协助司法系统就性别、儿童、残疾人、土著民族和移民等问题制定指导意见，以便为法官、律师、检察官和司法系统其他人员的行动提供指导；</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6</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特别指出</w:t>
      </w:r>
      <w:r w:rsidR="006075C7" w:rsidRPr="006075C7">
        <w:rPr>
          <w:rFonts w:hint="eastAsia"/>
          <w:lang w:val="fr-CH"/>
        </w:rPr>
        <w:t>不得因律师履行职能而将其等同于其委托人或委托人的诉讼事由；</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7</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强调</w:t>
      </w:r>
      <w:r w:rsidR="006075C7" w:rsidRPr="006075C7">
        <w:rPr>
          <w:rFonts w:hint="eastAsia"/>
          <w:lang w:val="fr-CH"/>
        </w:rPr>
        <w:t>应使律师能够自由、独立地履行职能而不用担心遭到报复；</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8</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吁请</w:t>
      </w:r>
      <w:r w:rsidR="006075C7" w:rsidRPr="006075C7">
        <w:rPr>
          <w:rFonts w:hint="eastAsia"/>
          <w:lang w:val="fr-CH"/>
        </w:rPr>
        <w:t>各国确保检察官能以独立、客观和公正的方式开展职务上的活动；</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9</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谴责</w:t>
      </w:r>
      <w:r w:rsidR="006075C7" w:rsidRPr="006075C7">
        <w:rPr>
          <w:rFonts w:hint="eastAsia"/>
          <w:lang w:val="fr-CH"/>
        </w:rPr>
        <w:t>针对法官、检察官和律师的一切暴力、恫吓或报复行为，不论来自何方、出于何因；提醒各国有责任维护法官、检察官和律师的廉正，保护他们及其家人和专业同事不因履行职能而遭受不论来自国家当局还是非国家行为体的任何形式暴力、威胁、报复、恫吓和骚扰，且有责任谴责此类行为并将行为人绳之以法；</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1</w:t>
      </w:r>
      <w:r w:rsidR="006075C7" w:rsidRPr="006075C7">
        <w:rPr>
          <w:rFonts w:hint="eastAsia"/>
          <w:lang w:val="fr-CH"/>
        </w:rPr>
        <w:t>0.</w:t>
      </w:r>
      <w:r w:rsidR="006075C7" w:rsidRPr="006075C7">
        <w:rPr>
          <w:rFonts w:hint="eastAsia"/>
          <w:lang w:val="fr-CH"/>
        </w:rPr>
        <w:tab/>
      </w:r>
      <w:r w:rsidR="006075C7" w:rsidRPr="005A4A0E">
        <w:rPr>
          <w:rFonts w:ascii="Time New Roman" w:eastAsia="楷体" w:hAnsi="Time New Roman" w:hint="eastAsia"/>
          <w:lang w:val="fr-CH"/>
        </w:rPr>
        <w:t>深表关切</w:t>
      </w:r>
      <w:r w:rsidR="006075C7" w:rsidRPr="006075C7">
        <w:rPr>
          <w:rFonts w:hint="eastAsia"/>
          <w:lang w:val="fr-CH"/>
        </w:rPr>
        <w:t>发生大量攻击律师以及任意或非法干涉或限制律师自由执业的事件；吁请各国确保迅速、彻底和公正地调查任何性质的攻击或干涉律师事件，并追究行为人的责任；</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11</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吁请</w:t>
      </w:r>
      <w:r w:rsidR="006075C7" w:rsidRPr="006075C7">
        <w:rPr>
          <w:rFonts w:hint="eastAsia"/>
          <w:lang w:val="fr-CH"/>
        </w:rPr>
        <w:t>各国在律师协会、法官和检察官协会以及教育机构等有关国家实体的协作下，参考区域和国际人权法，并酌情参考条约机构和区域人权法院等人权机制的结论性意见和决定，在法官、检察官和律师初次任职时并定期在其整个职业生涯中，向其提供适当的培训，包括人权培训在内；</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12</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鼓励</w:t>
      </w:r>
      <w:r w:rsidR="006075C7" w:rsidRPr="006075C7">
        <w:rPr>
          <w:rFonts w:hint="eastAsia"/>
          <w:lang w:val="fr-CH"/>
        </w:rPr>
        <w:t>各国采取措施，通过向所有法官、律师和检察官提供包括反种族主义、多元文化、性别平等意识和儿童权利相关培训在内的有针对性的跨学科人权培训等手段，与司法工作中的歧视现象作斗争；</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13</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特别指出</w:t>
      </w:r>
      <w:r w:rsidR="006075C7" w:rsidRPr="006075C7">
        <w:rPr>
          <w:rFonts w:hint="eastAsia"/>
          <w:lang w:val="fr-CH"/>
        </w:rPr>
        <w:t>各国必须建立和实行符合本国国际人权义务并虑及相关承诺和良好做法的切实有效、可以持续的法律援助制度，以便在法律诉讼程序的各个阶段，使符合适当资格标准者能够获得且易于获得法律援助；</w:t>
      </w:r>
    </w:p>
    <w:p w:rsidR="006075C7" w:rsidRPr="006075C7" w:rsidRDefault="005A4A0E" w:rsidP="006075C7">
      <w:pPr>
        <w:pStyle w:val="SingleTxtGC"/>
        <w:rPr>
          <w:rFonts w:hint="eastAsia"/>
          <w:lang w:val="fr-CH"/>
        </w:rPr>
      </w:pPr>
      <w:r>
        <w:rPr>
          <w:lang w:val="fr-CH"/>
        </w:rPr>
        <w:tab/>
      </w:r>
      <w:r w:rsidR="008A0612">
        <w:rPr>
          <w:rFonts w:hint="eastAsia"/>
          <w:lang w:val="fr-CH"/>
        </w:rPr>
        <w:t>14</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促请</w:t>
      </w:r>
      <w:r w:rsidR="006075C7" w:rsidRPr="006075C7">
        <w:rPr>
          <w:rFonts w:hint="eastAsia"/>
          <w:lang w:val="fr-CH"/>
        </w:rPr>
        <w:t>所有国家的政府在法官和律师独立性问题特别报告员履行任务时予以合作和协助，提供索要的一切信息，并及时对特别报告员转交的来文作出答复；</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15</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请</w:t>
      </w:r>
      <w:r w:rsidR="006075C7" w:rsidRPr="006075C7">
        <w:rPr>
          <w:rFonts w:hint="eastAsia"/>
          <w:lang w:val="fr-CH"/>
        </w:rPr>
        <w:t>各国采取包括通过国内法律在内的措施，规定律师专业协会独立、自治，并确认律师在维护法治以及促进和保护人权方面发挥着极为重要的作用；</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16</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吁请</w:t>
      </w:r>
      <w:r w:rsidR="006075C7" w:rsidRPr="006075C7">
        <w:rPr>
          <w:rFonts w:hint="eastAsia"/>
          <w:lang w:val="fr-CH"/>
        </w:rPr>
        <w:t>各国确保拟予通过或已经通过的反恐或国家安全相关法律规定符合本国在公正审判权、人身自由权、就侵犯人权情事获得有效补救权方面的国际义务，且符合有关法官、检察官和律师作用问题的其他国际法规定；</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17</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促请</w:t>
      </w:r>
      <w:r w:rsidR="006075C7" w:rsidRPr="006075C7">
        <w:rPr>
          <w:rFonts w:hint="eastAsia"/>
          <w:lang w:val="fr-CH"/>
        </w:rPr>
        <w:t>各国确保司法机关在包括</w:t>
      </w:r>
      <w:r w:rsidR="008A0612">
        <w:rPr>
          <w:rFonts w:hint="eastAsia"/>
          <w:lang w:val="fr-CH"/>
        </w:rPr>
        <w:t>2</w:t>
      </w:r>
      <w:r w:rsidR="006075C7" w:rsidRPr="006075C7">
        <w:rPr>
          <w:rFonts w:hint="eastAsia"/>
          <w:lang w:val="fr-CH"/>
        </w:rPr>
        <w:t>0</w:t>
      </w:r>
      <w:r w:rsidR="008A0612">
        <w:rPr>
          <w:rFonts w:hint="eastAsia"/>
          <w:lang w:val="fr-CH"/>
        </w:rPr>
        <w:t>19</w:t>
      </w:r>
      <w:r w:rsidR="006075C7" w:rsidRPr="006075C7">
        <w:rPr>
          <w:rFonts w:hint="eastAsia"/>
          <w:lang w:val="fr-CH"/>
        </w:rPr>
        <w:t>冠状病毒病全球大流行及其他危机局势在内的非常情况中具备必要的资源和能力，可有助于维持职能运转、职责承担、透明和廉正，并确保正当程序和司法活动的连续性，包括确保符合公正审判权及其他基本权利和自由的切实有效的诉诸司法机会；</w:t>
      </w:r>
    </w:p>
    <w:p w:rsidR="006075C7" w:rsidRPr="006075C7" w:rsidRDefault="0024138C" w:rsidP="006075C7">
      <w:pPr>
        <w:pStyle w:val="SingleTxtGC"/>
        <w:rPr>
          <w:rFonts w:hint="eastAsia"/>
          <w:lang w:val="fr-CH"/>
        </w:rPr>
      </w:pPr>
      <w:r>
        <w:rPr>
          <w:rFonts w:hint="eastAsia"/>
          <w:lang w:val="fr-CH"/>
        </w:rPr>
        <w:lastRenderedPageBreak/>
        <w:tab/>
      </w:r>
      <w:r w:rsidR="008A0612">
        <w:rPr>
          <w:rFonts w:hint="eastAsia"/>
          <w:lang w:val="fr-CH"/>
        </w:rPr>
        <w:t>18</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鼓励</w:t>
      </w:r>
      <w:r w:rsidR="006075C7" w:rsidRPr="006075C7">
        <w:rPr>
          <w:rFonts w:hint="eastAsia"/>
          <w:lang w:val="fr-CH"/>
        </w:rPr>
        <w:t>各国向司法机关提供现有的信息和通信技术及创新型网上解决方案，使其可以实现数字联通，以帮助确保诉诸司法渠道并确保尊重公正审判权及其他程序性权利，包括在诸如</w:t>
      </w:r>
      <w:r w:rsidR="008A0612">
        <w:rPr>
          <w:rFonts w:hint="eastAsia"/>
          <w:lang w:val="fr-CH"/>
        </w:rPr>
        <w:t>2</w:t>
      </w:r>
      <w:r w:rsidR="006075C7" w:rsidRPr="006075C7">
        <w:rPr>
          <w:rFonts w:hint="eastAsia"/>
          <w:lang w:val="fr-CH"/>
        </w:rPr>
        <w:t>0</w:t>
      </w:r>
      <w:r w:rsidR="008A0612">
        <w:rPr>
          <w:rFonts w:hint="eastAsia"/>
          <w:lang w:val="fr-CH"/>
        </w:rPr>
        <w:t>19</w:t>
      </w:r>
      <w:r w:rsidR="006075C7" w:rsidRPr="006075C7">
        <w:rPr>
          <w:rFonts w:hint="eastAsia"/>
          <w:lang w:val="fr-CH"/>
        </w:rPr>
        <w:t>冠状病毒病全球大流行及其他危机局势等非常情况中，并确保司法当局和任何其他相关国家主管部门有能力为此详细制定必要的程序性框架和技术解决方案；</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19</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请</w:t>
      </w:r>
      <w:r w:rsidR="006075C7" w:rsidRPr="006075C7">
        <w:rPr>
          <w:rFonts w:hint="eastAsia"/>
          <w:lang w:val="fr-CH"/>
        </w:rPr>
        <w:t>特别报告员在与其任务有关的领域，与联合国系统内的相关利益攸关方协作；</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2</w:t>
      </w:r>
      <w:r w:rsidR="006075C7" w:rsidRPr="006075C7">
        <w:rPr>
          <w:rFonts w:hint="eastAsia"/>
          <w:lang w:val="fr-CH"/>
        </w:rPr>
        <w:t>0.</w:t>
      </w:r>
      <w:r w:rsidR="006075C7" w:rsidRPr="006075C7">
        <w:rPr>
          <w:rFonts w:hint="eastAsia"/>
          <w:lang w:val="fr-CH"/>
        </w:rPr>
        <w:tab/>
      </w:r>
      <w:r w:rsidR="006075C7" w:rsidRPr="005A4A0E">
        <w:rPr>
          <w:rFonts w:ascii="Time New Roman" w:eastAsia="楷体" w:hAnsi="Time New Roman" w:hint="eastAsia"/>
          <w:lang w:val="fr-CH"/>
        </w:rPr>
        <w:t>吁请</w:t>
      </w:r>
      <w:r w:rsidR="006075C7" w:rsidRPr="006075C7">
        <w:rPr>
          <w:rFonts w:hint="eastAsia"/>
          <w:lang w:val="fr-CH"/>
        </w:rPr>
        <w:t>各国政府认真考虑积极回应特别报告员提出的访问请求；促请各国就跟进和落实特别报告员的建议，与特别报告员进行建设性对话，使其能够更有效地完成任务；</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21</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鼓励</w:t>
      </w:r>
      <w:r w:rsidR="006075C7" w:rsidRPr="006075C7">
        <w:rPr>
          <w:rFonts w:hint="eastAsia"/>
          <w:lang w:val="fr-CH"/>
        </w:rPr>
        <w:t>特别报告员应相关国家的请求，通过与相关利益攸关方接触和与联合国人权事务高级专员办事处磋商等办法，协助提供技术援助和能力建设，并协助传播指导原则和最佳做法，以期建立和加强法治，与此同时对司法工作以及独立且称职的司法机关和法律专业人员的作用给予特别的重视；</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22</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鼓励</w:t>
      </w:r>
      <w:r w:rsidR="006075C7" w:rsidRPr="006075C7">
        <w:rPr>
          <w:rFonts w:hint="eastAsia"/>
          <w:lang w:val="fr-CH"/>
        </w:rPr>
        <w:t>在保证法官和律师的独立性、检察官的客观性和公正性以及在保证他们照此履行职能方面有困难的国家政府，或是决心采取措施进一步落实这些原则的国家政府，通过邀请特别报告员访问本国等办法，征求特别报告员的意见并考虑请特别报告员提供服务；</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23</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又鼓励</w:t>
      </w:r>
      <w:r w:rsidR="006075C7" w:rsidRPr="006075C7">
        <w:rPr>
          <w:rFonts w:hint="eastAsia"/>
          <w:lang w:val="fr-CH"/>
        </w:rPr>
        <w:t>各国政府对联合国各人</w:t>
      </w:r>
      <w:proofErr w:type="gramStart"/>
      <w:r w:rsidR="006075C7" w:rsidRPr="006075C7">
        <w:rPr>
          <w:rFonts w:hint="eastAsia"/>
          <w:lang w:val="fr-CH"/>
        </w:rPr>
        <w:t>权机制</w:t>
      </w:r>
      <w:proofErr w:type="gramEnd"/>
      <w:r w:rsidR="006075C7" w:rsidRPr="006075C7">
        <w:rPr>
          <w:rFonts w:hint="eastAsia"/>
          <w:lang w:val="fr-CH"/>
        </w:rPr>
        <w:t>提出的建议给予应有的考虑，落实普遍定期审议进程中所支持的建议，处理关于司法机关的独立性和有效性以及关于切实落实这些建议的问题；请国际社会、区域组织和联合国系统支持任何落实工作；</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24</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请</w:t>
      </w:r>
      <w:r w:rsidR="006075C7" w:rsidRPr="006075C7">
        <w:rPr>
          <w:rFonts w:hint="eastAsia"/>
          <w:lang w:val="fr-CH"/>
        </w:rPr>
        <w:t>联合国各机构、基金</w:t>
      </w:r>
      <w:r w:rsidR="008A0612">
        <w:rPr>
          <w:rFonts w:hint="eastAsia"/>
          <w:lang w:val="fr-CH"/>
        </w:rPr>
        <w:t>(</w:t>
      </w:r>
      <w:r w:rsidR="006075C7" w:rsidRPr="006075C7">
        <w:rPr>
          <w:rFonts w:hint="eastAsia"/>
          <w:lang w:val="fr-CH"/>
        </w:rPr>
        <w:t>会</w:t>
      </w:r>
      <w:r w:rsidR="008A0612">
        <w:rPr>
          <w:rFonts w:hint="eastAsia"/>
          <w:lang w:val="fr-CH"/>
        </w:rPr>
        <w:t>)</w:t>
      </w:r>
      <w:r w:rsidR="006075C7" w:rsidRPr="006075C7">
        <w:rPr>
          <w:rFonts w:hint="eastAsia"/>
          <w:lang w:val="fr-CH"/>
        </w:rPr>
        <w:t>和计</w:t>
      </w:r>
      <w:r w:rsidR="008A0612">
        <w:rPr>
          <w:rFonts w:hint="eastAsia"/>
          <w:lang w:val="fr-CH"/>
        </w:rPr>
        <w:t>(</w:t>
      </w:r>
      <w:proofErr w:type="gramStart"/>
      <w:r w:rsidR="006075C7" w:rsidRPr="006075C7">
        <w:rPr>
          <w:rFonts w:hint="eastAsia"/>
          <w:lang w:val="fr-CH"/>
        </w:rPr>
        <w:t>规</w:t>
      </w:r>
      <w:proofErr w:type="gramEnd"/>
      <w:r w:rsidR="008A0612">
        <w:rPr>
          <w:rFonts w:hint="eastAsia"/>
          <w:lang w:val="fr-CH"/>
        </w:rPr>
        <w:t>)</w:t>
      </w:r>
      <w:r w:rsidR="006075C7" w:rsidRPr="006075C7">
        <w:rPr>
          <w:rFonts w:hint="eastAsia"/>
          <w:lang w:val="fr-CH"/>
        </w:rPr>
        <w:t>划署继续开展其在司法和法治领域的活动，包括应有关国家的请求在国家一级开展活动；鼓励各国在本国的国家能力建设计划中列入此类活动；强调应向涉及司法工作的机构提供充足的资金；</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25</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鼓励</w:t>
      </w:r>
      <w:r w:rsidR="006075C7" w:rsidRPr="006075C7">
        <w:rPr>
          <w:rFonts w:hint="eastAsia"/>
          <w:lang w:val="fr-CH"/>
        </w:rPr>
        <w:t>各国确保本国的法律框架、实施条例和司法手册完全符合其国际义务，并虑及司法与法治方面的相关承诺；</w:t>
      </w:r>
    </w:p>
    <w:p w:rsidR="006075C7" w:rsidRPr="006075C7" w:rsidRDefault="0024138C" w:rsidP="006075C7">
      <w:pPr>
        <w:pStyle w:val="SingleTxtGC"/>
        <w:rPr>
          <w:rFonts w:hint="eastAsia"/>
          <w:lang w:val="fr-CH"/>
        </w:rPr>
      </w:pPr>
      <w:r>
        <w:rPr>
          <w:rFonts w:hint="eastAsia"/>
          <w:lang w:val="fr-CH"/>
        </w:rPr>
        <w:tab/>
      </w:r>
      <w:r w:rsidR="008A0612">
        <w:rPr>
          <w:rFonts w:hint="eastAsia"/>
          <w:lang w:val="fr-CH"/>
        </w:rPr>
        <w:t>26</w:t>
      </w:r>
      <w:r w:rsidR="006075C7" w:rsidRPr="006075C7">
        <w:rPr>
          <w:rFonts w:hint="eastAsia"/>
          <w:lang w:val="fr-CH"/>
        </w:rPr>
        <w:t>.</w:t>
      </w:r>
      <w:r w:rsidR="006075C7" w:rsidRPr="006075C7">
        <w:rPr>
          <w:rFonts w:hint="eastAsia"/>
          <w:lang w:val="fr-CH"/>
        </w:rPr>
        <w:tab/>
      </w:r>
      <w:r w:rsidR="006075C7" w:rsidRPr="005A4A0E">
        <w:rPr>
          <w:rFonts w:ascii="Time New Roman" w:eastAsia="楷体" w:hAnsi="Time New Roman" w:hint="eastAsia"/>
          <w:lang w:val="fr-CH"/>
        </w:rPr>
        <w:t>决定</w:t>
      </w:r>
      <w:r w:rsidR="006075C7" w:rsidRPr="006075C7">
        <w:rPr>
          <w:rFonts w:hint="eastAsia"/>
          <w:lang w:val="fr-CH"/>
        </w:rPr>
        <w:t>根据理事会年度工作方案继续审议这一议题。</w:t>
      </w:r>
    </w:p>
    <w:p w:rsidR="006075C7" w:rsidRDefault="006075C7" w:rsidP="006075C7">
      <w:pPr>
        <w:pStyle w:val="SingleTxtGC"/>
        <w:rPr>
          <w:rFonts w:ascii="Time New Roman" w:eastAsia="楷体" w:hAnsi="Time New Roman"/>
          <w:lang w:val="fr-CH"/>
        </w:rPr>
      </w:pPr>
    </w:p>
    <w:p w:rsidR="005A4A0E" w:rsidRPr="002D6A9C" w:rsidRDefault="005A4A0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A4A0E" w:rsidRPr="005A4A0E" w:rsidRDefault="005A4A0E" w:rsidP="006075C7">
      <w:pPr>
        <w:pStyle w:val="SingleTxtGC"/>
        <w:rPr>
          <w:rFonts w:ascii="Time New Roman" w:eastAsia="楷体" w:hAnsi="Time New Roman"/>
          <w:lang w:val="fr-CH"/>
        </w:rPr>
      </w:pPr>
    </w:p>
    <w:sectPr w:rsidR="005A4A0E" w:rsidRPr="005A4A0E"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4F7" w:rsidRPr="000D319F" w:rsidRDefault="00D344F7" w:rsidP="000D319F">
      <w:pPr>
        <w:pStyle w:val="af0"/>
        <w:spacing w:after="240"/>
        <w:ind w:left="907"/>
        <w:rPr>
          <w:rFonts w:asciiTheme="majorBidi" w:eastAsia="宋体" w:hAnsiTheme="majorBidi" w:cstheme="majorBidi"/>
          <w:sz w:val="21"/>
          <w:szCs w:val="21"/>
          <w:lang w:val="en-US"/>
        </w:rPr>
      </w:pPr>
    </w:p>
    <w:p w:rsidR="00D344F7" w:rsidRPr="000D319F" w:rsidRDefault="00D344F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344F7" w:rsidRPr="000D319F" w:rsidRDefault="00D344F7" w:rsidP="000D319F">
      <w:pPr>
        <w:pStyle w:val="af0"/>
      </w:pPr>
    </w:p>
  </w:endnote>
  <w:endnote w:type="continuationNotice" w:id="1">
    <w:p w:rsidR="00D344F7" w:rsidRDefault="00D344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C7" w:rsidRPr="006075C7" w:rsidRDefault="006075C7" w:rsidP="006075C7">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6075C7">
      <w:rPr>
        <w:rStyle w:val="af2"/>
        <w:b w:val="0"/>
        <w:snapToGrid w:val="0"/>
        <w:sz w:val="16"/>
      </w:rPr>
      <w:t>GE.20</w:t>
    </w:r>
    <w:proofErr w:type="spellEnd"/>
    <w:r w:rsidRPr="006075C7">
      <w:rPr>
        <w:rStyle w:val="af2"/>
        <w:b w:val="0"/>
        <w:snapToGrid w:val="0"/>
        <w:sz w:val="16"/>
      </w:rPr>
      <w:t>-09191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C7" w:rsidRPr="006075C7" w:rsidRDefault="006075C7" w:rsidP="006075C7">
    <w:pPr>
      <w:pStyle w:val="af0"/>
      <w:tabs>
        <w:tab w:val="right" w:pos="9638"/>
      </w:tabs>
      <w:rPr>
        <w:rStyle w:val="af2"/>
      </w:rPr>
    </w:pPr>
    <w:proofErr w:type="spellStart"/>
    <w:r>
      <w:t>GE.20</w:t>
    </w:r>
    <w:proofErr w:type="spellEnd"/>
    <w:r>
      <w:t>-09191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6075C7"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-09191</w:t>
    </w:r>
    <w:r w:rsidR="00731A42" w:rsidRPr="00EE277A">
      <w:rPr>
        <w:sz w:val="20"/>
        <w:lang w:eastAsia="zh-CN"/>
      </w:rPr>
      <w:t xml:space="preserve"> (C)</w:t>
    </w:r>
    <w:r w:rsidR="008B4347">
      <w:rPr>
        <w:sz w:val="20"/>
        <w:lang w:eastAsia="zh-CN"/>
      </w:rPr>
      <w:tab/>
    </w:r>
    <w:r>
      <w:rPr>
        <w:sz w:val="20"/>
        <w:lang w:eastAsia="zh-CN"/>
      </w:rPr>
      <w:t>1507</w:t>
    </w:r>
    <w:r w:rsidR="007803C3">
      <w:rPr>
        <w:sz w:val="20"/>
        <w:lang w:eastAsia="zh-CN"/>
      </w:rPr>
      <w:t>20</w:t>
    </w:r>
    <w:r w:rsidR="00731A42">
      <w:rPr>
        <w:sz w:val="20"/>
        <w:lang w:eastAsia="zh-CN"/>
      </w:rPr>
      <w:tab/>
    </w:r>
    <w:r>
      <w:rPr>
        <w:sz w:val="20"/>
        <w:lang w:eastAsia="zh-CN"/>
      </w:rPr>
      <w:t>1507</w:t>
    </w:r>
    <w:r w:rsidR="007803C3">
      <w:rPr>
        <w:sz w:val="20"/>
        <w:lang w:eastAsia="zh-CN"/>
      </w:rPr>
      <w:t>20</w:t>
    </w:r>
  </w:p>
  <w:p w:rsidR="00056632" w:rsidRPr="00487939" w:rsidRDefault="006075C7"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4/L.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4F7" w:rsidRPr="000157B1" w:rsidRDefault="00D344F7"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D344F7" w:rsidRPr="000157B1" w:rsidRDefault="00D344F7"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D344F7" w:rsidRDefault="00D344F7"/>
  </w:footnote>
  <w:footnote w:id="2">
    <w:p w:rsidR="0052528C" w:rsidRPr="00F0428D" w:rsidRDefault="00F0428D" w:rsidP="00C3445B">
      <w:pPr>
        <w:pStyle w:val="a6"/>
        <w:rPr>
          <w:rFonts w:hint="eastAsia"/>
        </w:rPr>
      </w:pPr>
      <w:r w:rsidRPr="00F0428D">
        <w:rPr>
          <w:rStyle w:val="a8"/>
          <w:vertAlign w:val="baseline"/>
        </w:rPr>
        <w:tab/>
      </w:r>
      <w:r w:rsidR="0052528C" w:rsidRPr="00F0428D">
        <w:rPr>
          <w:rStyle w:val="a8"/>
          <w:vertAlign w:val="baseline"/>
        </w:rPr>
        <w:t>*</w:t>
      </w:r>
      <w:r w:rsidR="0052528C" w:rsidRPr="00F0428D">
        <w:tab/>
      </w:r>
      <w:r>
        <w:rPr>
          <w:rFonts w:hint="eastAsia"/>
        </w:rPr>
        <w:t>非人权理事会成员国。</w:t>
      </w:r>
    </w:p>
  </w:footnote>
  <w:footnote w:id="3">
    <w:p w:rsidR="00F0428D" w:rsidRDefault="00F0428D" w:rsidP="00C3445B">
      <w:pPr>
        <w:pStyle w:val="a6"/>
        <w:rPr>
          <w:rFonts w:hint="eastAsia"/>
        </w:rPr>
      </w:pPr>
      <w:r>
        <w:tab/>
      </w:r>
      <w:r>
        <w:rPr>
          <w:rStyle w:val="a8"/>
        </w:rPr>
        <w:footnoteRef/>
      </w:r>
      <w:r>
        <w:tab/>
      </w:r>
      <w:r w:rsidR="00C3445B">
        <w:rPr>
          <w:rFonts w:hint="eastAsia"/>
        </w:rPr>
        <w:t>A/HRC/38/38</w:t>
      </w:r>
      <w:r w:rsidR="00C3445B">
        <w:rPr>
          <w:rFonts w:hint="eastAsia"/>
        </w:rPr>
        <w:t>和</w:t>
      </w:r>
      <w:proofErr w:type="spellStart"/>
      <w:r w:rsidR="00C3445B">
        <w:rPr>
          <w:rFonts w:hint="eastAsia"/>
        </w:rPr>
        <w:t>Add.1</w:t>
      </w:r>
      <w:proofErr w:type="spellEnd"/>
      <w:r w:rsidR="00C3445B">
        <w:rPr>
          <w:rFonts w:hint="eastAsia"/>
        </w:rPr>
        <w:t>。</w:t>
      </w:r>
    </w:p>
  </w:footnote>
  <w:footnote w:id="4">
    <w:p w:rsidR="00F0428D" w:rsidRDefault="00F0428D">
      <w:pPr>
        <w:pStyle w:val="a6"/>
        <w:rPr>
          <w:rFonts w:hint="eastAsia"/>
        </w:rPr>
      </w:pPr>
      <w:r>
        <w:tab/>
      </w:r>
      <w:r>
        <w:rPr>
          <w:rStyle w:val="a8"/>
        </w:rPr>
        <w:footnoteRef/>
      </w:r>
      <w:r>
        <w:tab/>
      </w:r>
      <w:r w:rsidR="00C3445B">
        <w:rPr>
          <w:rFonts w:hint="eastAsia"/>
        </w:rPr>
        <w:t>A/HRC/41/48</w:t>
      </w:r>
      <w:r w:rsidR="00C3445B">
        <w:rPr>
          <w:rFonts w:hint="eastAsia"/>
        </w:rPr>
        <w:t>。</w:t>
      </w:r>
    </w:p>
  </w:footnote>
  <w:footnote w:id="5">
    <w:p w:rsidR="00F0428D" w:rsidRDefault="00F0428D">
      <w:pPr>
        <w:pStyle w:val="a6"/>
        <w:rPr>
          <w:rFonts w:hint="eastAsia"/>
        </w:rPr>
      </w:pPr>
      <w:r>
        <w:tab/>
      </w:r>
      <w:r>
        <w:rPr>
          <w:rStyle w:val="a8"/>
        </w:rPr>
        <w:footnoteRef/>
      </w:r>
      <w:r>
        <w:tab/>
      </w:r>
      <w:r w:rsidR="00C3445B">
        <w:rPr>
          <w:rFonts w:hint="eastAsia"/>
        </w:rPr>
        <w:t>A/74/176</w:t>
      </w:r>
      <w:r w:rsidR="00C3445B">
        <w:rPr>
          <w:rFonts w:hint="eastAsia"/>
        </w:rPr>
        <w:t>。</w:t>
      </w:r>
    </w:p>
  </w:footnote>
  <w:footnote w:id="6">
    <w:p w:rsidR="008A0612" w:rsidRDefault="008A0612">
      <w:pPr>
        <w:pStyle w:val="a6"/>
        <w:rPr>
          <w:rFonts w:hint="eastAsia"/>
        </w:rPr>
      </w:pPr>
      <w:r>
        <w:tab/>
      </w:r>
      <w:r>
        <w:rPr>
          <w:rStyle w:val="a8"/>
        </w:rPr>
        <w:footnoteRef/>
      </w:r>
      <w:r>
        <w:tab/>
      </w:r>
      <w:r w:rsidRPr="008A0612">
        <w:rPr>
          <w:rFonts w:hint="eastAsia"/>
        </w:rPr>
        <w:t>大会第</w:t>
      </w:r>
      <w:r w:rsidRPr="008A0612">
        <w:rPr>
          <w:rFonts w:hint="eastAsia"/>
        </w:rPr>
        <w:t>70/1</w:t>
      </w:r>
      <w:r w:rsidRPr="008A0612">
        <w:rPr>
          <w:rFonts w:hint="eastAsia"/>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075C7" w:rsidP="006075C7">
    <w:pPr>
      <w:pStyle w:val="af3"/>
    </w:pPr>
    <w:r>
      <w:t>A/</w:t>
    </w:r>
    <w:proofErr w:type="spellStart"/>
    <w:r>
      <w:t>HRC</w:t>
    </w:r>
    <w:proofErr w:type="spellEnd"/>
    <w:r>
      <w:t>/44/</w:t>
    </w:r>
    <w:proofErr w:type="spellStart"/>
    <w:r>
      <w:t>L.7</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075C7" w:rsidP="006075C7">
    <w:pPr>
      <w:pStyle w:val="af3"/>
      <w:jc w:val="right"/>
    </w:pPr>
    <w:r>
      <w:t>A/</w:t>
    </w:r>
    <w:proofErr w:type="spellStart"/>
    <w:r>
      <w:t>HRC</w:t>
    </w:r>
    <w:proofErr w:type="spellEnd"/>
    <w:r>
      <w:t>/44/</w:t>
    </w:r>
    <w:proofErr w:type="spellStart"/>
    <w:r>
      <w:t>L.7</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44F7"/>
    <w:rsid w:val="00011483"/>
    <w:rsid w:val="00054E5E"/>
    <w:rsid w:val="000C7EB0"/>
    <w:rsid w:val="000D319F"/>
    <w:rsid w:val="000D6BBD"/>
    <w:rsid w:val="000E4D0E"/>
    <w:rsid w:val="000E62AA"/>
    <w:rsid w:val="00144B69"/>
    <w:rsid w:val="00152D5C"/>
    <w:rsid w:val="00153E86"/>
    <w:rsid w:val="001779F8"/>
    <w:rsid w:val="00186C47"/>
    <w:rsid w:val="001B16DD"/>
    <w:rsid w:val="001B1BD1"/>
    <w:rsid w:val="001C3EF2"/>
    <w:rsid w:val="001D17F6"/>
    <w:rsid w:val="00204B42"/>
    <w:rsid w:val="0022146A"/>
    <w:rsid w:val="002231C3"/>
    <w:rsid w:val="0024138C"/>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72E2"/>
    <w:rsid w:val="004C4A0A"/>
    <w:rsid w:val="0052528C"/>
    <w:rsid w:val="00557D9A"/>
    <w:rsid w:val="005A4A0E"/>
    <w:rsid w:val="005C00B0"/>
    <w:rsid w:val="005E01D9"/>
    <w:rsid w:val="005E3084"/>
    <w:rsid w:val="005E3A08"/>
    <w:rsid w:val="005E403A"/>
    <w:rsid w:val="006075C7"/>
    <w:rsid w:val="00623FC4"/>
    <w:rsid w:val="006749CD"/>
    <w:rsid w:val="00680656"/>
    <w:rsid w:val="006B1119"/>
    <w:rsid w:val="006B112E"/>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141CB"/>
    <w:rsid w:val="00856233"/>
    <w:rsid w:val="00860F27"/>
    <w:rsid w:val="008A0612"/>
    <w:rsid w:val="008B0560"/>
    <w:rsid w:val="008B2BFA"/>
    <w:rsid w:val="008B4347"/>
    <w:rsid w:val="008D32CC"/>
    <w:rsid w:val="008E1B39"/>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82F3C"/>
    <w:rsid w:val="00BC6522"/>
    <w:rsid w:val="00BF6D17"/>
    <w:rsid w:val="00C121D5"/>
    <w:rsid w:val="00C17349"/>
    <w:rsid w:val="00C3445B"/>
    <w:rsid w:val="00C351AA"/>
    <w:rsid w:val="00C52236"/>
    <w:rsid w:val="00C7253F"/>
    <w:rsid w:val="00C7577A"/>
    <w:rsid w:val="00C760F9"/>
    <w:rsid w:val="00D26A05"/>
    <w:rsid w:val="00D344F7"/>
    <w:rsid w:val="00D45C65"/>
    <w:rsid w:val="00D67E3B"/>
    <w:rsid w:val="00D85827"/>
    <w:rsid w:val="00D93FA6"/>
    <w:rsid w:val="00D97B98"/>
    <w:rsid w:val="00DC671F"/>
    <w:rsid w:val="00DD3407"/>
    <w:rsid w:val="00DE4DA7"/>
    <w:rsid w:val="00E27E7C"/>
    <w:rsid w:val="00E33B38"/>
    <w:rsid w:val="00E47FE5"/>
    <w:rsid w:val="00E574AF"/>
    <w:rsid w:val="00E71878"/>
    <w:rsid w:val="00E76D55"/>
    <w:rsid w:val="00E845B2"/>
    <w:rsid w:val="00F00D09"/>
    <w:rsid w:val="00F0428D"/>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8E181"/>
  <w15:docId w15:val="{7F870138-CF94-4896-BB8E-623109E7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0BD6F-C086-4067-AAD7-BCE15668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4663</Words>
  <Characters>4783</Characters>
  <Application>Microsoft Office Word</Application>
  <DocSecurity>0</DocSecurity>
  <Lines>178</Lines>
  <Paragraphs>66</Paragraphs>
  <ScaleCrop>false</ScaleCrop>
  <Company>DCM</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A/HRC/44/L.7</dc:title>
  <dc:subject>2009191</dc:subject>
  <dc:creator>Ji</dc:creator>
  <cp:keywords/>
  <dc:description/>
  <cp:lastModifiedBy>Xiangli FERSCHIN-JI</cp:lastModifiedBy>
  <cp:revision>2</cp:revision>
  <cp:lastPrinted>2020-07-15T15:29:00Z</cp:lastPrinted>
  <dcterms:created xsi:type="dcterms:W3CDTF">2020-07-15T15:50:00Z</dcterms:created>
  <dcterms:modified xsi:type="dcterms:W3CDTF">2020-07-15T15:50:00Z</dcterms:modified>
</cp:coreProperties>
</file>