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4266F" w:rsidRDefault="00BC3327" w:rsidP="000E62AA">
            <w:pPr>
              <w:spacing w:line="240" w:lineRule="atLeast"/>
              <w:jc w:val="right"/>
              <w:rPr>
                <w:sz w:val="20"/>
                <w:szCs w:val="21"/>
              </w:rPr>
            </w:pPr>
            <w:r>
              <w:rPr>
                <w:sz w:val="40"/>
                <w:szCs w:val="21"/>
              </w:rPr>
              <w:t>A</w:t>
            </w:r>
            <w:r w:rsidR="0054266F">
              <w:rPr>
                <w:sz w:val="20"/>
                <w:szCs w:val="21"/>
              </w:rPr>
              <w:t>/</w:t>
            </w:r>
            <w:proofErr w:type="spellStart"/>
            <w:r>
              <w:rPr>
                <w:sz w:val="20"/>
                <w:szCs w:val="21"/>
              </w:rPr>
              <w:t>HRC</w:t>
            </w:r>
            <w:proofErr w:type="spellEnd"/>
            <w:r w:rsidR="0054266F">
              <w:rPr>
                <w:sz w:val="20"/>
                <w:szCs w:val="21"/>
              </w:rPr>
              <w:t>/</w:t>
            </w:r>
            <w:r>
              <w:rPr>
                <w:sz w:val="20"/>
                <w:szCs w:val="21"/>
              </w:rPr>
              <w:t>44</w:t>
            </w:r>
            <w:r w:rsidR="0054266F">
              <w:rPr>
                <w:sz w:val="20"/>
                <w:szCs w:val="21"/>
              </w:rPr>
              <w:t>/</w:t>
            </w:r>
            <w:proofErr w:type="spellStart"/>
            <w:r>
              <w:rPr>
                <w:sz w:val="20"/>
                <w:szCs w:val="21"/>
              </w:rPr>
              <w:t>L</w:t>
            </w:r>
            <w:r w:rsidR="0054266F">
              <w:rPr>
                <w:sz w:val="20"/>
                <w:szCs w:val="21"/>
              </w:rPr>
              <w:t>.</w:t>
            </w:r>
            <w:r>
              <w:rPr>
                <w:sz w:val="20"/>
                <w:szCs w:val="21"/>
              </w:rPr>
              <w:t>8</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BC3327" w:rsidP="000E62AA">
            <w:pPr>
              <w:spacing w:before="240" w:line="240" w:lineRule="atLeast"/>
              <w:rPr>
                <w:sz w:val="20"/>
              </w:rPr>
            </w:pPr>
            <w:r>
              <w:rPr>
                <w:sz w:val="20"/>
              </w:rPr>
              <w:t>Distr.: Limited</w:t>
            </w:r>
          </w:p>
          <w:p w:rsidR="00A1364C" w:rsidRPr="00F124C6" w:rsidRDefault="00BC3327" w:rsidP="000E62AA">
            <w:pPr>
              <w:spacing w:line="240" w:lineRule="atLeast"/>
              <w:rPr>
                <w:sz w:val="20"/>
              </w:rPr>
            </w:pPr>
            <w:r>
              <w:rPr>
                <w:sz w:val="20"/>
              </w:rPr>
              <w:t>13</w:t>
            </w:r>
            <w:r w:rsidR="00FD5734">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BC3327" w:rsidP="000E62AA">
            <w:pPr>
              <w:spacing w:line="240" w:lineRule="atLeast"/>
              <w:rPr>
                <w:sz w:val="20"/>
              </w:rPr>
            </w:pPr>
            <w:r>
              <w:rPr>
                <w:sz w:val="20"/>
              </w:rPr>
              <w:t>Chinese</w:t>
            </w:r>
            <w:r w:rsidR="00A1364C" w:rsidRPr="00F124C6">
              <w:rPr>
                <w:sz w:val="20"/>
              </w:rPr>
              <w:t xml:space="preserve"> </w:t>
            </w:r>
          </w:p>
          <w:p w:rsidR="00A1364C" w:rsidRPr="00F124C6" w:rsidRDefault="00BC3327" w:rsidP="000E62AA">
            <w:pPr>
              <w:spacing w:line="240" w:lineRule="atLeast"/>
            </w:pPr>
            <w:r>
              <w:rPr>
                <w:sz w:val="20"/>
              </w:rPr>
              <w:t>Original: English</w:t>
            </w:r>
          </w:p>
        </w:tc>
      </w:tr>
    </w:tbl>
    <w:p w:rsidR="00FD5734" w:rsidRDefault="00FD5734" w:rsidP="00C7253F">
      <w:pPr>
        <w:spacing w:before="120"/>
        <w:rPr>
          <w:rFonts w:eastAsia="黑体"/>
          <w:sz w:val="24"/>
          <w:szCs w:val="24"/>
          <w:lang w:val="fr-CH"/>
        </w:rPr>
      </w:pPr>
      <w:r>
        <w:rPr>
          <w:rFonts w:eastAsia="黑体" w:hint="eastAsia"/>
          <w:sz w:val="24"/>
          <w:szCs w:val="24"/>
          <w:lang w:val="fr-CH"/>
        </w:rPr>
        <w:t>人权理事会</w:t>
      </w:r>
    </w:p>
    <w:p w:rsidR="00FD5734" w:rsidRPr="00FD5734" w:rsidRDefault="00FD5734" w:rsidP="00FD5734">
      <w:pPr>
        <w:rPr>
          <w:rFonts w:eastAsia="黑体"/>
          <w:szCs w:val="21"/>
          <w:lang w:val="fr-CH"/>
        </w:rPr>
      </w:pPr>
      <w:r w:rsidRPr="00FD5734">
        <w:rPr>
          <w:rFonts w:eastAsia="黑体" w:hint="eastAsia"/>
          <w:szCs w:val="21"/>
          <w:lang w:val="fr-CH"/>
        </w:rPr>
        <w:t>第四十四届会议</w:t>
      </w:r>
    </w:p>
    <w:p w:rsidR="00FD5734" w:rsidRPr="00FD5734" w:rsidRDefault="00BC3327" w:rsidP="00FD5734">
      <w:pPr>
        <w:rPr>
          <w:rFonts w:ascii="Time New Roman" w:hAnsi="Time New Roman" w:hint="eastAsia"/>
          <w:szCs w:val="21"/>
          <w:lang w:val="fr-CH"/>
        </w:rPr>
      </w:pPr>
      <w:r>
        <w:rPr>
          <w:rFonts w:ascii="Time New Roman" w:hAnsi="Time New Roman" w:hint="eastAsia"/>
          <w:szCs w:val="21"/>
          <w:lang w:val="fr-CH"/>
        </w:rPr>
        <w:t>2</w:t>
      </w:r>
      <w:r w:rsidR="00FD5734" w:rsidRPr="00FD5734">
        <w:rPr>
          <w:rFonts w:ascii="Time New Roman" w:hAnsi="Time New Roman" w:hint="eastAsia"/>
          <w:szCs w:val="21"/>
          <w:lang w:val="fr-CH"/>
        </w:rPr>
        <w:t>0</w:t>
      </w:r>
      <w:r>
        <w:rPr>
          <w:rFonts w:ascii="Time New Roman" w:hAnsi="Time New Roman" w:hint="eastAsia"/>
          <w:szCs w:val="21"/>
          <w:lang w:val="fr-CH"/>
        </w:rPr>
        <w:t>2</w:t>
      </w:r>
      <w:r w:rsidR="00FD5734" w:rsidRPr="00FD5734">
        <w:rPr>
          <w:rFonts w:ascii="Time New Roman" w:hAnsi="Time New Roman" w:hint="eastAsia"/>
          <w:szCs w:val="21"/>
          <w:lang w:val="fr-CH"/>
        </w:rPr>
        <w:t>0</w:t>
      </w:r>
      <w:r w:rsidR="00FD5734" w:rsidRPr="00FD5734">
        <w:rPr>
          <w:rFonts w:ascii="Time New Roman" w:hAnsi="Time New Roman" w:hint="eastAsia"/>
          <w:szCs w:val="21"/>
          <w:lang w:val="fr-CH"/>
        </w:rPr>
        <w:t>年</w:t>
      </w:r>
      <w:r>
        <w:rPr>
          <w:rFonts w:ascii="Time New Roman" w:hAnsi="Time New Roman" w:hint="eastAsia"/>
          <w:szCs w:val="21"/>
          <w:lang w:val="fr-CH"/>
        </w:rPr>
        <w:t>6</w:t>
      </w:r>
      <w:r w:rsidR="00FD5734" w:rsidRPr="00FD5734">
        <w:rPr>
          <w:rFonts w:ascii="Time New Roman" w:hAnsi="Time New Roman" w:hint="eastAsia"/>
          <w:szCs w:val="21"/>
          <w:lang w:val="fr-CH"/>
        </w:rPr>
        <w:t>月</w:t>
      </w:r>
      <w:r>
        <w:rPr>
          <w:rFonts w:ascii="Time New Roman" w:hAnsi="Time New Roman" w:hint="eastAsia"/>
          <w:szCs w:val="21"/>
          <w:lang w:val="fr-CH"/>
        </w:rPr>
        <w:t>3</w:t>
      </w:r>
      <w:r w:rsidR="00FD5734" w:rsidRPr="00FD5734">
        <w:rPr>
          <w:rFonts w:ascii="Time New Roman" w:hAnsi="Time New Roman" w:hint="eastAsia"/>
          <w:szCs w:val="21"/>
          <w:lang w:val="fr-CH"/>
        </w:rPr>
        <w:t>0</w:t>
      </w:r>
      <w:r w:rsidR="00FD5734" w:rsidRPr="00FD5734">
        <w:rPr>
          <w:rFonts w:ascii="Time New Roman" w:hAnsi="Time New Roman" w:hint="eastAsia"/>
          <w:szCs w:val="21"/>
          <w:lang w:val="fr-CH"/>
        </w:rPr>
        <w:t>日至</w:t>
      </w:r>
      <w:r>
        <w:rPr>
          <w:rFonts w:ascii="Time New Roman" w:hAnsi="Time New Roman" w:hint="eastAsia"/>
          <w:szCs w:val="21"/>
          <w:lang w:val="fr-CH"/>
        </w:rPr>
        <w:t>7</w:t>
      </w:r>
      <w:r w:rsidR="00FD5734" w:rsidRPr="00FD5734">
        <w:rPr>
          <w:rFonts w:ascii="Time New Roman" w:hAnsi="Time New Roman" w:hint="eastAsia"/>
          <w:szCs w:val="21"/>
          <w:lang w:val="fr-CH"/>
        </w:rPr>
        <w:t>月</w:t>
      </w:r>
      <w:r>
        <w:rPr>
          <w:rFonts w:ascii="Time New Roman" w:hAnsi="Time New Roman" w:hint="eastAsia"/>
          <w:szCs w:val="21"/>
          <w:lang w:val="fr-CH"/>
        </w:rPr>
        <w:t>17</w:t>
      </w:r>
      <w:r w:rsidR="00FD5734" w:rsidRPr="00FD5734">
        <w:rPr>
          <w:rFonts w:ascii="Time New Roman" w:hAnsi="Time New Roman" w:hint="eastAsia"/>
          <w:szCs w:val="21"/>
          <w:lang w:val="fr-CH"/>
        </w:rPr>
        <w:t>日</w:t>
      </w:r>
    </w:p>
    <w:p w:rsidR="00FD5734" w:rsidRPr="00FD5734" w:rsidRDefault="00FD5734" w:rsidP="00FD5734">
      <w:pPr>
        <w:rPr>
          <w:rFonts w:ascii="Time New Roman" w:hAnsi="Time New Roman" w:hint="eastAsia"/>
          <w:szCs w:val="21"/>
          <w:lang w:val="fr-CH"/>
        </w:rPr>
      </w:pPr>
      <w:r w:rsidRPr="00FD5734">
        <w:rPr>
          <w:rFonts w:ascii="Time New Roman" w:hAnsi="Time New Roman" w:hint="eastAsia"/>
          <w:szCs w:val="21"/>
          <w:lang w:val="fr-CH"/>
        </w:rPr>
        <w:t>议程项目</w:t>
      </w:r>
      <w:r w:rsidR="00BC3327">
        <w:rPr>
          <w:rFonts w:ascii="Time New Roman" w:hAnsi="Time New Roman" w:hint="eastAsia"/>
          <w:szCs w:val="21"/>
          <w:lang w:val="fr-CH"/>
        </w:rPr>
        <w:t>2</w:t>
      </w:r>
    </w:p>
    <w:p w:rsidR="00FD5734" w:rsidRDefault="00FD5734" w:rsidP="00FD5734">
      <w:pPr>
        <w:rPr>
          <w:rFonts w:eastAsia="黑体"/>
          <w:lang w:val="fr-CH"/>
        </w:rPr>
      </w:pPr>
      <w:r w:rsidRPr="00FD5734">
        <w:rPr>
          <w:rFonts w:eastAsia="黑体" w:hint="eastAsia"/>
          <w:szCs w:val="21"/>
          <w:lang w:val="fr-CH"/>
        </w:rPr>
        <w:t>联合国人权事务高级专员的年度报告以及</w:t>
      </w:r>
      <w:r>
        <w:rPr>
          <w:rFonts w:eastAsia="黑体"/>
          <w:szCs w:val="21"/>
          <w:lang w:val="fr-CH"/>
        </w:rPr>
        <w:br/>
      </w:r>
      <w:r w:rsidRPr="00FD5734">
        <w:rPr>
          <w:rFonts w:eastAsia="黑体" w:hint="eastAsia"/>
          <w:szCs w:val="21"/>
          <w:lang w:val="fr-CH"/>
        </w:rPr>
        <w:t>高级专员办事处的报告和秘书长的报告</w:t>
      </w:r>
    </w:p>
    <w:p w:rsidR="0054266F" w:rsidRDefault="0054266F" w:rsidP="00BF6D17">
      <w:pPr>
        <w:rPr>
          <w:lang w:val="fr-CH"/>
        </w:rPr>
      </w:pPr>
    </w:p>
    <w:p w:rsidR="00BC3327" w:rsidRPr="00BC3327" w:rsidRDefault="00BC3327" w:rsidP="005F6A65">
      <w:pPr>
        <w:pStyle w:val="H23GC"/>
        <w:jc w:val="both"/>
      </w:pPr>
      <w:r w:rsidRPr="00BC3327">
        <w:rPr>
          <w:lang w:val="fr-CH"/>
        </w:rPr>
        <w:tab/>
      </w:r>
      <w:r w:rsidRPr="00BC3327">
        <w:rPr>
          <w:lang w:val="fr-CH"/>
        </w:rPr>
        <w:tab/>
      </w:r>
      <w:r w:rsidRPr="005F6A65">
        <w:rPr>
          <w:spacing w:val="-4"/>
          <w:lang w:val="fr-CH"/>
        </w:rPr>
        <w:t>澳大利亚、奥地利、比利时</w:t>
      </w:r>
      <w:r w:rsidRPr="005F6A65">
        <w:rPr>
          <w:spacing w:val="-4"/>
          <w:lang w:val="fr-CH"/>
        </w:rPr>
        <w:footnoteReference w:customMarkFollows="1" w:id="2"/>
        <w:t>*</w:t>
      </w:r>
      <w:r w:rsidRPr="005F6A65">
        <w:rPr>
          <w:spacing w:val="-4"/>
          <w:lang w:val="fr-CH"/>
        </w:rPr>
        <w:t>、保加利亚、加拿大</w:t>
      </w:r>
      <w:r w:rsidRPr="005F6A65">
        <w:rPr>
          <w:spacing w:val="-4"/>
          <w:lang w:val="fr-CH"/>
        </w:rPr>
        <w:t>*</w:t>
      </w:r>
      <w:r w:rsidRPr="005F6A65">
        <w:rPr>
          <w:spacing w:val="-4"/>
          <w:lang w:val="fr-CH"/>
        </w:rPr>
        <w:t>、克罗地亚</w:t>
      </w:r>
      <w:r w:rsidRPr="005F6A65">
        <w:rPr>
          <w:spacing w:val="-4"/>
          <w:lang w:val="fr-CH"/>
        </w:rPr>
        <w:t>*</w:t>
      </w:r>
      <w:r w:rsidRPr="005F6A65">
        <w:rPr>
          <w:spacing w:val="-4"/>
          <w:lang w:val="fr-CH"/>
        </w:rPr>
        <w:t>、塞浦路斯</w:t>
      </w:r>
      <w:r w:rsidRPr="005F6A65">
        <w:rPr>
          <w:spacing w:val="-4"/>
          <w:lang w:val="fr-CH"/>
        </w:rPr>
        <w:t>*</w:t>
      </w:r>
      <w:r w:rsidRPr="005F6A65">
        <w:rPr>
          <w:spacing w:val="-4"/>
          <w:lang w:val="fr-CH"/>
        </w:rPr>
        <w:t>、</w:t>
      </w:r>
      <w:r w:rsidRPr="00BC3327">
        <w:rPr>
          <w:lang w:val="fr-CH"/>
        </w:rPr>
        <w:t>捷克、丹麦、爱沙尼亚</w:t>
      </w:r>
      <w:r w:rsidRPr="00BC3327">
        <w:rPr>
          <w:lang w:val="fr-CH"/>
        </w:rPr>
        <w:t>*</w:t>
      </w:r>
      <w:r w:rsidRPr="00BC3327">
        <w:rPr>
          <w:lang w:val="fr-CH"/>
        </w:rPr>
        <w:t>、芬兰</w:t>
      </w:r>
      <w:r w:rsidRPr="00BC3327">
        <w:rPr>
          <w:lang w:val="fr-CH"/>
        </w:rPr>
        <w:t>*</w:t>
      </w:r>
      <w:r w:rsidRPr="00BC3327">
        <w:rPr>
          <w:lang w:val="fr-CH"/>
        </w:rPr>
        <w:t>、法国</w:t>
      </w:r>
      <w:r w:rsidRPr="00BC3327">
        <w:rPr>
          <w:lang w:val="fr-CH"/>
        </w:rPr>
        <w:t>*</w:t>
      </w:r>
      <w:r w:rsidRPr="00BC3327">
        <w:rPr>
          <w:lang w:val="fr-CH"/>
        </w:rPr>
        <w:t>、德国、希腊</w:t>
      </w:r>
      <w:r w:rsidRPr="00BC3327">
        <w:rPr>
          <w:lang w:val="fr-CH"/>
        </w:rPr>
        <w:t>*</w:t>
      </w:r>
      <w:r w:rsidRPr="00BC3327">
        <w:rPr>
          <w:lang w:val="fr-CH"/>
        </w:rPr>
        <w:t>、冰岛</w:t>
      </w:r>
      <w:r w:rsidRPr="00BC3327">
        <w:rPr>
          <w:lang w:val="fr-CH"/>
        </w:rPr>
        <w:t>*</w:t>
      </w:r>
      <w:r w:rsidRPr="00BC3327">
        <w:rPr>
          <w:lang w:val="fr-CH"/>
        </w:rPr>
        <w:t>、爱尔兰</w:t>
      </w:r>
      <w:r w:rsidRPr="00BC3327">
        <w:rPr>
          <w:lang w:val="fr-CH"/>
        </w:rPr>
        <w:t>*</w:t>
      </w:r>
      <w:r w:rsidRPr="00BC3327">
        <w:rPr>
          <w:lang w:val="fr-CH"/>
        </w:rPr>
        <w:t>、</w:t>
      </w:r>
      <w:r w:rsidRPr="005F6A65">
        <w:rPr>
          <w:spacing w:val="-4"/>
          <w:lang w:val="fr-CH"/>
        </w:rPr>
        <w:t>意大利、拉脱维亚</w:t>
      </w:r>
      <w:r w:rsidRPr="005F6A65">
        <w:rPr>
          <w:spacing w:val="-4"/>
          <w:lang w:val="fr-CH"/>
        </w:rPr>
        <w:t>*</w:t>
      </w:r>
      <w:r w:rsidRPr="005F6A65">
        <w:rPr>
          <w:spacing w:val="-4"/>
          <w:lang w:val="fr-CH"/>
        </w:rPr>
        <w:t>、列支敦士登</w:t>
      </w:r>
      <w:r w:rsidRPr="005F6A65">
        <w:rPr>
          <w:spacing w:val="-4"/>
          <w:lang w:val="fr-CH"/>
        </w:rPr>
        <w:t>*</w:t>
      </w:r>
      <w:r w:rsidRPr="005F6A65">
        <w:rPr>
          <w:spacing w:val="-4"/>
          <w:lang w:val="fr-CH"/>
        </w:rPr>
        <w:t>、立陶宛</w:t>
      </w:r>
      <w:r w:rsidRPr="005F6A65">
        <w:rPr>
          <w:spacing w:val="-4"/>
          <w:lang w:val="fr-CH"/>
        </w:rPr>
        <w:t>*</w:t>
      </w:r>
      <w:r w:rsidRPr="005F6A65">
        <w:rPr>
          <w:spacing w:val="-4"/>
          <w:lang w:val="fr-CH"/>
        </w:rPr>
        <w:t>、卢森堡</w:t>
      </w:r>
      <w:r w:rsidRPr="005F6A65">
        <w:rPr>
          <w:spacing w:val="-4"/>
          <w:lang w:val="fr-CH"/>
        </w:rPr>
        <w:t>*</w:t>
      </w:r>
      <w:r w:rsidRPr="005F6A65">
        <w:rPr>
          <w:spacing w:val="-4"/>
          <w:lang w:val="fr-CH"/>
        </w:rPr>
        <w:t>、马耳他</w:t>
      </w:r>
      <w:r w:rsidRPr="005F6A65">
        <w:rPr>
          <w:spacing w:val="-4"/>
          <w:lang w:val="fr-CH"/>
        </w:rPr>
        <w:t>*</w:t>
      </w:r>
      <w:r w:rsidRPr="005F6A65">
        <w:rPr>
          <w:spacing w:val="-4"/>
          <w:lang w:val="fr-CH"/>
        </w:rPr>
        <w:t>、摩纳哥</w:t>
      </w:r>
      <w:r w:rsidRPr="005F6A65">
        <w:rPr>
          <w:spacing w:val="-4"/>
          <w:lang w:val="fr-CH"/>
        </w:rPr>
        <w:t>*</w:t>
      </w:r>
      <w:r w:rsidRPr="005F6A65">
        <w:rPr>
          <w:spacing w:val="-4"/>
          <w:lang w:val="fr-CH"/>
        </w:rPr>
        <w:t>、</w:t>
      </w:r>
      <w:r w:rsidRPr="005F6A65">
        <w:rPr>
          <w:spacing w:val="-8"/>
          <w:lang w:val="fr-CH"/>
        </w:rPr>
        <w:t>黑山</w:t>
      </w:r>
      <w:r w:rsidRPr="005F6A65">
        <w:rPr>
          <w:spacing w:val="-8"/>
          <w:lang w:val="fr-CH"/>
        </w:rPr>
        <w:t>*</w:t>
      </w:r>
      <w:r w:rsidRPr="005F6A65">
        <w:rPr>
          <w:spacing w:val="-8"/>
          <w:lang w:val="fr-CH"/>
        </w:rPr>
        <w:t>、荷兰、北马其顿</w:t>
      </w:r>
      <w:r w:rsidRPr="005F6A65">
        <w:rPr>
          <w:spacing w:val="-8"/>
          <w:lang w:val="fr-CH"/>
        </w:rPr>
        <w:t>*</w:t>
      </w:r>
      <w:r w:rsidRPr="005F6A65">
        <w:rPr>
          <w:spacing w:val="-8"/>
          <w:lang w:val="fr-CH"/>
        </w:rPr>
        <w:t>、挪威</w:t>
      </w:r>
      <w:r w:rsidRPr="005F6A65">
        <w:rPr>
          <w:spacing w:val="-8"/>
          <w:lang w:val="fr-CH"/>
        </w:rPr>
        <w:t>*</w:t>
      </w:r>
      <w:r w:rsidRPr="005F6A65">
        <w:rPr>
          <w:spacing w:val="-8"/>
          <w:lang w:val="fr-CH"/>
        </w:rPr>
        <w:t>、波兰、罗马尼亚</w:t>
      </w:r>
      <w:r w:rsidRPr="005F6A65">
        <w:rPr>
          <w:spacing w:val="-8"/>
          <w:lang w:val="fr-CH"/>
        </w:rPr>
        <w:t>*</w:t>
      </w:r>
      <w:r w:rsidRPr="005F6A65">
        <w:rPr>
          <w:spacing w:val="-8"/>
          <w:lang w:val="fr-CH"/>
        </w:rPr>
        <w:t>、斯洛伐克、斯洛文尼亚</w:t>
      </w:r>
      <w:r w:rsidRPr="005F6A65">
        <w:rPr>
          <w:spacing w:val="-8"/>
          <w:lang w:val="fr-CH"/>
        </w:rPr>
        <w:t>*</w:t>
      </w:r>
      <w:r w:rsidRPr="005F6A65">
        <w:rPr>
          <w:spacing w:val="-8"/>
          <w:lang w:val="fr-CH"/>
        </w:rPr>
        <w:t>、</w:t>
      </w:r>
      <w:r w:rsidRPr="00BC3327">
        <w:rPr>
          <w:lang w:val="fr-CH"/>
        </w:rPr>
        <w:t>西班牙、瑞典</w:t>
      </w:r>
      <w:r w:rsidRPr="00BC3327">
        <w:rPr>
          <w:lang w:val="fr-CH"/>
        </w:rPr>
        <w:t>*</w:t>
      </w:r>
      <w:r w:rsidRPr="00BC3327">
        <w:rPr>
          <w:lang w:val="fr-CH"/>
        </w:rPr>
        <w:t>和瑞士</w:t>
      </w:r>
      <w:r w:rsidRPr="00BC3327">
        <w:rPr>
          <w:lang w:val="fr-CH"/>
        </w:rPr>
        <w:t>*</w:t>
      </w:r>
      <w:r w:rsidRPr="00BC3327">
        <w:rPr>
          <w:lang w:val="fr-CH"/>
        </w:rPr>
        <w:t>：决议草案</w:t>
      </w:r>
    </w:p>
    <w:p w:rsidR="00BC3327" w:rsidRPr="00BC3327" w:rsidRDefault="008A43A0" w:rsidP="00231CE0">
      <w:pPr>
        <w:pStyle w:val="H1GC"/>
        <w:tabs>
          <w:tab w:val="left" w:pos="1920"/>
        </w:tabs>
      </w:pPr>
      <w:r>
        <w:rPr>
          <w:lang w:val="fr-CH"/>
        </w:rPr>
        <w:tab/>
      </w:r>
      <w:r>
        <w:rPr>
          <w:lang w:val="fr-CH"/>
        </w:rPr>
        <w:tab/>
      </w:r>
      <w:r w:rsidR="00BC3327">
        <w:rPr>
          <w:lang w:val="fr-CH"/>
        </w:rPr>
        <w:t>44</w:t>
      </w:r>
      <w:r w:rsidR="00BC3327" w:rsidRPr="00BC3327">
        <w:rPr>
          <w:lang w:val="fr-CH"/>
        </w:rPr>
        <w:t>/…</w:t>
      </w:r>
      <w:r>
        <w:rPr>
          <w:lang w:val="fr-CH"/>
        </w:rPr>
        <w:tab/>
      </w:r>
      <w:r w:rsidR="00BC3327" w:rsidRPr="00BC3327">
        <w:rPr>
          <w:lang w:val="fr-CH"/>
        </w:rPr>
        <w:t>厄立特里亚的人权状况</w:t>
      </w:r>
    </w:p>
    <w:p w:rsidR="00BC3327" w:rsidRPr="00BC3327" w:rsidRDefault="00BC3327" w:rsidP="008A43A0">
      <w:pPr>
        <w:pStyle w:val="SingleTxtGC"/>
        <w:tabs>
          <w:tab w:val="clear" w:pos="1996"/>
          <w:tab w:val="left" w:pos="1790"/>
        </w:tabs>
      </w:pPr>
      <w:r w:rsidRPr="00BC3327">
        <w:rPr>
          <w:lang w:val="fr-CH"/>
        </w:rPr>
        <w:tab/>
      </w:r>
      <w:r w:rsidRPr="00BC3327">
        <w:rPr>
          <w:rFonts w:ascii="Time New Roman" w:eastAsia="楷体" w:hAnsi="Time New Roman"/>
          <w:lang w:val="fr-CH"/>
        </w:rPr>
        <w:t>人权理事会</w:t>
      </w:r>
      <w:r w:rsidRPr="00BC3327">
        <w:rPr>
          <w:lang w:val="fr-CH"/>
        </w:rPr>
        <w:t>，</w:t>
      </w:r>
    </w:p>
    <w:p w:rsidR="00BC3327" w:rsidRPr="00BC3327" w:rsidRDefault="00BC3327" w:rsidP="00BC3327">
      <w:pPr>
        <w:pStyle w:val="SingleTxtGC"/>
      </w:pPr>
      <w:r>
        <w:rPr>
          <w:rFonts w:ascii="Time New Roman" w:eastAsia="楷体" w:hAnsi="Time New Roman"/>
          <w:lang w:val="fr-CH"/>
        </w:rPr>
        <w:tab/>
      </w:r>
      <w:r w:rsidRPr="00BC3327">
        <w:rPr>
          <w:rFonts w:ascii="Time New Roman" w:eastAsia="楷体" w:hAnsi="Time New Roman"/>
          <w:lang w:val="fr-CH"/>
        </w:rPr>
        <w:t>遵循</w:t>
      </w:r>
      <w:r w:rsidRPr="00BC3327">
        <w:rPr>
          <w:lang w:val="fr-CH"/>
        </w:rPr>
        <w:t>《联合国宪章》、《世界人权宣言》、国际人权两公约及其他相关国际人权文书，</w:t>
      </w:r>
    </w:p>
    <w:p w:rsidR="00BC3327" w:rsidRPr="00BC3327" w:rsidRDefault="00BC3327" w:rsidP="00BC3327">
      <w:pPr>
        <w:pStyle w:val="SingleTxtGC"/>
      </w:pPr>
      <w:r>
        <w:rPr>
          <w:rFonts w:ascii="Time New Roman" w:eastAsia="楷体" w:hAnsi="Time New Roman"/>
          <w:lang w:val="fr-CH"/>
        </w:rPr>
        <w:tab/>
      </w:r>
      <w:r w:rsidRPr="007B3198">
        <w:rPr>
          <w:rFonts w:ascii="Time New Roman" w:eastAsia="楷体" w:hAnsi="Time New Roman"/>
          <w:spacing w:val="-2"/>
          <w:lang w:val="fr-CH"/>
        </w:rPr>
        <w:t>回顾</w:t>
      </w:r>
      <w:r w:rsidRPr="007B3198">
        <w:rPr>
          <w:spacing w:val="-2"/>
          <w:lang w:val="fr-CH"/>
        </w:rPr>
        <w:t>大会</w:t>
      </w:r>
      <w:r w:rsidRPr="007B3198">
        <w:rPr>
          <w:spacing w:val="-2"/>
          <w:lang w:val="fr-CH"/>
        </w:rPr>
        <w:t>2006</w:t>
      </w:r>
      <w:r w:rsidRPr="007B3198">
        <w:rPr>
          <w:spacing w:val="-2"/>
          <w:lang w:val="fr-CH"/>
        </w:rPr>
        <w:t>年</w:t>
      </w:r>
      <w:r w:rsidRPr="007B3198">
        <w:rPr>
          <w:spacing w:val="-2"/>
          <w:lang w:val="fr-CH"/>
        </w:rPr>
        <w:t>3</w:t>
      </w:r>
      <w:r w:rsidRPr="007B3198">
        <w:rPr>
          <w:spacing w:val="-2"/>
          <w:lang w:val="fr-CH"/>
        </w:rPr>
        <w:t>月</w:t>
      </w:r>
      <w:r w:rsidRPr="007B3198">
        <w:rPr>
          <w:spacing w:val="-2"/>
          <w:lang w:val="fr-CH"/>
        </w:rPr>
        <w:t>15</w:t>
      </w:r>
      <w:r w:rsidRPr="007B3198">
        <w:rPr>
          <w:spacing w:val="-2"/>
          <w:lang w:val="fr-CH"/>
        </w:rPr>
        <w:t>日第</w:t>
      </w:r>
      <w:r w:rsidRPr="007B3198">
        <w:rPr>
          <w:spacing w:val="-2"/>
          <w:lang w:val="fr-CH"/>
        </w:rPr>
        <w:t>60/251</w:t>
      </w:r>
      <w:r w:rsidRPr="007B3198">
        <w:rPr>
          <w:spacing w:val="-2"/>
          <w:lang w:val="fr-CH"/>
        </w:rPr>
        <w:t>号决议，人权理事会</w:t>
      </w:r>
      <w:r w:rsidRPr="007B3198">
        <w:rPr>
          <w:spacing w:val="-2"/>
          <w:lang w:val="fr-CH"/>
        </w:rPr>
        <w:t>2007</w:t>
      </w:r>
      <w:r w:rsidRPr="007B3198">
        <w:rPr>
          <w:spacing w:val="-2"/>
          <w:lang w:val="fr-CH"/>
        </w:rPr>
        <w:t>年</w:t>
      </w:r>
      <w:r w:rsidRPr="007B3198">
        <w:rPr>
          <w:spacing w:val="-2"/>
          <w:lang w:val="fr-CH"/>
        </w:rPr>
        <w:t>6</w:t>
      </w:r>
      <w:r w:rsidRPr="007B3198">
        <w:rPr>
          <w:spacing w:val="-2"/>
          <w:lang w:val="fr-CH"/>
        </w:rPr>
        <w:t>月</w:t>
      </w:r>
      <w:r w:rsidRPr="007B3198">
        <w:rPr>
          <w:spacing w:val="-2"/>
          <w:lang w:val="fr-CH"/>
        </w:rPr>
        <w:t>18</w:t>
      </w:r>
      <w:r w:rsidRPr="007B3198">
        <w:rPr>
          <w:spacing w:val="-2"/>
          <w:lang w:val="fr-CH"/>
        </w:rPr>
        <w:t>日</w:t>
      </w:r>
      <w:r w:rsidRPr="00BC3327">
        <w:rPr>
          <w:lang w:val="fr-CH"/>
        </w:rPr>
        <w:t>第</w:t>
      </w:r>
      <w:r>
        <w:rPr>
          <w:lang w:val="fr-CH"/>
        </w:rPr>
        <w:t>5</w:t>
      </w:r>
      <w:r w:rsidRPr="00BC3327">
        <w:rPr>
          <w:lang w:val="fr-CH"/>
        </w:rPr>
        <w:t>/</w:t>
      </w:r>
      <w:r>
        <w:rPr>
          <w:lang w:val="fr-CH"/>
        </w:rPr>
        <w:t>1</w:t>
      </w:r>
      <w:r w:rsidRPr="00BC3327">
        <w:rPr>
          <w:lang w:val="fr-CH"/>
        </w:rPr>
        <w:t>号和第</w:t>
      </w:r>
      <w:r>
        <w:rPr>
          <w:lang w:val="fr-CH"/>
        </w:rPr>
        <w:t>5</w:t>
      </w:r>
      <w:r w:rsidRPr="00BC3327">
        <w:rPr>
          <w:lang w:val="fr-CH"/>
        </w:rPr>
        <w:t>/</w:t>
      </w:r>
      <w:r>
        <w:rPr>
          <w:lang w:val="fr-CH"/>
        </w:rPr>
        <w:t>2</w:t>
      </w:r>
      <w:r w:rsidRPr="00BC3327">
        <w:rPr>
          <w:lang w:val="fr-CH"/>
        </w:rPr>
        <w:t>号决议，非洲人权和民族权委员会第</w:t>
      </w:r>
      <w:r>
        <w:rPr>
          <w:lang w:val="fr-CH"/>
        </w:rPr>
        <w:t>91</w:t>
      </w:r>
      <w:r w:rsidRPr="00BC3327">
        <w:rPr>
          <w:lang w:val="fr-CH"/>
        </w:rPr>
        <w:t>号决议及第</w:t>
      </w:r>
      <w:r>
        <w:rPr>
          <w:lang w:val="fr-CH"/>
        </w:rPr>
        <w:t>25</w:t>
      </w:r>
      <w:r w:rsidRPr="00BC3327">
        <w:rPr>
          <w:lang w:val="fr-CH"/>
        </w:rPr>
        <w:t>0/</w:t>
      </w:r>
      <w:r>
        <w:rPr>
          <w:lang w:val="fr-CH"/>
        </w:rPr>
        <w:t>2</w:t>
      </w:r>
      <w:r w:rsidRPr="00BC3327">
        <w:rPr>
          <w:lang w:val="fr-CH"/>
        </w:rPr>
        <w:t>00</w:t>
      </w:r>
      <w:r>
        <w:rPr>
          <w:lang w:val="fr-CH"/>
        </w:rPr>
        <w:t>2</w:t>
      </w:r>
      <w:r w:rsidRPr="007B3198">
        <w:rPr>
          <w:spacing w:val="4"/>
          <w:lang w:val="fr-CH"/>
        </w:rPr>
        <w:t>号、第</w:t>
      </w:r>
      <w:r w:rsidRPr="007B3198">
        <w:rPr>
          <w:spacing w:val="4"/>
          <w:lang w:val="fr-CH"/>
        </w:rPr>
        <w:t>275/2003</w:t>
      </w:r>
      <w:r w:rsidRPr="007B3198">
        <w:rPr>
          <w:spacing w:val="4"/>
          <w:lang w:val="fr-CH"/>
        </w:rPr>
        <w:t>号和第</w:t>
      </w:r>
      <w:r w:rsidRPr="007B3198">
        <w:rPr>
          <w:spacing w:val="4"/>
          <w:lang w:val="fr-CH"/>
        </w:rPr>
        <w:t>428/12</w:t>
      </w:r>
      <w:r w:rsidRPr="007B3198">
        <w:rPr>
          <w:spacing w:val="4"/>
          <w:lang w:val="fr-CH"/>
        </w:rPr>
        <w:t>号决定，以及理事会以往所有关于厄立特里亚人</w:t>
      </w:r>
      <w:r w:rsidRPr="00BC3327">
        <w:rPr>
          <w:lang w:val="fr-CH"/>
        </w:rPr>
        <w:t>权状况的决议，</w:t>
      </w:r>
    </w:p>
    <w:p w:rsidR="00BC3327" w:rsidRPr="00353CBE" w:rsidRDefault="00BC3327" w:rsidP="00BC3327">
      <w:pPr>
        <w:pStyle w:val="SingleTxtGC"/>
        <w:rPr>
          <w:spacing w:val="4"/>
        </w:rPr>
      </w:pPr>
      <w:r w:rsidRPr="00353CBE">
        <w:rPr>
          <w:rFonts w:ascii="Time New Roman" w:eastAsia="楷体" w:hAnsi="Time New Roman"/>
          <w:spacing w:val="4"/>
          <w:lang w:val="fr-CH"/>
        </w:rPr>
        <w:tab/>
      </w:r>
      <w:r w:rsidRPr="00353CBE">
        <w:rPr>
          <w:rFonts w:ascii="Time New Roman" w:eastAsia="楷体" w:hAnsi="Time New Roman"/>
          <w:spacing w:val="4"/>
          <w:lang w:val="fr-CH"/>
        </w:rPr>
        <w:t>又回顾</w:t>
      </w:r>
      <w:r w:rsidRPr="00353CBE">
        <w:rPr>
          <w:spacing w:val="4"/>
          <w:lang w:val="fr-CH"/>
        </w:rPr>
        <w:t>近年来该区域的重要事态发展及其对厄立特里亚</w:t>
      </w:r>
      <w:r w:rsidRPr="00353CBE">
        <w:rPr>
          <w:rFonts w:hint="eastAsia"/>
          <w:spacing w:val="4"/>
          <w:lang w:val="fr-CH"/>
        </w:rPr>
        <w:t>的</w:t>
      </w:r>
      <w:r w:rsidRPr="00353CBE">
        <w:rPr>
          <w:spacing w:val="4"/>
          <w:lang w:val="fr-CH"/>
        </w:rPr>
        <w:t>人权发展</w:t>
      </w:r>
      <w:r w:rsidRPr="00353CBE">
        <w:rPr>
          <w:rFonts w:hint="eastAsia"/>
          <w:spacing w:val="4"/>
          <w:lang w:val="fr-CH"/>
        </w:rPr>
        <w:t>带来</w:t>
      </w:r>
      <w:r w:rsidRPr="00353CBE">
        <w:rPr>
          <w:spacing w:val="4"/>
          <w:lang w:val="fr-CH"/>
        </w:rPr>
        <w:t>的潜力，</w:t>
      </w:r>
    </w:p>
    <w:p w:rsidR="00BC3327" w:rsidRPr="00BC3327" w:rsidRDefault="00BC3327" w:rsidP="00BC3327">
      <w:pPr>
        <w:pStyle w:val="SingleTxtGC"/>
      </w:pPr>
      <w:r>
        <w:rPr>
          <w:rFonts w:ascii="Time New Roman" w:eastAsia="楷体" w:hAnsi="Time New Roman"/>
          <w:lang w:val="fr-CH"/>
        </w:rPr>
        <w:tab/>
      </w:r>
      <w:r w:rsidRPr="00BC3327">
        <w:rPr>
          <w:rFonts w:ascii="Time New Roman" w:eastAsia="楷体" w:hAnsi="Time New Roman"/>
          <w:lang w:val="fr-CH"/>
        </w:rPr>
        <w:t>欢迎</w:t>
      </w:r>
      <w:r w:rsidRPr="00BC3327">
        <w:rPr>
          <w:lang w:val="fr-CH"/>
        </w:rPr>
        <w:t>厄立特里亚政府致力于可持续发展目标，并于</w:t>
      </w:r>
      <w:r>
        <w:rPr>
          <w:lang w:val="fr-CH"/>
        </w:rPr>
        <w:t>2</w:t>
      </w:r>
      <w:r w:rsidRPr="00BC3327">
        <w:rPr>
          <w:lang w:val="fr-CH"/>
        </w:rPr>
        <w:t>0</w:t>
      </w:r>
      <w:r>
        <w:rPr>
          <w:lang w:val="fr-CH"/>
        </w:rPr>
        <w:t>19</w:t>
      </w:r>
      <w:r w:rsidRPr="00BC3327">
        <w:rPr>
          <w:lang w:val="fr-CH"/>
        </w:rPr>
        <w:t>年</w:t>
      </w:r>
      <w:r>
        <w:rPr>
          <w:lang w:val="fr-CH"/>
        </w:rPr>
        <w:t>1</w:t>
      </w:r>
      <w:r w:rsidRPr="00BC3327">
        <w:rPr>
          <w:lang w:val="fr-CH"/>
        </w:rPr>
        <w:t>月</w:t>
      </w:r>
      <w:r>
        <w:rPr>
          <w:lang w:val="fr-CH"/>
        </w:rPr>
        <w:t>28</w:t>
      </w:r>
      <w:r w:rsidRPr="00BC3327">
        <w:rPr>
          <w:lang w:val="fr-CH"/>
        </w:rPr>
        <w:t>日参加了第三轮普遍定期审议</w:t>
      </w:r>
      <w:r w:rsidRPr="00BC3327">
        <w:rPr>
          <w:vertAlign w:val="superscript"/>
          <w:lang w:val="fr-CH"/>
        </w:rPr>
        <w:footnoteReference w:id="3"/>
      </w:r>
      <w:r w:rsidRPr="00BC3327">
        <w:rPr>
          <w:lang w:val="fr-CH"/>
        </w:rPr>
        <w:t>，于</w:t>
      </w:r>
      <w:r>
        <w:rPr>
          <w:lang w:val="fr-CH"/>
        </w:rPr>
        <w:t>2</w:t>
      </w:r>
      <w:r w:rsidRPr="00BC3327">
        <w:rPr>
          <w:lang w:val="fr-CH"/>
        </w:rPr>
        <w:t>0</w:t>
      </w:r>
      <w:r>
        <w:rPr>
          <w:lang w:val="fr-CH"/>
        </w:rPr>
        <w:t>2</w:t>
      </w:r>
      <w:r w:rsidRPr="00BC3327">
        <w:rPr>
          <w:lang w:val="fr-CH"/>
        </w:rPr>
        <w:t>0</w:t>
      </w:r>
      <w:r w:rsidRPr="00BC3327">
        <w:rPr>
          <w:lang w:val="fr-CH"/>
        </w:rPr>
        <w:t>年</w:t>
      </w:r>
      <w:r>
        <w:rPr>
          <w:lang w:val="fr-CH"/>
        </w:rPr>
        <w:t>2</w:t>
      </w:r>
      <w:r w:rsidRPr="00BC3327">
        <w:rPr>
          <w:lang w:val="fr-CH"/>
        </w:rPr>
        <w:t>月</w:t>
      </w:r>
      <w:r>
        <w:rPr>
          <w:lang w:val="fr-CH"/>
        </w:rPr>
        <w:t>14</w:t>
      </w:r>
      <w:r w:rsidRPr="00BC3327">
        <w:rPr>
          <w:lang w:val="fr-CH"/>
        </w:rPr>
        <w:t>日参加了与消除对妇女歧视委员会的人权对话，</w:t>
      </w:r>
      <w:r w:rsidRPr="00BC3327">
        <w:rPr>
          <w:vertAlign w:val="superscript"/>
          <w:lang w:val="fr-CH"/>
        </w:rPr>
        <w:footnoteReference w:id="4"/>
      </w:r>
    </w:p>
    <w:p w:rsidR="00BC3327" w:rsidRPr="00BC3327" w:rsidRDefault="00BC3327" w:rsidP="00BC3327">
      <w:pPr>
        <w:pStyle w:val="SingleTxtGC"/>
      </w:pPr>
      <w:r>
        <w:rPr>
          <w:rFonts w:ascii="Time New Roman" w:eastAsia="楷体" w:hAnsi="Time New Roman"/>
          <w:lang w:val="fr-CH"/>
        </w:rPr>
        <w:lastRenderedPageBreak/>
        <w:tab/>
      </w:r>
      <w:r w:rsidRPr="00BC3327">
        <w:rPr>
          <w:rFonts w:ascii="Time New Roman" w:eastAsia="楷体" w:hAnsi="Time New Roman"/>
          <w:lang w:val="fr-CH"/>
        </w:rPr>
        <w:t>还欢迎</w:t>
      </w:r>
      <w:r w:rsidRPr="00BC3327">
        <w:rPr>
          <w:lang w:val="fr-CH"/>
        </w:rPr>
        <w:t>厄立特里亚人权状况特别报告员的报告</w:t>
      </w:r>
      <w:r w:rsidRPr="00BC3327">
        <w:rPr>
          <w:vertAlign w:val="superscript"/>
          <w:lang w:val="fr-CH"/>
        </w:rPr>
        <w:footnoteReference w:id="5"/>
      </w:r>
      <w:r w:rsidR="008A43A0">
        <w:rPr>
          <w:rFonts w:hint="eastAsia"/>
          <w:lang w:val="fr-CH"/>
        </w:rPr>
        <w:t xml:space="preserve"> </w:t>
      </w:r>
      <w:r w:rsidRPr="00BC3327">
        <w:rPr>
          <w:lang w:val="fr-CH"/>
        </w:rPr>
        <w:t>及其结论，</w:t>
      </w:r>
    </w:p>
    <w:p w:rsidR="00BC3327" w:rsidRPr="00BC3327" w:rsidRDefault="00BC3327" w:rsidP="00BC3327">
      <w:pPr>
        <w:pStyle w:val="SingleTxtGC"/>
      </w:pPr>
      <w:r>
        <w:rPr>
          <w:lang w:val="fr-CH"/>
        </w:rPr>
        <w:tab/>
        <w:t>1</w:t>
      </w:r>
      <w:r w:rsidRPr="00BC3327">
        <w:rPr>
          <w:lang w:val="fr-CH"/>
        </w:rPr>
        <w:t>.</w:t>
      </w:r>
      <w:r w:rsidRPr="00BC3327">
        <w:rPr>
          <w:lang w:val="fr-CH"/>
        </w:rPr>
        <w:tab/>
      </w:r>
      <w:r w:rsidRPr="00BC3327">
        <w:rPr>
          <w:rFonts w:ascii="Time New Roman" w:eastAsia="楷体" w:hAnsi="Time New Roman"/>
          <w:lang w:val="fr-CH"/>
        </w:rPr>
        <w:t>请</w:t>
      </w:r>
      <w:r w:rsidRPr="00BC3327">
        <w:rPr>
          <w:lang w:val="fr-CH"/>
        </w:rPr>
        <w:t>联合国人权事务高级专员办事处向人权理事会第四十六届会议口头报告厄立特里亚与高级专员办事处合作的最新进展及其对厄立特里亚人权状况的影响；</w:t>
      </w:r>
    </w:p>
    <w:p w:rsidR="00BC3327" w:rsidRPr="00BC3327" w:rsidRDefault="00BC3327" w:rsidP="00BC3327">
      <w:pPr>
        <w:pStyle w:val="SingleTxtGC"/>
      </w:pPr>
      <w:r>
        <w:rPr>
          <w:lang w:val="fr-CH"/>
        </w:rPr>
        <w:tab/>
        <w:t>2</w:t>
      </w:r>
      <w:r w:rsidRPr="00BC3327">
        <w:rPr>
          <w:lang w:val="fr-CH"/>
        </w:rPr>
        <w:t>.</w:t>
      </w:r>
      <w:r w:rsidRPr="00BC3327">
        <w:rPr>
          <w:lang w:val="fr-CH"/>
        </w:rPr>
        <w:tab/>
      </w:r>
      <w:r w:rsidRPr="00BC3327">
        <w:rPr>
          <w:rFonts w:ascii="Time New Roman" w:eastAsia="楷体" w:hAnsi="Time New Roman"/>
          <w:lang w:val="fr-CH"/>
        </w:rPr>
        <w:t>决定</w:t>
      </w:r>
      <w:r w:rsidRPr="00BC3327">
        <w:rPr>
          <w:lang w:val="fr-CH"/>
        </w:rPr>
        <w:t>将厄立特里亚人权状况特别报告员的任务再延长一年，基于特别</w:t>
      </w:r>
      <w:r w:rsidRPr="00A77162">
        <w:rPr>
          <w:spacing w:val="6"/>
          <w:lang w:val="fr-CH"/>
        </w:rPr>
        <w:t>报告员的报告继续评估和报告该国人权状况，请特别报告员在人权理事会第四十</w:t>
      </w:r>
      <w:r w:rsidRPr="00BC3327">
        <w:rPr>
          <w:lang w:val="fr-CH"/>
        </w:rPr>
        <w:t>六届会议互动对话期间口头介绍最新情况，并在理事会第四十七届会议互动对话期间和大会第七十五届会议期间报告其任务的执行情况；</w:t>
      </w:r>
    </w:p>
    <w:p w:rsidR="00BC3327" w:rsidRPr="00BC3327" w:rsidRDefault="00BC3327" w:rsidP="00BC3327">
      <w:pPr>
        <w:pStyle w:val="SingleTxtGC"/>
      </w:pPr>
      <w:r w:rsidRPr="00A77162">
        <w:rPr>
          <w:spacing w:val="4"/>
          <w:lang w:val="fr-CH"/>
        </w:rPr>
        <w:tab/>
        <w:t>3.</w:t>
      </w:r>
      <w:r w:rsidRPr="00A77162">
        <w:rPr>
          <w:spacing w:val="4"/>
          <w:lang w:val="fr-CH"/>
        </w:rPr>
        <w:tab/>
      </w:r>
      <w:r w:rsidRPr="00A77162">
        <w:rPr>
          <w:rFonts w:ascii="Time New Roman" w:eastAsia="楷体" w:hAnsi="Time New Roman"/>
          <w:spacing w:val="4"/>
          <w:lang w:val="fr-CH"/>
        </w:rPr>
        <w:t>吁请</w:t>
      </w:r>
      <w:r w:rsidRPr="00A77162">
        <w:rPr>
          <w:spacing w:val="4"/>
          <w:lang w:val="fr-CH"/>
        </w:rPr>
        <w:t>厄立特里亚政府与特别报告</w:t>
      </w:r>
      <w:proofErr w:type="gramStart"/>
      <w:r w:rsidRPr="00A77162">
        <w:rPr>
          <w:spacing w:val="4"/>
          <w:lang w:val="fr-CH"/>
        </w:rPr>
        <w:t>员全面</w:t>
      </w:r>
      <w:proofErr w:type="gramEnd"/>
      <w:r w:rsidRPr="00A77162">
        <w:rPr>
          <w:spacing w:val="4"/>
          <w:lang w:val="fr-CH"/>
        </w:rPr>
        <w:t>合作，包括准许特别报告</w:t>
      </w:r>
      <w:proofErr w:type="gramStart"/>
      <w:r w:rsidRPr="00A77162">
        <w:rPr>
          <w:spacing w:val="4"/>
          <w:lang w:val="fr-CH"/>
        </w:rPr>
        <w:t>员</w:t>
      </w:r>
      <w:r w:rsidRPr="00A77162">
        <w:rPr>
          <w:rFonts w:hint="eastAsia"/>
          <w:spacing w:val="4"/>
          <w:lang w:val="fr-CH"/>
        </w:rPr>
        <w:t>访</w:t>
      </w:r>
      <w:r w:rsidRPr="00BC3327">
        <w:rPr>
          <w:rFonts w:hint="eastAsia"/>
          <w:lang w:val="fr-CH"/>
        </w:rPr>
        <w:t>问</w:t>
      </w:r>
      <w:proofErr w:type="gramEnd"/>
      <w:r w:rsidRPr="00BC3327">
        <w:rPr>
          <w:rFonts w:hint="eastAsia"/>
          <w:lang w:val="fr-CH"/>
        </w:rPr>
        <w:t>该国</w:t>
      </w:r>
      <w:r w:rsidRPr="00BC3327">
        <w:rPr>
          <w:lang w:val="fr-CH"/>
        </w:rPr>
        <w:t>，并致力于</w:t>
      </w:r>
      <w:r w:rsidRPr="00BC3327">
        <w:rPr>
          <w:rFonts w:hint="eastAsia"/>
          <w:lang w:val="fr-CH"/>
        </w:rPr>
        <w:t>就建议的</w:t>
      </w:r>
      <w:r w:rsidRPr="00BC3327">
        <w:rPr>
          <w:lang w:val="fr-CH"/>
        </w:rPr>
        <w:t>基准</w:t>
      </w:r>
      <w:r w:rsidRPr="00BC3327">
        <w:rPr>
          <w:rFonts w:hint="eastAsia"/>
          <w:lang w:val="fr-CH"/>
        </w:rPr>
        <w:t>取得进展</w:t>
      </w:r>
      <w:r w:rsidRPr="00BC3327">
        <w:rPr>
          <w:lang w:val="fr-CH"/>
        </w:rPr>
        <w:t>；</w:t>
      </w:r>
      <w:r w:rsidRPr="00BC3327">
        <w:rPr>
          <w:vertAlign w:val="superscript"/>
          <w:lang w:val="fr-CH"/>
        </w:rPr>
        <w:footnoteReference w:id="6"/>
      </w:r>
    </w:p>
    <w:p w:rsidR="00BC3327" w:rsidRPr="00BC3327" w:rsidRDefault="00BC3327" w:rsidP="00BC3327">
      <w:pPr>
        <w:pStyle w:val="SingleTxtGC"/>
      </w:pPr>
      <w:r>
        <w:rPr>
          <w:lang w:val="fr-CH"/>
        </w:rPr>
        <w:tab/>
        <w:t>4</w:t>
      </w:r>
      <w:r w:rsidRPr="00BC3327">
        <w:rPr>
          <w:lang w:val="fr-CH"/>
        </w:rPr>
        <w:t>.</w:t>
      </w:r>
      <w:r w:rsidRPr="00BC3327">
        <w:rPr>
          <w:lang w:val="fr-CH"/>
        </w:rPr>
        <w:tab/>
      </w:r>
      <w:r w:rsidRPr="00BC3327">
        <w:rPr>
          <w:rFonts w:ascii="Time New Roman" w:eastAsia="楷体" w:hAnsi="Time New Roman"/>
          <w:lang w:val="fr-CH"/>
        </w:rPr>
        <w:t>请</w:t>
      </w:r>
      <w:r w:rsidRPr="00BC3327">
        <w:rPr>
          <w:lang w:val="fr-CH"/>
        </w:rPr>
        <w:t>秘书长向特别报告员提供其完成任务所需要的一切信息和资源；</w:t>
      </w:r>
    </w:p>
    <w:p w:rsidR="00BC3327" w:rsidRDefault="00BC3327" w:rsidP="00BC3327">
      <w:pPr>
        <w:pStyle w:val="SingleTxtGC"/>
        <w:rPr>
          <w:lang w:val="fr-CH"/>
        </w:rPr>
      </w:pPr>
      <w:r>
        <w:rPr>
          <w:lang w:val="fr-CH"/>
        </w:rPr>
        <w:tab/>
        <w:t>5</w:t>
      </w:r>
      <w:r w:rsidRPr="00BC3327">
        <w:rPr>
          <w:lang w:val="fr-CH"/>
        </w:rPr>
        <w:t>.</w:t>
      </w:r>
      <w:r w:rsidRPr="00BC3327">
        <w:rPr>
          <w:lang w:val="fr-CH"/>
        </w:rPr>
        <w:tab/>
      </w:r>
      <w:r w:rsidRPr="00BC3327">
        <w:rPr>
          <w:rFonts w:ascii="Time New Roman" w:eastAsia="楷体" w:hAnsi="Time New Roman"/>
          <w:lang w:val="fr-CH"/>
        </w:rPr>
        <w:t>决定</w:t>
      </w:r>
      <w:r w:rsidRPr="00BC3327">
        <w:rPr>
          <w:lang w:val="fr-CH"/>
        </w:rPr>
        <w:t>继续处理此事。</w:t>
      </w:r>
    </w:p>
    <w:p w:rsidR="00BC3327" w:rsidRPr="002D6A9C" w:rsidRDefault="00BC332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C3327" w:rsidRPr="00FD5734" w:rsidRDefault="00BC3327" w:rsidP="00BC3327">
      <w:pPr>
        <w:pStyle w:val="SingleTxtGC"/>
        <w:ind w:left="0"/>
        <w:rPr>
          <w:lang w:val="fr-CH"/>
        </w:rPr>
      </w:pPr>
    </w:p>
    <w:sectPr w:rsidR="00BC3327" w:rsidRPr="00FD573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7D" w:rsidRPr="000D319F" w:rsidRDefault="00E45F7D" w:rsidP="000D319F">
      <w:pPr>
        <w:pStyle w:val="af0"/>
        <w:spacing w:after="240"/>
        <w:ind w:left="907"/>
        <w:rPr>
          <w:rFonts w:asciiTheme="majorBidi" w:eastAsia="宋体" w:hAnsiTheme="majorBidi" w:cstheme="majorBidi"/>
          <w:sz w:val="21"/>
          <w:szCs w:val="21"/>
          <w:lang w:val="en-US"/>
        </w:rPr>
      </w:pPr>
    </w:p>
    <w:p w:rsidR="00E45F7D" w:rsidRPr="000D319F" w:rsidRDefault="00E45F7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45F7D" w:rsidRPr="000D319F" w:rsidRDefault="00E45F7D" w:rsidP="000D319F">
      <w:pPr>
        <w:pStyle w:val="af0"/>
      </w:pPr>
    </w:p>
  </w:endnote>
  <w:endnote w:type="continuationNotice" w:id="1">
    <w:p w:rsidR="00E45F7D" w:rsidRDefault="00E45F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66F" w:rsidRPr="0054266F" w:rsidRDefault="0054266F" w:rsidP="0054266F">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4266F">
      <w:rPr>
        <w:rStyle w:val="af2"/>
        <w:b w:val="0"/>
        <w:snapToGrid w:val="0"/>
        <w:sz w:val="16"/>
      </w:rPr>
      <w:t>GE.20</w:t>
    </w:r>
    <w:proofErr w:type="spellEnd"/>
    <w:r w:rsidRPr="0054266F">
      <w:rPr>
        <w:rStyle w:val="af2"/>
        <w:b w:val="0"/>
        <w:snapToGrid w:val="0"/>
        <w:sz w:val="16"/>
      </w:rPr>
      <w:t>-09192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66F" w:rsidRPr="0054266F" w:rsidRDefault="0054266F" w:rsidP="0054266F">
    <w:pPr>
      <w:pStyle w:val="af0"/>
      <w:tabs>
        <w:tab w:val="right" w:pos="9638"/>
      </w:tabs>
      <w:rPr>
        <w:rStyle w:val="af2"/>
      </w:rPr>
    </w:pPr>
    <w:proofErr w:type="spellStart"/>
    <w:r>
      <w:t>GE.20</w:t>
    </w:r>
    <w:proofErr w:type="spellEnd"/>
    <w:r>
      <w:t>-09192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54266F"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-09192</w:t>
    </w:r>
    <w:r w:rsidR="00731A42" w:rsidRPr="00EE277A">
      <w:rPr>
        <w:sz w:val="20"/>
        <w:lang w:eastAsia="zh-CN"/>
      </w:rPr>
      <w:t xml:space="preserve"> (C)</w:t>
    </w:r>
    <w:r w:rsidR="008B4347">
      <w:rPr>
        <w:sz w:val="20"/>
        <w:lang w:eastAsia="zh-CN"/>
      </w:rPr>
      <w:tab/>
    </w:r>
    <w:r>
      <w:rPr>
        <w:sz w:val="20"/>
        <w:lang w:eastAsia="zh-CN"/>
      </w:rPr>
      <w:t>13</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13</w:t>
    </w:r>
    <w:r w:rsidR="00731A42">
      <w:rPr>
        <w:sz w:val="20"/>
        <w:lang w:eastAsia="zh-CN"/>
      </w:rPr>
      <w:t>0</w:t>
    </w:r>
    <w:r>
      <w:rPr>
        <w:sz w:val="20"/>
        <w:lang w:eastAsia="zh-CN"/>
      </w:rPr>
      <w:t>7</w:t>
    </w:r>
    <w:r w:rsidR="007803C3">
      <w:rPr>
        <w:sz w:val="20"/>
        <w:lang w:eastAsia="zh-CN"/>
      </w:rPr>
      <w:t>20</w:t>
    </w:r>
  </w:p>
  <w:p w:rsidR="00056632" w:rsidRPr="00487939" w:rsidRDefault="0054266F"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7D" w:rsidRPr="000157B1" w:rsidRDefault="00E45F7D"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E45F7D" w:rsidRPr="000157B1" w:rsidRDefault="00E45F7D"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E45F7D" w:rsidRDefault="00E45F7D"/>
  </w:footnote>
  <w:footnote w:id="2">
    <w:p w:rsidR="00BC3327" w:rsidRPr="008D5A90" w:rsidRDefault="00BC3327" w:rsidP="00353CBE">
      <w:pPr>
        <w:pStyle w:val="a6"/>
        <w:spacing w:after="60"/>
        <w:rPr>
          <w:szCs w:val="18"/>
        </w:rPr>
      </w:pPr>
      <w:r>
        <w:rPr>
          <w:lang w:val="zh-CN"/>
        </w:rPr>
        <w:tab/>
        <w:t>*</w:t>
      </w:r>
      <w:r w:rsidR="008A43A0">
        <w:rPr>
          <w:lang w:val="zh-CN"/>
        </w:rPr>
        <w:tab/>
      </w:r>
      <w:r>
        <w:rPr>
          <w:lang w:val="zh-CN"/>
        </w:rPr>
        <w:t>非人权理事会成员国。</w:t>
      </w:r>
    </w:p>
  </w:footnote>
  <w:footnote w:id="3">
    <w:p w:rsidR="00BC3327" w:rsidRPr="006E5821" w:rsidRDefault="00BC3327" w:rsidP="00353CBE">
      <w:pPr>
        <w:pStyle w:val="a6"/>
        <w:spacing w:after="60"/>
      </w:pPr>
      <w:r>
        <w:rPr>
          <w:lang w:val="zh-CN"/>
        </w:rPr>
        <w:tab/>
      </w:r>
      <w:r>
        <w:rPr>
          <w:rStyle w:val="a8"/>
          <w:lang w:val="zh-CN"/>
        </w:rPr>
        <w:footnoteRef/>
      </w:r>
      <w:r>
        <w:rPr>
          <w:lang w:val="zh-CN"/>
        </w:rPr>
        <w:tab/>
        <w:t>A/HRC/41/14.</w:t>
      </w:r>
    </w:p>
  </w:footnote>
  <w:footnote w:id="4">
    <w:p w:rsidR="00BC3327" w:rsidRPr="006E5821" w:rsidRDefault="00BC3327" w:rsidP="00BC3327">
      <w:pPr>
        <w:pStyle w:val="a6"/>
      </w:pPr>
      <w:r>
        <w:rPr>
          <w:lang w:val="zh-CN"/>
        </w:rPr>
        <w:tab/>
      </w:r>
      <w:r>
        <w:rPr>
          <w:rStyle w:val="a8"/>
          <w:lang w:val="zh-CN"/>
        </w:rPr>
        <w:footnoteRef/>
      </w:r>
      <w:r>
        <w:rPr>
          <w:lang w:val="zh-CN"/>
        </w:rPr>
        <w:tab/>
      </w:r>
      <w:r>
        <w:rPr>
          <w:lang w:val="zh-CN"/>
        </w:rPr>
        <w:t>见</w:t>
      </w:r>
      <w:r>
        <w:rPr>
          <w:lang w:val="zh-CN"/>
        </w:rPr>
        <w:t>CEDAW/C/ERI/CO/6</w:t>
      </w:r>
      <w:r>
        <w:rPr>
          <w:lang w:val="zh-CN"/>
        </w:rPr>
        <w:t>。</w:t>
      </w:r>
    </w:p>
  </w:footnote>
  <w:footnote w:id="5">
    <w:p w:rsidR="00BC3327" w:rsidRPr="00640C22" w:rsidRDefault="00BC3327" w:rsidP="00BC3327">
      <w:pPr>
        <w:pStyle w:val="a6"/>
      </w:pPr>
      <w:r>
        <w:rPr>
          <w:lang w:val="zh-CN"/>
        </w:rPr>
        <w:tab/>
      </w:r>
      <w:r>
        <w:rPr>
          <w:rStyle w:val="a8"/>
          <w:lang w:val="zh-CN"/>
        </w:rPr>
        <w:footnoteRef/>
      </w:r>
      <w:r>
        <w:rPr>
          <w:lang w:val="zh-CN"/>
        </w:rPr>
        <w:tab/>
        <w:t>A/HRC/44/23.</w:t>
      </w:r>
    </w:p>
  </w:footnote>
  <w:footnote w:id="6">
    <w:p w:rsidR="00BC3327" w:rsidRPr="00705160" w:rsidRDefault="00BC3327" w:rsidP="00BC3327">
      <w:pPr>
        <w:pStyle w:val="a6"/>
      </w:pPr>
      <w:r>
        <w:rPr>
          <w:lang w:val="zh-CN"/>
        </w:rPr>
        <w:tab/>
      </w:r>
      <w:r>
        <w:rPr>
          <w:rStyle w:val="a8"/>
          <w:lang w:val="zh-CN"/>
        </w:rPr>
        <w:footnoteRef/>
      </w:r>
      <w:r>
        <w:rPr>
          <w:lang w:val="zh-CN"/>
        </w:rPr>
        <w:tab/>
      </w:r>
      <w:r>
        <w:rPr>
          <w:lang w:val="zh-CN"/>
        </w:rPr>
        <w:t>A/HRC/41/53</w:t>
      </w:r>
      <w:r>
        <w:rPr>
          <w:lang w:val="zh-CN"/>
        </w:rPr>
        <w:t>，第</w:t>
      </w:r>
      <w:r>
        <w:rPr>
          <w:lang w:val="zh-CN"/>
        </w:rPr>
        <w:t>75</w:t>
      </w:r>
      <w:r w:rsidR="00A01180">
        <w:rPr>
          <w:rFonts w:hint="eastAsia"/>
          <w:lang w:val="zh-CN"/>
        </w:rPr>
        <w:t>-</w:t>
      </w:r>
      <w:bookmarkStart w:id="0" w:name="_GoBack"/>
      <w:bookmarkEnd w:id="0"/>
      <w:r>
        <w:rPr>
          <w:lang w:val="zh-CN"/>
        </w:rPr>
        <w:t>81</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4266F" w:rsidP="0054266F">
    <w:pPr>
      <w:pStyle w:val="af3"/>
    </w:pPr>
    <w:r>
      <w:t>A/</w:t>
    </w:r>
    <w:proofErr w:type="spellStart"/>
    <w:r>
      <w:t>HRC</w:t>
    </w:r>
    <w:proofErr w:type="spellEnd"/>
    <w:r>
      <w:t>/44/</w:t>
    </w:r>
    <w:proofErr w:type="spellStart"/>
    <w:r>
      <w:t>L.8</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4266F" w:rsidP="0054266F">
    <w:pPr>
      <w:pStyle w:val="af3"/>
      <w:jc w:val="right"/>
    </w:pPr>
    <w:r>
      <w:t>A/</w:t>
    </w:r>
    <w:proofErr w:type="spellStart"/>
    <w:r>
      <w:t>HRC</w:t>
    </w:r>
    <w:proofErr w:type="spellEnd"/>
    <w:r>
      <w:t>/44/</w:t>
    </w:r>
    <w:proofErr w:type="spellStart"/>
    <w:r>
      <w:t>L.8</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5F7D"/>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31CE0"/>
    <w:rsid w:val="0024417F"/>
    <w:rsid w:val="00250F8D"/>
    <w:rsid w:val="00256232"/>
    <w:rsid w:val="002939D6"/>
    <w:rsid w:val="002B3AC7"/>
    <w:rsid w:val="002E1C97"/>
    <w:rsid w:val="002F5834"/>
    <w:rsid w:val="00326EBF"/>
    <w:rsid w:val="00327FE4"/>
    <w:rsid w:val="00346D15"/>
    <w:rsid w:val="00353CBE"/>
    <w:rsid w:val="0037569F"/>
    <w:rsid w:val="003C0C9C"/>
    <w:rsid w:val="00427F63"/>
    <w:rsid w:val="00435767"/>
    <w:rsid w:val="00470C93"/>
    <w:rsid w:val="00474C6B"/>
    <w:rsid w:val="004972E2"/>
    <w:rsid w:val="004C4A0A"/>
    <w:rsid w:val="0054266F"/>
    <w:rsid w:val="00557D9A"/>
    <w:rsid w:val="005C00B0"/>
    <w:rsid w:val="005E01D9"/>
    <w:rsid w:val="005E3084"/>
    <w:rsid w:val="005E3A08"/>
    <w:rsid w:val="005E403A"/>
    <w:rsid w:val="005F6A65"/>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B3198"/>
    <w:rsid w:val="007C0CAE"/>
    <w:rsid w:val="007E5DAD"/>
    <w:rsid w:val="00804E6E"/>
    <w:rsid w:val="00811540"/>
    <w:rsid w:val="00856233"/>
    <w:rsid w:val="00860F27"/>
    <w:rsid w:val="008A43A0"/>
    <w:rsid w:val="008B0560"/>
    <w:rsid w:val="008B2BFA"/>
    <w:rsid w:val="008B4347"/>
    <w:rsid w:val="008D32CC"/>
    <w:rsid w:val="00923C5A"/>
    <w:rsid w:val="0093206A"/>
    <w:rsid w:val="00936F03"/>
    <w:rsid w:val="00943B69"/>
    <w:rsid w:val="00944CB3"/>
    <w:rsid w:val="00952103"/>
    <w:rsid w:val="009B09D7"/>
    <w:rsid w:val="009D35ED"/>
    <w:rsid w:val="00A01180"/>
    <w:rsid w:val="00A03CB6"/>
    <w:rsid w:val="00A077D0"/>
    <w:rsid w:val="00A1364C"/>
    <w:rsid w:val="00A21076"/>
    <w:rsid w:val="00A3739A"/>
    <w:rsid w:val="00A52DAF"/>
    <w:rsid w:val="00A77162"/>
    <w:rsid w:val="00A84072"/>
    <w:rsid w:val="00A84DF2"/>
    <w:rsid w:val="00A87B40"/>
    <w:rsid w:val="00B16570"/>
    <w:rsid w:val="00B423E7"/>
    <w:rsid w:val="00B53320"/>
    <w:rsid w:val="00BC3327"/>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5F7D"/>
    <w:rsid w:val="00E47FE5"/>
    <w:rsid w:val="00E574AF"/>
    <w:rsid w:val="00E71878"/>
    <w:rsid w:val="00E845B2"/>
    <w:rsid w:val="00F00D09"/>
    <w:rsid w:val="00F664DD"/>
    <w:rsid w:val="00F714DA"/>
    <w:rsid w:val="00F75B02"/>
    <w:rsid w:val="00FA3F07"/>
    <w:rsid w:val="00FB24E5"/>
    <w:rsid w:val="00FB456B"/>
    <w:rsid w:val="00FD5734"/>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A02D8"/>
  <w15:docId w15:val="{11D971E8-DF25-49DA-9CB0-36AA81C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4A99-2BAB-4CBD-9A07-F87205EA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800</Words>
  <Characters>912</Characters>
  <Application>Microsoft Office Word</Application>
  <DocSecurity>0</DocSecurity>
  <Lines>48</Lines>
  <Paragraphs>25</Paragraphs>
  <ScaleCrop>false</ScaleCrop>
  <Company>DCM</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A/HRC/44/L.8</dc:title>
  <dc:subject>2009192</dc:subject>
  <dc:creator>tian</dc:creator>
  <cp:keywords/>
  <dc:description/>
  <cp:lastModifiedBy>Hui Tian</cp:lastModifiedBy>
  <cp:revision>2</cp:revision>
  <cp:lastPrinted>2014-05-09T11:28:00Z</cp:lastPrinted>
  <dcterms:created xsi:type="dcterms:W3CDTF">2020-07-13T11:05:00Z</dcterms:created>
  <dcterms:modified xsi:type="dcterms:W3CDTF">2020-07-13T11:05:00Z</dcterms:modified>
</cp:coreProperties>
</file>