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FC102B" w:rsidRDefault="00FC102B" w:rsidP="000E62AA">
            <w:pPr>
              <w:spacing w:line="240" w:lineRule="atLeast"/>
              <w:jc w:val="right"/>
              <w:rPr>
                <w:sz w:val="20"/>
                <w:szCs w:val="21"/>
              </w:rPr>
            </w:pPr>
            <w:r w:rsidRPr="00FC102B">
              <w:rPr>
                <w:sz w:val="40"/>
                <w:szCs w:val="21"/>
              </w:rPr>
              <w:t>A</w:t>
            </w:r>
            <w:r>
              <w:rPr>
                <w:sz w:val="20"/>
                <w:szCs w:val="21"/>
              </w:rPr>
              <w:t>/</w:t>
            </w:r>
            <w:proofErr w:type="spellStart"/>
            <w:r>
              <w:rPr>
                <w:sz w:val="20"/>
                <w:szCs w:val="21"/>
              </w:rPr>
              <w:t>HRC</w:t>
            </w:r>
            <w:proofErr w:type="spellEnd"/>
            <w:r>
              <w:rPr>
                <w:sz w:val="20"/>
                <w:szCs w:val="21"/>
              </w:rPr>
              <w:t>/44/</w:t>
            </w:r>
            <w:proofErr w:type="spellStart"/>
            <w:r>
              <w:rPr>
                <w:sz w:val="20"/>
                <w:szCs w:val="21"/>
              </w:rPr>
              <w:t>L.11</w:t>
            </w:r>
            <w:proofErr w:type="spellEnd"/>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1364C" w:rsidP="000E62AA">
            <w:pPr>
              <w:spacing w:before="240" w:line="240" w:lineRule="atLeast"/>
              <w:rPr>
                <w:sz w:val="20"/>
              </w:rPr>
            </w:pPr>
            <w:r w:rsidRPr="00F124C6">
              <w:rPr>
                <w:sz w:val="20"/>
              </w:rPr>
              <w:t xml:space="preserve">Distr.: </w:t>
            </w:r>
            <w:r w:rsidR="00FC102B" w:rsidRPr="00FC102B">
              <w:rPr>
                <w:sz w:val="20"/>
              </w:rPr>
              <w:t>Limited</w:t>
            </w:r>
          </w:p>
          <w:p w:rsidR="00A1364C" w:rsidRPr="00F124C6" w:rsidRDefault="00FC102B" w:rsidP="000E62AA">
            <w:pPr>
              <w:spacing w:line="240" w:lineRule="atLeast"/>
              <w:rPr>
                <w:sz w:val="20"/>
              </w:rPr>
            </w:pPr>
            <w:r>
              <w:rPr>
                <w:sz w:val="20"/>
              </w:rPr>
              <w:t xml:space="preserve">13 </w:t>
            </w:r>
            <w:r w:rsidRPr="00FC102B">
              <w:rPr>
                <w:sz w:val="20"/>
              </w:rPr>
              <w:t>July</w:t>
            </w:r>
            <w:r w:rsidR="008B4347">
              <w:rPr>
                <w:sz w:val="20"/>
              </w:rPr>
              <w:t xml:space="preserve"> 20</w:t>
            </w:r>
            <w:r w:rsidR="007803C3">
              <w:rPr>
                <w:sz w:val="20"/>
              </w:rPr>
              <w:t>20</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Original: English</w:t>
            </w:r>
          </w:p>
        </w:tc>
      </w:tr>
    </w:tbl>
    <w:p w:rsidR="00FC102B" w:rsidRDefault="00FC102B" w:rsidP="00C7253F">
      <w:pPr>
        <w:spacing w:before="120"/>
        <w:rPr>
          <w:rFonts w:eastAsia="黑体"/>
          <w:sz w:val="24"/>
          <w:szCs w:val="24"/>
          <w:lang w:val="fr-CH"/>
        </w:rPr>
      </w:pPr>
      <w:r>
        <w:rPr>
          <w:rFonts w:eastAsia="黑体" w:hint="eastAsia"/>
          <w:sz w:val="24"/>
          <w:szCs w:val="24"/>
          <w:lang w:val="fr-CH"/>
        </w:rPr>
        <w:t>人权理事会</w:t>
      </w:r>
    </w:p>
    <w:p w:rsidR="00FC102B" w:rsidRPr="00FC102B" w:rsidRDefault="00FC102B" w:rsidP="00FC102B">
      <w:pPr>
        <w:rPr>
          <w:rFonts w:eastAsia="黑体" w:hint="eastAsia"/>
          <w:szCs w:val="21"/>
          <w:lang w:val="fr-CH"/>
        </w:rPr>
      </w:pPr>
      <w:r w:rsidRPr="00FC102B">
        <w:rPr>
          <w:rFonts w:eastAsia="黑体" w:hint="eastAsia"/>
          <w:szCs w:val="21"/>
          <w:lang w:val="fr-CH"/>
        </w:rPr>
        <w:t>第四十四届会议</w:t>
      </w:r>
    </w:p>
    <w:p w:rsidR="00FC102B" w:rsidRPr="00FC102B" w:rsidRDefault="00FC102B" w:rsidP="00FC102B">
      <w:pPr>
        <w:rPr>
          <w:rFonts w:ascii="Time New Roman" w:hAnsi="Time New Roman" w:hint="eastAsia"/>
          <w:szCs w:val="21"/>
          <w:lang w:val="fr-CH"/>
        </w:rPr>
      </w:pPr>
      <w:r w:rsidRPr="00FC102B">
        <w:rPr>
          <w:rFonts w:ascii="Time New Roman" w:hAnsi="Time New Roman" w:hint="eastAsia"/>
          <w:szCs w:val="21"/>
          <w:lang w:val="fr-CH"/>
        </w:rPr>
        <w:t>2020</w:t>
      </w:r>
      <w:r w:rsidRPr="00FC102B">
        <w:rPr>
          <w:rFonts w:ascii="Time New Roman" w:hAnsi="Time New Roman" w:hint="eastAsia"/>
          <w:szCs w:val="21"/>
          <w:lang w:val="fr-CH"/>
        </w:rPr>
        <w:t>年</w:t>
      </w:r>
      <w:r w:rsidRPr="00FC102B">
        <w:rPr>
          <w:rFonts w:ascii="Time New Roman" w:hAnsi="Time New Roman" w:hint="eastAsia"/>
          <w:szCs w:val="21"/>
          <w:lang w:val="fr-CH"/>
        </w:rPr>
        <w:t>6</w:t>
      </w:r>
      <w:r w:rsidRPr="00FC102B">
        <w:rPr>
          <w:rFonts w:ascii="Time New Roman" w:hAnsi="Time New Roman" w:hint="eastAsia"/>
          <w:szCs w:val="21"/>
          <w:lang w:val="fr-CH"/>
        </w:rPr>
        <w:t>月</w:t>
      </w:r>
      <w:r w:rsidRPr="00FC102B">
        <w:rPr>
          <w:rFonts w:ascii="Time New Roman" w:hAnsi="Time New Roman" w:hint="eastAsia"/>
          <w:szCs w:val="21"/>
          <w:lang w:val="fr-CH"/>
        </w:rPr>
        <w:t>30</w:t>
      </w:r>
      <w:r w:rsidRPr="00FC102B">
        <w:rPr>
          <w:rFonts w:ascii="Time New Roman" w:hAnsi="Time New Roman" w:hint="eastAsia"/>
          <w:szCs w:val="21"/>
          <w:lang w:val="fr-CH"/>
        </w:rPr>
        <w:t>日至</w:t>
      </w:r>
      <w:r w:rsidRPr="00FC102B">
        <w:rPr>
          <w:rFonts w:ascii="Time New Roman" w:hAnsi="Time New Roman" w:hint="eastAsia"/>
          <w:szCs w:val="21"/>
          <w:lang w:val="fr-CH"/>
        </w:rPr>
        <w:t>7</w:t>
      </w:r>
      <w:r w:rsidRPr="00FC102B">
        <w:rPr>
          <w:rFonts w:ascii="Time New Roman" w:hAnsi="Time New Roman" w:hint="eastAsia"/>
          <w:szCs w:val="21"/>
          <w:lang w:val="fr-CH"/>
        </w:rPr>
        <w:t>月</w:t>
      </w:r>
      <w:r w:rsidRPr="00FC102B">
        <w:rPr>
          <w:rFonts w:ascii="Time New Roman" w:hAnsi="Time New Roman" w:hint="eastAsia"/>
          <w:szCs w:val="21"/>
          <w:lang w:val="fr-CH"/>
        </w:rPr>
        <w:t>17</w:t>
      </w:r>
      <w:r w:rsidRPr="00FC102B">
        <w:rPr>
          <w:rFonts w:ascii="Time New Roman" w:hAnsi="Time New Roman" w:hint="eastAsia"/>
          <w:szCs w:val="21"/>
          <w:lang w:val="fr-CH"/>
        </w:rPr>
        <w:t>日</w:t>
      </w:r>
    </w:p>
    <w:p w:rsidR="00FC102B" w:rsidRPr="00FC102B" w:rsidRDefault="00FC102B" w:rsidP="00FC102B">
      <w:pPr>
        <w:rPr>
          <w:rFonts w:ascii="Time New Roman" w:hAnsi="Time New Roman" w:hint="eastAsia"/>
          <w:szCs w:val="21"/>
          <w:lang w:val="fr-CH"/>
        </w:rPr>
      </w:pPr>
      <w:r w:rsidRPr="00FC102B">
        <w:rPr>
          <w:rFonts w:ascii="Time New Roman" w:hAnsi="Time New Roman" w:hint="eastAsia"/>
          <w:szCs w:val="21"/>
          <w:lang w:val="fr-CH"/>
        </w:rPr>
        <w:t>议程项目</w:t>
      </w:r>
      <w:r w:rsidRPr="00FC102B">
        <w:rPr>
          <w:rFonts w:ascii="Time New Roman" w:hAnsi="Time New Roman" w:hint="eastAsia"/>
          <w:szCs w:val="21"/>
          <w:lang w:val="fr-CH"/>
        </w:rPr>
        <w:t>3</w:t>
      </w:r>
    </w:p>
    <w:p w:rsidR="00FC102B" w:rsidRPr="00FC102B" w:rsidRDefault="00FC102B" w:rsidP="00FC102B">
      <w:pPr>
        <w:rPr>
          <w:rFonts w:eastAsia="黑体" w:hint="eastAsia"/>
          <w:szCs w:val="21"/>
          <w:lang w:val="fr-CH"/>
        </w:rPr>
      </w:pPr>
      <w:r w:rsidRPr="00FC102B">
        <w:rPr>
          <w:rFonts w:eastAsia="黑体" w:hint="eastAsia"/>
          <w:szCs w:val="21"/>
          <w:lang w:val="fr-CH"/>
        </w:rPr>
        <w:t>促进和保护所有人权</w:t>
      </w:r>
      <w:r w:rsidRPr="00FC102B">
        <w:rPr>
          <w:rFonts w:eastAsia="黑体" w:hint="eastAsia"/>
          <w:spacing w:val="-50"/>
          <w:szCs w:val="21"/>
          <w:lang w:val="fr-CH"/>
        </w:rPr>
        <w:t>―</w:t>
      </w:r>
      <w:r w:rsidRPr="00FC102B">
        <w:rPr>
          <w:rFonts w:eastAsia="黑体" w:hint="eastAsia"/>
          <w:szCs w:val="21"/>
          <w:lang w:val="fr-CH"/>
        </w:rPr>
        <w:t>―</w:t>
      </w:r>
      <w:r w:rsidRPr="00FC102B">
        <w:rPr>
          <w:rFonts w:eastAsia="黑体" w:hint="eastAsia"/>
          <w:szCs w:val="21"/>
          <w:lang w:val="fr-CH"/>
        </w:rPr>
        <w:t>公民权利、政治权利、</w:t>
      </w:r>
    </w:p>
    <w:p w:rsidR="00FC102B" w:rsidRDefault="00FC102B" w:rsidP="00FC102B">
      <w:pPr>
        <w:rPr>
          <w:rFonts w:eastAsia="黑体"/>
          <w:szCs w:val="21"/>
          <w:lang w:val="fr-CH"/>
        </w:rPr>
      </w:pPr>
      <w:r w:rsidRPr="00FC102B">
        <w:rPr>
          <w:rFonts w:eastAsia="黑体" w:hint="eastAsia"/>
          <w:szCs w:val="21"/>
          <w:lang w:val="fr-CH"/>
        </w:rPr>
        <w:t>经济、社会及文化权利，包括发展权</w:t>
      </w:r>
    </w:p>
    <w:p w:rsidR="00363D96" w:rsidRDefault="00363D96" w:rsidP="00363D96">
      <w:pPr>
        <w:pStyle w:val="H23GC"/>
        <w:rPr>
          <w:rFonts w:hint="eastAsia"/>
        </w:rPr>
      </w:pPr>
      <w:r>
        <w:rPr>
          <w:rFonts w:hint="eastAsia"/>
        </w:rPr>
        <w:tab/>
      </w:r>
      <w:r>
        <w:rPr>
          <w:rFonts w:hint="eastAsia"/>
        </w:rPr>
        <w:tab/>
      </w:r>
      <w:r>
        <w:rPr>
          <w:rFonts w:hint="eastAsia"/>
        </w:rPr>
        <w:t>阿尔巴尼亚</w:t>
      </w:r>
      <w:r w:rsidRPr="00FE35AF">
        <w:rPr>
          <w:rStyle w:val="a8"/>
          <w:sz w:val="22"/>
          <w:szCs w:val="24"/>
          <w:vertAlign w:val="baseline"/>
        </w:rPr>
        <w:footnoteReference w:customMarkFollows="1" w:id="2"/>
        <w:t>*</w:t>
      </w:r>
      <w:r>
        <w:rPr>
          <w:rFonts w:hint="eastAsia"/>
        </w:rPr>
        <w:t>、奥地利、比利时</w:t>
      </w:r>
      <w:r>
        <w:rPr>
          <w:rFonts w:hint="eastAsia"/>
        </w:rPr>
        <w:t>*</w:t>
      </w:r>
      <w:r>
        <w:rPr>
          <w:rFonts w:hint="eastAsia"/>
        </w:rPr>
        <w:t>、保加利亚、哥斯达黎加</w:t>
      </w:r>
      <w:r>
        <w:rPr>
          <w:rFonts w:hint="eastAsia"/>
        </w:rPr>
        <w:t>*</w:t>
      </w:r>
      <w:r>
        <w:rPr>
          <w:rFonts w:hint="eastAsia"/>
        </w:rPr>
        <w:t>、克罗地亚</w:t>
      </w:r>
      <w:r>
        <w:rPr>
          <w:rFonts w:hint="eastAsia"/>
        </w:rPr>
        <w:t>*</w:t>
      </w:r>
      <w:r>
        <w:rPr>
          <w:rFonts w:hint="eastAsia"/>
        </w:rPr>
        <w:t>、捷克、丹麦、爱沙尼亚</w:t>
      </w:r>
      <w:r>
        <w:rPr>
          <w:rFonts w:hint="eastAsia"/>
        </w:rPr>
        <w:t>*</w:t>
      </w:r>
      <w:r>
        <w:rPr>
          <w:rFonts w:hint="eastAsia"/>
        </w:rPr>
        <w:t>、芬兰</w:t>
      </w:r>
      <w:r>
        <w:rPr>
          <w:rFonts w:hint="eastAsia"/>
        </w:rPr>
        <w:t>*</w:t>
      </w:r>
      <w:r>
        <w:rPr>
          <w:rFonts w:hint="eastAsia"/>
        </w:rPr>
        <w:t>、法国</w:t>
      </w:r>
      <w:r>
        <w:rPr>
          <w:rFonts w:hint="eastAsia"/>
        </w:rPr>
        <w:t>*</w:t>
      </w:r>
      <w:r>
        <w:rPr>
          <w:rFonts w:hint="eastAsia"/>
        </w:rPr>
        <w:t>、冰岛</w:t>
      </w:r>
      <w:r>
        <w:rPr>
          <w:rFonts w:hint="eastAsia"/>
        </w:rPr>
        <w:t>*</w:t>
      </w:r>
      <w:r>
        <w:rPr>
          <w:rFonts w:hint="eastAsia"/>
        </w:rPr>
        <w:t>、拉脱维亚</w:t>
      </w:r>
      <w:r>
        <w:rPr>
          <w:rFonts w:hint="eastAsia"/>
        </w:rPr>
        <w:t>*</w:t>
      </w:r>
      <w:r>
        <w:rPr>
          <w:rFonts w:hint="eastAsia"/>
        </w:rPr>
        <w:t>、列支敦士登</w:t>
      </w:r>
      <w:r>
        <w:rPr>
          <w:rFonts w:hint="eastAsia"/>
        </w:rPr>
        <w:t>*</w:t>
      </w:r>
      <w:r>
        <w:rPr>
          <w:rFonts w:hint="eastAsia"/>
        </w:rPr>
        <w:t>、立陶宛</w:t>
      </w:r>
      <w:r>
        <w:rPr>
          <w:rFonts w:hint="eastAsia"/>
        </w:rPr>
        <w:t>*</w:t>
      </w:r>
      <w:r>
        <w:rPr>
          <w:rFonts w:hint="eastAsia"/>
        </w:rPr>
        <w:t>、卢森堡</w:t>
      </w:r>
      <w:r>
        <w:rPr>
          <w:rFonts w:hint="eastAsia"/>
        </w:rPr>
        <w:t>*</w:t>
      </w:r>
      <w:r>
        <w:rPr>
          <w:rFonts w:hint="eastAsia"/>
        </w:rPr>
        <w:t>、马耳他</w:t>
      </w:r>
      <w:r>
        <w:rPr>
          <w:rFonts w:hint="eastAsia"/>
        </w:rPr>
        <w:t>*</w:t>
      </w:r>
      <w:r>
        <w:rPr>
          <w:rFonts w:hint="eastAsia"/>
        </w:rPr>
        <w:t>、黑山</w:t>
      </w:r>
      <w:r>
        <w:rPr>
          <w:rFonts w:hint="eastAsia"/>
        </w:rPr>
        <w:t>*</w:t>
      </w:r>
      <w:r>
        <w:rPr>
          <w:rFonts w:hint="eastAsia"/>
        </w:rPr>
        <w:t>、荷兰、北马其顿</w:t>
      </w:r>
      <w:r>
        <w:rPr>
          <w:rFonts w:hint="eastAsia"/>
        </w:rPr>
        <w:t>*</w:t>
      </w:r>
      <w:r>
        <w:rPr>
          <w:rFonts w:hint="eastAsia"/>
        </w:rPr>
        <w:t>、挪威</w:t>
      </w:r>
      <w:r>
        <w:rPr>
          <w:rFonts w:hint="eastAsia"/>
        </w:rPr>
        <w:t>*</w:t>
      </w:r>
      <w:r>
        <w:rPr>
          <w:rFonts w:hint="eastAsia"/>
        </w:rPr>
        <w:t>、秘鲁、葡萄牙</w:t>
      </w:r>
      <w:r>
        <w:rPr>
          <w:rFonts w:hint="eastAsia"/>
        </w:rPr>
        <w:t>*</w:t>
      </w:r>
      <w:r>
        <w:rPr>
          <w:rFonts w:hint="eastAsia"/>
        </w:rPr>
        <w:t>、罗马尼亚</w:t>
      </w:r>
      <w:r>
        <w:rPr>
          <w:rFonts w:hint="eastAsia"/>
        </w:rPr>
        <w:t>*</w:t>
      </w:r>
      <w:r>
        <w:rPr>
          <w:rFonts w:hint="eastAsia"/>
        </w:rPr>
        <w:t>、斯洛文尼亚</w:t>
      </w:r>
      <w:r>
        <w:rPr>
          <w:rFonts w:hint="eastAsia"/>
        </w:rPr>
        <w:t>*</w:t>
      </w:r>
      <w:r>
        <w:rPr>
          <w:rFonts w:hint="eastAsia"/>
        </w:rPr>
        <w:t>、西班牙、瑞典</w:t>
      </w:r>
      <w:r>
        <w:rPr>
          <w:rFonts w:hint="eastAsia"/>
        </w:rPr>
        <w:t>*</w:t>
      </w:r>
      <w:r>
        <w:rPr>
          <w:rFonts w:hint="eastAsia"/>
        </w:rPr>
        <w:t>、瑞士</w:t>
      </w:r>
      <w:r>
        <w:rPr>
          <w:rFonts w:hint="eastAsia"/>
        </w:rPr>
        <w:t>*</w:t>
      </w:r>
      <w:r>
        <w:rPr>
          <w:rFonts w:hint="eastAsia"/>
        </w:rPr>
        <w:t>、突尼斯</w:t>
      </w:r>
      <w:r>
        <w:rPr>
          <w:rFonts w:hint="eastAsia"/>
        </w:rPr>
        <w:t>*</w:t>
      </w:r>
      <w:r>
        <w:rPr>
          <w:rFonts w:hint="eastAsia"/>
        </w:rPr>
        <w:t>、大不列颠及北爱尔兰联合王国</w:t>
      </w:r>
      <w:r>
        <w:rPr>
          <w:rFonts w:hint="eastAsia"/>
        </w:rPr>
        <w:t>*</w:t>
      </w:r>
      <w:r>
        <w:rPr>
          <w:rFonts w:hint="eastAsia"/>
        </w:rPr>
        <w:t>和乌拉圭：决议草案</w:t>
      </w:r>
    </w:p>
    <w:p w:rsidR="00363D96" w:rsidRDefault="00363D96" w:rsidP="00B020B7">
      <w:pPr>
        <w:pStyle w:val="H1GC"/>
        <w:tabs>
          <w:tab w:val="clear" w:pos="851"/>
          <w:tab w:val="left" w:pos="1985"/>
        </w:tabs>
        <w:ind w:firstLine="0"/>
        <w:rPr>
          <w:rFonts w:hint="eastAsia"/>
        </w:rPr>
      </w:pPr>
      <w:r>
        <w:rPr>
          <w:rFonts w:hint="eastAsia"/>
        </w:rPr>
        <w:t>44/</w:t>
      </w:r>
      <w:r w:rsidR="00B020B7">
        <w:t>…</w:t>
      </w:r>
      <w:r w:rsidR="00B020B7">
        <w:tab/>
      </w:r>
      <w:r>
        <w:rPr>
          <w:rFonts w:hint="eastAsia"/>
        </w:rPr>
        <w:t>在和平抗议的背景下促进和保护人权</w:t>
      </w:r>
    </w:p>
    <w:p w:rsidR="00363D96" w:rsidRPr="00694478" w:rsidRDefault="00363D96" w:rsidP="00694478">
      <w:pPr>
        <w:pStyle w:val="SingleTxtGC"/>
        <w:ind w:firstLine="431"/>
        <w:rPr>
          <w:rFonts w:ascii="Time New Roman" w:eastAsia="楷体" w:hAnsi="Time New Roman" w:hint="eastAsia"/>
        </w:rPr>
      </w:pPr>
      <w:r w:rsidRPr="00694478">
        <w:rPr>
          <w:rFonts w:ascii="Time New Roman" w:eastAsia="楷体" w:hAnsi="Time New Roman" w:hint="eastAsia"/>
        </w:rPr>
        <w:t>人权理事会，</w:t>
      </w:r>
    </w:p>
    <w:p w:rsidR="00363D96" w:rsidRDefault="00363D96" w:rsidP="00694478">
      <w:pPr>
        <w:pStyle w:val="SingleTxtGC"/>
        <w:ind w:firstLine="431"/>
        <w:rPr>
          <w:rFonts w:hint="eastAsia"/>
        </w:rPr>
      </w:pPr>
      <w:r w:rsidRPr="00694478">
        <w:rPr>
          <w:rFonts w:ascii="Time New Roman" w:eastAsia="楷体" w:hAnsi="Time New Roman" w:hint="eastAsia"/>
        </w:rPr>
        <w:t>重申</w:t>
      </w:r>
      <w:r>
        <w:rPr>
          <w:rFonts w:hint="eastAsia"/>
        </w:rPr>
        <w:t>《联合国宪章》的宗旨和原则，</w:t>
      </w:r>
    </w:p>
    <w:p w:rsidR="00363D96" w:rsidRDefault="00363D96" w:rsidP="00694478">
      <w:pPr>
        <w:pStyle w:val="SingleTxtGC"/>
        <w:ind w:firstLine="431"/>
        <w:rPr>
          <w:rFonts w:hint="eastAsia"/>
        </w:rPr>
      </w:pPr>
      <w:r w:rsidRPr="00694478">
        <w:rPr>
          <w:rFonts w:ascii="Time New Roman" w:eastAsia="楷体" w:hAnsi="Time New Roman" w:hint="eastAsia"/>
        </w:rPr>
        <w:t>又重申</w:t>
      </w:r>
      <w:r>
        <w:rPr>
          <w:rFonts w:hint="eastAsia"/>
        </w:rPr>
        <w:t>《世界人权宣言》和《维也纳宣言和行动纲领》，回顾有关国际人权条约，包括《公民及政治权利国际公约》和《经济社会文化权利国际公约》，</w:t>
      </w:r>
    </w:p>
    <w:p w:rsidR="00363D96" w:rsidRDefault="00363D96" w:rsidP="00694478">
      <w:pPr>
        <w:pStyle w:val="SingleTxtGC"/>
        <w:ind w:firstLine="431"/>
        <w:rPr>
          <w:rFonts w:hint="eastAsia"/>
        </w:rPr>
      </w:pPr>
      <w:r w:rsidRPr="00CF2FE8">
        <w:rPr>
          <w:rFonts w:ascii="Time New Roman" w:eastAsia="楷体" w:hAnsi="Time New Roman" w:hint="eastAsia"/>
        </w:rPr>
        <w:t>回顾</w:t>
      </w:r>
      <w:r>
        <w:rPr>
          <w:rFonts w:hint="eastAsia"/>
        </w:rPr>
        <w:t>《个人、群体和社会机构在促进和保护普遍公认的人权和基本自由方面的权利和义务宣言》，</w:t>
      </w:r>
    </w:p>
    <w:p w:rsidR="00363D96" w:rsidRDefault="00363D96" w:rsidP="00694478">
      <w:pPr>
        <w:pStyle w:val="SingleTxtGC"/>
        <w:ind w:firstLine="431"/>
        <w:rPr>
          <w:rFonts w:hint="eastAsia"/>
        </w:rPr>
      </w:pPr>
      <w:r w:rsidRPr="00CF2FE8">
        <w:rPr>
          <w:rFonts w:ascii="Time New Roman" w:eastAsia="楷体" w:hAnsi="Time New Roman" w:hint="eastAsia"/>
        </w:rPr>
        <w:t>重申</w:t>
      </w:r>
      <w:r>
        <w:rPr>
          <w:rFonts w:hint="eastAsia"/>
        </w:rPr>
        <w:t>根据《世界人权宣言》，联合国会员国业已誓愿同联合国合作以促进对所有人的人权和基本自由的普遍尊重和遵行，不分种族、肤色、性别、语言、宗教、政治或其他见解、国籍或社会出身、财产、出生或其他身份，</w:t>
      </w:r>
    </w:p>
    <w:p w:rsidR="00363D96" w:rsidRDefault="00363D96" w:rsidP="00694478">
      <w:pPr>
        <w:pStyle w:val="SingleTxtGC"/>
        <w:ind w:firstLine="431"/>
        <w:rPr>
          <w:rFonts w:hint="eastAsia"/>
        </w:rPr>
      </w:pPr>
      <w:r w:rsidRPr="00CF2FE8">
        <w:rPr>
          <w:rFonts w:ascii="Time New Roman" w:eastAsia="楷体" w:hAnsi="Time New Roman" w:hint="eastAsia"/>
        </w:rPr>
        <w:t>回顾</w:t>
      </w:r>
      <w:r>
        <w:rPr>
          <w:rFonts w:hint="eastAsia"/>
        </w:rPr>
        <w:t>理事会关于在和平抗议的背景下促进和保护人权问题的</w:t>
      </w:r>
      <w:r>
        <w:rPr>
          <w:rFonts w:hint="eastAsia"/>
        </w:rPr>
        <w:t>2011</w:t>
      </w:r>
      <w:r>
        <w:rPr>
          <w:rFonts w:hint="eastAsia"/>
        </w:rPr>
        <w:t>年</w:t>
      </w:r>
      <w:r>
        <w:rPr>
          <w:rFonts w:hint="eastAsia"/>
        </w:rPr>
        <w:t>6</w:t>
      </w:r>
      <w:r>
        <w:rPr>
          <w:rFonts w:hint="eastAsia"/>
        </w:rPr>
        <w:t>月</w:t>
      </w:r>
      <w:r>
        <w:rPr>
          <w:rFonts w:hint="eastAsia"/>
        </w:rPr>
        <w:t>17</w:t>
      </w:r>
      <w:r>
        <w:rPr>
          <w:rFonts w:hint="eastAsia"/>
        </w:rPr>
        <w:t>日第</w:t>
      </w:r>
      <w:r>
        <w:rPr>
          <w:rFonts w:hint="eastAsia"/>
        </w:rPr>
        <w:t>17/120</w:t>
      </w:r>
      <w:r>
        <w:rPr>
          <w:rFonts w:hint="eastAsia"/>
        </w:rPr>
        <w:t>号决定及</w:t>
      </w:r>
      <w:r>
        <w:rPr>
          <w:rFonts w:hint="eastAsia"/>
        </w:rPr>
        <w:t>2012</w:t>
      </w:r>
      <w:r>
        <w:rPr>
          <w:rFonts w:hint="eastAsia"/>
        </w:rPr>
        <w:t>年</w:t>
      </w:r>
      <w:r>
        <w:rPr>
          <w:rFonts w:hint="eastAsia"/>
        </w:rPr>
        <w:t>3</w:t>
      </w:r>
      <w:r>
        <w:rPr>
          <w:rFonts w:hint="eastAsia"/>
        </w:rPr>
        <w:t>月</w:t>
      </w:r>
      <w:r>
        <w:rPr>
          <w:rFonts w:hint="eastAsia"/>
        </w:rPr>
        <w:t>23</w:t>
      </w:r>
      <w:r>
        <w:rPr>
          <w:rFonts w:hint="eastAsia"/>
        </w:rPr>
        <w:t>日第</w:t>
      </w:r>
      <w:r>
        <w:rPr>
          <w:rFonts w:hint="eastAsia"/>
        </w:rPr>
        <w:t>19/35</w:t>
      </w:r>
      <w:r>
        <w:rPr>
          <w:rFonts w:hint="eastAsia"/>
        </w:rPr>
        <w:t>号决议、</w:t>
      </w:r>
      <w:r>
        <w:rPr>
          <w:rFonts w:hint="eastAsia"/>
        </w:rPr>
        <w:t>2013</w:t>
      </w:r>
      <w:r>
        <w:rPr>
          <w:rFonts w:hint="eastAsia"/>
        </w:rPr>
        <w:t>年</w:t>
      </w:r>
      <w:r>
        <w:rPr>
          <w:rFonts w:hint="eastAsia"/>
        </w:rPr>
        <w:t>3</w:t>
      </w:r>
      <w:r>
        <w:rPr>
          <w:rFonts w:hint="eastAsia"/>
        </w:rPr>
        <w:t>月</w:t>
      </w:r>
      <w:r>
        <w:rPr>
          <w:rFonts w:hint="eastAsia"/>
        </w:rPr>
        <w:t>21</w:t>
      </w:r>
      <w:r>
        <w:rPr>
          <w:rFonts w:hint="eastAsia"/>
        </w:rPr>
        <w:t>日第</w:t>
      </w:r>
      <w:r>
        <w:rPr>
          <w:rFonts w:hint="eastAsia"/>
        </w:rPr>
        <w:t>22/10</w:t>
      </w:r>
      <w:r>
        <w:rPr>
          <w:rFonts w:hint="eastAsia"/>
        </w:rPr>
        <w:t>号决议、</w:t>
      </w:r>
      <w:r>
        <w:rPr>
          <w:rFonts w:hint="eastAsia"/>
        </w:rPr>
        <w:t>2014</w:t>
      </w:r>
      <w:r>
        <w:rPr>
          <w:rFonts w:hint="eastAsia"/>
        </w:rPr>
        <w:t>年</w:t>
      </w:r>
      <w:r>
        <w:rPr>
          <w:rFonts w:hint="eastAsia"/>
        </w:rPr>
        <w:t>3</w:t>
      </w:r>
      <w:r>
        <w:rPr>
          <w:rFonts w:hint="eastAsia"/>
        </w:rPr>
        <w:t>月</w:t>
      </w:r>
      <w:r>
        <w:rPr>
          <w:rFonts w:hint="eastAsia"/>
        </w:rPr>
        <w:t>28</w:t>
      </w:r>
      <w:r>
        <w:rPr>
          <w:rFonts w:hint="eastAsia"/>
        </w:rPr>
        <w:t>日第</w:t>
      </w:r>
      <w:r>
        <w:rPr>
          <w:rFonts w:hint="eastAsia"/>
        </w:rPr>
        <w:t>25/38</w:t>
      </w:r>
      <w:r>
        <w:rPr>
          <w:rFonts w:hint="eastAsia"/>
        </w:rPr>
        <w:t>号决议、</w:t>
      </w:r>
      <w:r>
        <w:rPr>
          <w:rFonts w:hint="eastAsia"/>
        </w:rPr>
        <w:t>2016</w:t>
      </w:r>
      <w:r>
        <w:rPr>
          <w:rFonts w:hint="eastAsia"/>
        </w:rPr>
        <w:t>年</w:t>
      </w:r>
      <w:r>
        <w:rPr>
          <w:rFonts w:hint="eastAsia"/>
        </w:rPr>
        <w:t>3</w:t>
      </w:r>
      <w:r>
        <w:rPr>
          <w:rFonts w:hint="eastAsia"/>
        </w:rPr>
        <w:t>月</w:t>
      </w:r>
      <w:r>
        <w:rPr>
          <w:rFonts w:hint="eastAsia"/>
        </w:rPr>
        <w:t>24</w:t>
      </w:r>
      <w:r>
        <w:rPr>
          <w:rFonts w:hint="eastAsia"/>
        </w:rPr>
        <w:t>日第</w:t>
      </w:r>
      <w:r>
        <w:rPr>
          <w:rFonts w:hint="eastAsia"/>
        </w:rPr>
        <w:t>31/37</w:t>
      </w:r>
      <w:r>
        <w:rPr>
          <w:rFonts w:hint="eastAsia"/>
        </w:rPr>
        <w:t>号决议和</w:t>
      </w:r>
      <w:r>
        <w:rPr>
          <w:rFonts w:hint="eastAsia"/>
        </w:rPr>
        <w:t>2018</w:t>
      </w:r>
      <w:r>
        <w:rPr>
          <w:rFonts w:hint="eastAsia"/>
        </w:rPr>
        <w:t>年</w:t>
      </w:r>
      <w:r>
        <w:rPr>
          <w:rFonts w:hint="eastAsia"/>
        </w:rPr>
        <w:t>7</w:t>
      </w:r>
      <w:r>
        <w:rPr>
          <w:rFonts w:hint="eastAsia"/>
        </w:rPr>
        <w:t>月</w:t>
      </w:r>
      <w:r>
        <w:rPr>
          <w:rFonts w:hint="eastAsia"/>
        </w:rPr>
        <w:t>6</w:t>
      </w:r>
      <w:r>
        <w:rPr>
          <w:rFonts w:hint="eastAsia"/>
        </w:rPr>
        <w:t>日第</w:t>
      </w:r>
      <w:r>
        <w:rPr>
          <w:rFonts w:hint="eastAsia"/>
        </w:rPr>
        <w:t>38/11</w:t>
      </w:r>
      <w:r>
        <w:rPr>
          <w:rFonts w:hint="eastAsia"/>
        </w:rPr>
        <w:t>号决议以及人权理事会其他有关决议，</w:t>
      </w:r>
    </w:p>
    <w:p w:rsidR="00363D96" w:rsidRDefault="00363D96" w:rsidP="00694478">
      <w:pPr>
        <w:pStyle w:val="SingleTxtGC"/>
        <w:ind w:firstLine="431"/>
        <w:rPr>
          <w:rFonts w:hint="eastAsia"/>
        </w:rPr>
      </w:pPr>
      <w:r w:rsidRPr="00CF2FE8">
        <w:rPr>
          <w:rFonts w:ascii="Time New Roman" w:eastAsia="楷体" w:hAnsi="Time New Roman" w:hint="eastAsia"/>
        </w:rPr>
        <w:lastRenderedPageBreak/>
        <w:t>又回顾</w:t>
      </w:r>
      <w:r>
        <w:rPr>
          <w:rFonts w:hint="eastAsia"/>
        </w:rPr>
        <w:t>理事会</w:t>
      </w:r>
      <w:r>
        <w:rPr>
          <w:rFonts w:hint="eastAsia"/>
        </w:rPr>
        <w:t>2020</w:t>
      </w:r>
      <w:r>
        <w:rPr>
          <w:rFonts w:hint="eastAsia"/>
        </w:rPr>
        <w:t>年</w:t>
      </w:r>
      <w:r>
        <w:rPr>
          <w:rFonts w:hint="eastAsia"/>
        </w:rPr>
        <w:t>6</w:t>
      </w:r>
      <w:r>
        <w:rPr>
          <w:rFonts w:hint="eastAsia"/>
        </w:rPr>
        <w:t>月</w:t>
      </w:r>
      <w:r>
        <w:rPr>
          <w:rFonts w:hint="eastAsia"/>
        </w:rPr>
        <w:t>19</w:t>
      </w:r>
      <w:r>
        <w:rPr>
          <w:rFonts w:hint="eastAsia"/>
        </w:rPr>
        <w:t>日关于促进和保护非洲人和非洲人后裔的人权和基本自由不受执法人员过度使用武力和其他侵犯人权行为影响的第</w:t>
      </w:r>
      <w:r>
        <w:rPr>
          <w:rFonts w:hint="eastAsia"/>
        </w:rPr>
        <w:t>43/1</w:t>
      </w:r>
      <w:r>
        <w:rPr>
          <w:rFonts w:hint="eastAsia"/>
        </w:rPr>
        <w:t>号决议，</w:t>
      </w:r>
    </w:p>
    <w:p w:rsidR="00363D96" w:rsidRDefault="00363D96" w:rsidP="00694478">
      <w:pPr>
        <w:pStyle w:val="SingleTxtGC"/>
        <w:ind w:firstLine="431"/>
        <w:rPr>
          <w:rFonts w:hint="eastAsia"/>
        </w:rPr>
      </w:pPr>
      <w:r w:rsidRPr="00CF2FE8">
        <w:rPr>
          <w:rFonts w:ascii="Time New Roman" w:eastAsia="楷体" w:hAnsi="Time New Roman" w:hint="eastAsia"/>
        </w:rPr>
        <w:t>确认</w:t>
      </w:r>
      <w:r>
        <w:rPr>
          <w:rFonts w:hint="eastAsia"/>
        </w:rPr>
        <w:t>根据《世界人权宣言》、《公民及政治权利国际公约》和《消除一切形式种族歧视国际公约》，和平集会自由权、表达自由权和结社自由权是国家按照适用的国际人权文书规定的国家义务保障所有人享有的人权，虽然行使这些权利可能受某些限制，</w:t>
      </w:r>
    </w:p>
    <w:p w:rsidR="00363D96" w:rsidRDefault="00363D96" w:rsidP="00694478">
      <w:pPr>
        <w:pStyle w:val="SingleTxtGC"/>
        <w:ind w:firstLine="431"/>
        <w:rPr>
          <w:rFonts w:hint="eastAsia"/>
        </w:rPr>
      </w:pPr>
      <w:r w:rsidRPr="00CF2FE8">
        <w:rPr>
          <w:rFonts w:ascii="Time New Roman" w:eastAsia="楷体" w:hAnsi="Time New Roman" w:hint="eastAsia"/>
        </w:rPr>
        <w:t>又确认</w:t>
      </w:r>
      <w:r>
        <w:rPr>
          <w:rFonts w:hint="eastAsia"/>
        </w:rPr>
        <w:t>任何此类限制必须以法律为依据，为推动合理目的所必需并与之相称，符合适用的国际人权文书规定的国家义务；并且如果实行限制，应有迅速、胜任、独立和公正的司法审查和行政审查途径，</w:t>
      </w:r>
    </w:p>
    <w:p w:rsidR="00363D96" w:rsidRDefault="00363D96" w:rsidP="00694478">
      <w:pPr>
        <w:pStyle w:val="SingleTxtGC"/>
        <w:ind w:firstLine="431"/>
        <w:rPr>
          <w:rFonts w:hint="eastAsia"/>
        </w:rPr>
      </w:pPr>
      <w:r w:rsidRPr="00CF2FE8">
        <w:rPr>
          <w:rFonts w:ascii="Time New Roman" w:eastAsia="楷体" w:hAnsi="Time New Roman" w:hint="eastAsia"/>
        </w:rPr>
        <w:t>重申</w:t>
      </w:r>
      <w:r>
        <w:rPr>
          <w:rFonts w:hint="eastAsia"/>
        </w:rPr>
        <w:t>各国政府为应对冠状病毒病</w:t>
      </w:r>
      <w:r>
        <w:rPr>
          <w:rFonts w:hint="eastAsia"/>
        </w:rPr>
        <w:t>(</w:t>
      </w:r>
      <w:proofErr w:type="spellStart"/>
      <w:r>
        <w:rPr>
          <w:rFonts w:hint="eastAsia"/>
        </w:rPr>
        <w:t>COVID</w:t>
      </w:r>
      <w:proofErr w:type="spellEnd"/>
      <w:r>
        <w:rPr>
          <w:rFonts w:hint="eastAsia"/>
        </w:rPr>
        <w:t>-19)</w:t>
      </w:r>
      <w:r>
        <w:rPr>
          <w:rFonts w:hint="eastAsia"/>
        </w:rPr>
        <w:t>大流行采取的紧急措施必须是必要的，与评估的风险相称并以非歧视性的方式实施，有具体的重点和时限，并符合该国根据适用的国际人权法所承担的义务，</w:t>
      </w:r>
    </w:p>
    <w:p w:rsidR="00363D96" w:rsidRDefault="00363D96" w:rsidP="00694478">
      <w:pPr>
        <w:pStyle w:val="SingleTxtGC"/>
        <w:ind w:firstLine="431"/>
        <w:rPr>
          <w:rFonts w:hint="eastAsia"/>
        </w:rPr>
      </w:pPr>
      <w:r w:rsidRPr="00CF2FE8">
        <w:rPr>
          <w:rFonts w:ascii="Time New Roman" w:eastAsia="楷体" w:hAnsi="Time New Roman" w:hint="eastAsia"/>
        </w:rPr>
        <w:t>回顾</w:t>
      </w:r>
      <w:r>
        <w:rPr>
          <w:rFonts w:hint="eastAsia"/>
        </w:rPr>
        <w:t>各国负有促进和保护人权和基本自由的主要责任，这项责任包括在和平抗议等集会背景下促进和保护人权和基本自由，以及确保作为行使和平集会自由权、表达自由权和结社自由权的全国性框架的国内立法、政策和惯例符合国际人权法，</w:t>
      </w:r>
    </w:p>
    <w:p w:rsidR="00363D96" w:rsidRDefault="00363D96" w:rsidP="00694478">
      <w:pPr>
        <w:pStyle w:val="SingleTxtGC"/>
        <w:ind w:firstLine="431"/>
        <w:rPr>
          <w:rFonts w:hint="eastAsia"/>
        </w:rPr>
      </w:pPr>
      <w:r w:rsidRPr="00CF2FE8">
        <w:rPr>
          <w:rFonts w:ascii="Time New Roman" w:eastAsia="楷体" w:hAnsi="Time New Roman" w:hint="eastAsia"/>
        </w:rPr>
        <w:t>指出</w:t>
      </w:r>
      <w:r>
        <w:rPr>
          <w:rFonts w:hint="eastAsia"/>
        </w:rPr>
        <w:t>妥善管理集会要求在集会举行之前、期间和之后尊重人权，并且能够产生此种影响，其目的是帮助集会和平举行，并防止抗议者、监测抗议者、旁观者和执法人员出现伤亡情况，</w:t>
      </w:r>
    </w:p>
    <w:p w:rsidR="00363D96" w:rsidRDefault="00363D96" w:rsidP="00694478">
      <w:pPr>
        <w:pStyle w:val="SingleTxtGC"/>
        <w:ind w:firstLine="431"/>
        <w:rPr>
          <w:rFonts w:hint="eastAsia"/>
        </w:rPr>
      </w:pPr>
      <w:r w:rsidRPr="00CF2FE8">
        <w:rPr>
          <w:rFonts w:ascii="Time New Roman" w:eastAsia="楷体" w:hAnsi="Time New Roman" w:hint="eastAsia"/>
        </w:rPr>
        <w:t>承认</w:t>
      </w:r>
      <w:r>
        <w:rPr>
          <w:rFonts w:hint="eastAsia"/>
        </w:rPr>
        <w:t>所有社会中均可能发生和平抗议，包括自发的、同时举行的、未经许可的和受到限制的抗议，</w:t>
      </w:r>
    </w:p>
    <w:p w:rsidR="00363D96" w:rsidRDefault="00363D96" w:rsidP="00694478">
      <w:pPr>
        <w:pStyle w:val="SingleTxtGC"/>
        <w:ind w:firstLine="431"/>
        <w:rPr>
          <w:rFonts w:hint="eastAsia"/>
        </w:rPr>
      </w:pPr>
      <w:r w:rsidRPr="00CF2FE8">
        <w:rPr>
          <w:rFonts w:ascii="Time New Roman" w:eastAsia="楷体" w:hAnsi="Time New Roman" w:hint="eastAsia"/>
        </w:rPr>
        <w:t>又承认</w:t>
      </w:r>
      <w:r>
        <w:rPr>
          <w:rFonts w:hint="eastAsia"/>
        </w:rPr>
        <w:t>参加和平抗议可以是行使和平集会自由权、表达自由权和结社自由权以及参与公共事务的一种重要形式，</w:t>
      </w:r>
    </w:p>
    <w:p w:rsidR="00363D96" w:rsidRDefault="00363D96" w:rsidP="00694478">
      <w:pPr>
        <w:pStyle w:val="SingleTxtGC"/>
        <w:ind w:firstLine="431"/>
        <w:rPr>
          <w:rFonts w:hint="eastAsia"/>
        </w:rPr>
      </w:pPr>
      <w:r w:rsidRPr="00CF2FE8">
        <w:rPr>
          <w:rFonts w:ascii="Time New Roman" w:eastAsia="楷体" w:hAnsi="Time New Roman" w:hint="eastAsia"/>
        </w:rPr>
        <w:t>确认</w:t>
      </w:r>
      <w:r>
        <w:rPr>
          <w:rFonts w:hint="eastAsia"/>
        </w:rPr>
        <w:t>和平抗议可以积极推进民主制度的发展、强化和效力，推进包括选举和公投在内的民主进程，</w:t>
      </w:r>
    </w:p>
    <w:p w:rsidR="00363D96" w:rsidRDefault="00363D96" w:rsidP="00694478">
      <w:pPr>
        <w:pStyle w:val="SingleTxtGC"/>
        <w:ind w:firstLine="431"/>
        <w:rPr>
          <w:rFonts w:hint="eastAsia"/>
        </w:rPr>
      </w:pPr>
      <w:r w:rsidRPr="00CF2FE8">
        <w:rPr>
          <w:rFonts w:ascii="Time New Roman" w:eastAsia="楷体" w:hAnsi="Time New Roman" w:hint="eastAsia"/>
        </w:rPr>
        <w:t>又确认</w:t>
      </w:r>
      <w:r>
        <w:rPr>
          <w:rFonts w:hint="eastAsia"/>
        </w:rPr>
        <w:t>和平抗议在历史上对发展更加公正和负责的社会发挥了建设性的社会和政治作用，和平抗议可以继续对人类发展以及全面享有公民权利、政治权利、经济、社会及文化权利做出积极贡献，</w:t>
      </w:r>
    </w:p>
    <w:p w:rsidR="00363D96" w:rsidRDefault="00363D96" w:rsidP="00694478">
      <w:pPr>
        <w:pStyle w:val="SingleTxtGC"/>
        <w:ind w:firstLine="431"/>
        <w:rPr>
          <w:rFonts w:hint="eastAsia"/>
        </w:rPr>
      </w:pPr>
      <w:r w:rsidRPr="003A47BD">
        <w:rPr>
          <w:rFonts w:ascii="Time New Roman" w:eastAsia="楷体" w:hAnsi="Time New Roman" w:hint="eastAsia"/>
        </w:rPr>
        <w:t>重申</w:t>
      </w:r>
      <w:r>
        <w:rPr>
          <w:rFonts w:hint="eastAsia"/>
        </w:rPr>
        <w:t>人人有权享有生命、自由和人身安全，</w:t>
      </w:r>
    </w:p>
    <w:p w:rsidR="00363D96" w:rsidRDefault="00363D96" w:rsidP="00694478">
      <w:pPr>
        <w:pStyle w:val="SingleTxtGC"/>
        <w:ind w:firstLine="431"/>
        <w:rPr>
          <w:rFonts w:hint="eastAsia"/>
        </w:rPr>
      </w:pPr>
      <w:r w:rsidRPr="003A47BD">
        <w:rPr>
          <w:rFonts w:ascii="Time New Roman" w:eastAsia="楷体" w:hAnsi="Time New Roman" w:hint="eastAsia"/>
        </w:rPr>
        <w:t>又重申</w:t>
      </w:r>
      <w:r>
        <w:rPr>
          <w:rFonts w:hint="eastAsia"/>
        </w:rPr>
        <w:t>参加公开和平抗议应当完全自愿，不受胁迫，</w:t>
      </w:r>
    </w:p>
    <w:p w:rsidR="00363D96" w:rsidRDefault="00363D96" w:rsidP="00694478">
      <w:pPr>
        <w:pStyle w:val="SingleTxtGC"/>
        <w:ind w:firstLine="431"/>
        <w:rPr>
          <w:rFonts w:hint="eastAsia"/>
        </w:rPr>
      </w:pPr>
      <w:r w:rsidRPr="003A47BD">
        <w:rPr>
          <w:rFonts w:ascii="Time New Roman" w:eastAsia="楷体" w:hAnsi="Time New Roman" w:hint="eastAsia"/>
        </w:rPr>
        <w:t>回顾</w:t>
      </w:r>
      <w:r>
        <w:rPr>
          <w:rFonts w:hint="eastAsia"/>
        </w:rPr>
        <w:t>平集会自由权、表达自由权和结社自由权包括组织、参加、观察、监测和记录集会的行为，</w:t>
      </w:r>
    </w:p>
    <w:p w:rsidR="00363D96" w:rsidRDefault="00363D96" w:rsidP="00694478">
      <w:pPr>
        <w:pStyle w:val="SingleTxtGC"/>
        <w:ind w:firstLine="431"/>
        <w:rPr>
          <w:rFonts w:hint="eastAsia"/>
        </w:rPr>
      </w:pPr>
      <w:r w:rsidRPr="006A1D35">
        <w:rPr>
          <w:rFonts w:ascii="Time New Roman" w:hAnsi="Time New Roman" w:hint="eastAsia"/>
        </w:rPr>
        <w:t>因此</w:t>
      </w:r>
      <w:r w:rsidRPr="003A47BD">
        <w:rPr>
          <w:rFonts w:ascii="Time New Roman" w:eastAsia="楷体" w:hAnsi="Time New Roman" w:hint="eastAsia"/>
        </w:rPr>
        <w:t>强调</w:t>
      </w:r>
      <w:r>
        <w:rPr>
          <w:rFonts w:hint="eastAsia"/>
        </w:rPr>
        <w:t>人人，包括持少数或者不同见解和信仰的人，都必须能够通过公开抗议等形式，以和平方式表达自己的不满和愿望，而不必担心遭到报复或受到恐吓、骚扰、伤害、性侵害、殴打、任意逮捕或拘留、酷刑、杀害或遭受强迫失踪，或遭受被滥用的刑事或民事诉讼程序，</w:t>
      </w:r>
    </w:p>
    <w:p w:rsidR="00363D96" w:rsidRDefault="00363D96" w:rsidP="00694478">
      <w:pPr>
        <w:pStyle w:val="SingleTxtGC"/>
        <w:ind w:firstLine="431"/>
        <w:rPr>
          <w:rFonts w:hint="eastAsia"/>
        </w:rPr>
      </w:pPr>
      <w:r w:rsidRPr="003A47BD">
        <w:rPr>
          <w:rFonts w:ascii="Time New Roman" w:eastAsia="楷体" w:hAnsi="Time New Roman" w:hint="eastAsia"/>
        </w:rPr>
        <w:lastRenderedPageBreak/>
        <w:t>深为关切</w:t>
      </w:r>
      <w:r>
        <w:rPr>
          <w:rFonts w:hint="eastAsia"/>
        </w:rPr>
        <w:t>世界所有区域针对行使和平集会自由权、表达自由权和结社自由权者实施法外处决、即决处决或任意处决、任意逮捕和拘留、强迫失踪、酷刑和其他残忍、不人道或有辱人格的待遇或处罚的情况，</w:t>
      </w:r>
    </w:p>
    <w:p w:rsidR="00363D96" w:rsidRDefault="00363D96" w:rsidP="00694478">
      <w:pPr>
        <w:pStyle w:val="SingleTxtGC"/>
        <w:ind w:firstLine="431"/>
        <w:rPr>
          <w:rFonts w:hint="eastAsia"/>
        </w:rPr>
      </w:pPr>
      <w:r w:rsidRPr="003A47BD">
        <w:rPr>
          <w:rFonts w:ascii="Time New Roman" w:eastAsia="楷体" w:hAnsi="Time New Roman" w:hint="eastAsia"/>
        </w:rPr>
        <w:t>又深为</w:t>
      </w:r>
      <w:proofErr w:type="gramStart"/>
      <w:r w:rsidRPr="003A47BD">
        <w:rPr>
          <w:rFonts w:ascii="Time New Roman" w:eastAsia="楷体" w:hAnsi="Time New Roman" w:hint="eastAsia"/>
        </w:rPr>
        <w:t>关切</w:t>
      </w:r>
      <w:r>
        <w:rPr>
          <w:rFonts w:hint="eastAsia"/>
        </w:rPr>
        <w:t>在</w:t>
      </w:r>
      <w:proofErr w:type="gramEnd"/>
      <w:r>
        <w:rPr>
          <w:rFonts w:hint="eastAsia"/>
        </w:rPr>
        <w:t>重大政治关头等时刻无心或故意散布虚假信息和施加不当限制，阻止或妨碍个人获取或传播信息的能力，从而影响人们组织和举行集会的能力，</w:t>
      </w:r>
    </w:p>
    <w:p w:rsidR="00363D96" w:rsidRDefault="00363D96" w:rsidP="00694478">
      <w:pPr>
        <w:pStyle w:val="SingleTxtGC"/>
        <w:ind w:firstLine="431"/>
        <w:rPr>
          <w:rFonts w:hint="eastAsia"/>
        </w:rPr>
      </w:pPr>
      <w:r w:rsidRPr="003A47BD">
        <w:rPr>
          <w:rFonts w:ascii="Time New Roman" w:eastAsia="楷体" w:hAnsi="Time New Roman" w:hint="eastAsia"/>
        </w:rPr>
        <w:t>指出</w:t>
      </w:r>
      <w:r>
        <w:rPr>
          <w:rFonts w:hint="eastAsia"/>
        </w:rPr>
        <w:t>能否依照国际人权法</w:t>
      </w:r>
      <w:proofErr w:type="gramStart"/>
      <w:r>
        <w:rPr>
          <w:rFonts w:hint="eastAsia"/>
        </w:rPr>
        <w:t>安全私密地</w:t>
      </w:r>
      <w:proofErr w:type="gramEnd"/>
      <w:r>
        <w:rPr>
          <w:rFonts w:hint="eastAsia"/>
        </w:rPr>
        <w:t>使用通信技术，对集会的组织和开展具有重要意义，</w:t>
      </w:r>
    </w:p>
    <w:p w:rsidR="00363D96" w:rsidRDefault="00363D96" w:rsidP="00694478">
      <w:pPr>
        <w:pStyle w:val="SingleTxtGC"/>
        <w:ind w:firstLine="431"/>
        <w:rPr>
          <w:rFonts w:hint="eastAsia"/>
        </w:rPr>
      </w:pPr>
      <w:r w:rsidRPr="003A47BD">
        <w:rPr>
          <w:rFonts w:ascii="Time New Roman" w:eastAsia="楷体" w:hAnsi="Time New Roman" w:hint="eastAsia"/>
        </w:rPr>
        <w:t>又指出</w:t>
      </w:r>
      <w:r>
        <w:rPr>
          <w:rFonts w:hint="eastAsia"/>
        </w:rPr>
        <w:t>虽然集会一般被认为是人在真实世界的聚集，但对人权的保护，包括对和平集会自由权、表达自由权和结社自由权的保护也适用于发生在网络上的类似互动，</w:t>
      </w:r>
    </w:p>
    <w:p w:rsidR="00363D96" w:rsidRDefault="00363D96" w:rsidP="00694478">
      <w:pPr>
        <w:pStyle w:val="SingleTxtGC"/>
        <w:ind w:firstLine="431"/>
        <w:rPr>
          <w:rFonts w:hint="eastAsia"/>
        </w:rPr>
      </w:pPr>
      <w:r w:rsidRPr="003A47BD">
        <w:rPr>
          <w:rFonts w:ascii="Time New Roman" w:eastAsia="楷体" w:hAnsi="Time New Roman" w:hint="eastAsia"/>
        </w:rPr>
        <w:t>承认</w:t>
      </w:r>
      <w:r>
        <w:rPr>
          <w:rFonts w:hint="eastAsia"/>
        </w:rPr>
        <w:t>新技术可通过便利集会的动员和组织，推动和平集会自由权、表达自由权、结社自由权和参与公共事务自由权的行使，并承认它们为在网上举行集会创造了空间，可便利和加强经常被边缘化的人参与和参加，并有助于妥善管理集会，提高透明度和</w:t>
      </w:r>
      <w:proofErr w:type="gramStart"/>
      <w:r>
        <w:rPr>
          <w:rFonts w:hint="eastAsia"/>
        </w:rPr>
        <w:t>加强问</w:t>
      </w:r>
      <w:proofErr w:type="gramEnd"/>
      <w:r>
        <w:rPr>
          <w:rFonts w:hint="eastAsia"/>
        </w:rPr>
        <w:t>责，</w:t>
      </w:r>
    </w:p>
    <w:p w:rsidR="00363D96" w:rsidRDefault="00363D96" w:rsidP="00694478">
      <w:pPr>
        <w:pStyle w:val="SingleTxtGC"/>
        <w:ind w:firstLine="431"/>
        <w:rPr>
          <w:rFonts w:hint="eastAsia"/>
        </w:rPr>
      </w:pPr>
      <w:r w:rsidRPr="003A47BD">
        <w:rPr>
          <w:rFonts w:ascii="Time New Roman" w:eastAsia="楷体" w:hAnsi="Time New Roman" w:hint="eastAsia"/>
        </w:rPr>
        <w:t>表示</w:t>
      </w:r>
      <w:proofErr w:type="gramStart"/>
      <w:r w:rsidRPr="003A47BD">
        <w:rPr>
          <w:rFonts w:ascii="Time New Roman" w:eastAsia="楷体" w:hAnsi="Time New Roman" w:hint="eastAsia"/>
        </w:rPr>
        <w:t>关切</w:t>
      </w:r>
      <w:r>
        <w:rPr>
          <w:rFonts w:hint="eastAsia"/>
        </w:rPr>
        <w:t>在</w:t>
      </w:r>
      <w:proofErr w:type="gramEnd"/>
      <w:r>
        <w:rPr>
          <w:rFonts w:hint="eastAsia"/>
        </w:rPr>
        <w:t>世界各地，仅仅因为组织或参加和平抗议或观察、监测或记录抗议活动而对个人和团体定罪，并在立法或政策中将此类个人或团体称为对国家安全的威胁，</w:t>
      </w:r>
    </w:p>
    <w:p w:rsidR="00363D96" w:rsidRDefault="00363D96" w:rsidP="00694478">
      <w:pPr>
        <w:pStyle w:val="SingleTxtGC"/>
        <w:ind w:firstLine="431"/>
        <w:rPr>
          <w:rFonts w:hint="eastAsia"/>
        </w:rPr>
      </w:pPr>
      <w:r w:rsidRPr="003A47BD">
        <w:rPr>
          <w:rFonts w:ascii="Time New Roman" w:eastAsia="楷体" w:hAnsi="Time New Roman" w:hint="eastAsia"/>
        </w:rPr>
        <w:t>又表示</w:t>
      </w:r>
      <w:proofErr w:type="gramStart"/>
      <w:r w:rsidRPr="003A47BD">
        <w:rPr>
          <w:rFonts w:ascii="Time New Roman" w:eastAsia="楷体" w:hAnsi="Time New Roman" w:hint="eastAsia"/>
        </w:rPr>
        <w:t>关切</w:t>
      </w:r>
      <w:r>
        <w:rPr>
          <w:rFonts w:hint="eastAsia"/>
        </w:rPr>
        <w:t>在</w:t>
      </w:r>
      <w:proofErr w:type="gramEnd"/>
      <w:r>
        <w:rPr>
          <w:rFonts w:hint="eastAsia"/>
        </w:rPr>
        <w:t>真实世界和网上对从事和平抗议的个人进行非法或任意监视，包括使用面部识别、国际移动用户身份捕获器</w:t>
      </w:r>
      <w:r>
        <w:rPr>
          <w:rFonts w:hint="eastAsia"/>
        </w:rPr>
        <w:t>(</w:t>
      </w:r>
      <w:r>
        <w:rPr>
          <w:rFonts w:hint="eastAsia"/>
        </w:rPr>
        <w:t>“黄貂鱼”</w:t>
      </w:r>
      <w:r>
        <w:rPr>
          <w:rFonts w:hint="eastAsia"/>
        </w:rPr>
        <w:t>)</w:t>
      </w:r>
      <w:r>
        <w:rPr>
          <w:rFonts w:hint="eastAsia"/>
        </w:rPr>
        <w:t>和闭路电视等新出现的数字跟踪工具，</w:t>
      </w:r>
    </w:p>
    <w:p w:rsidR="00363D96" w:rsidRDefault="00363D96" w:rsidP="00694478">
      <w:pPr>
        <w:pStyle w:val="SingleTxtGC"/>
        <w:ind w:firstLine="431"/>
        <w:rPr>
          <w:rFonts w:hint="eastAsia"/>
        </w:rPr>
      </w:pPr>
      <w:r w:rsidRPr="003A47BD">
        <w:rPr>
          <w:rFonts w:ascii="Time New Roman" w:eastAsia="楷体" w:hAnsi="Time New Roman" w:hint="eastAsia"/>
        </w:rPr>
        <w:t>强调</w:t>
      </w:r>
      <w:r>
        <w:rPr>
          <w:rFonts w:hint="eastAsia"/>
        </w:rPr>
        <w:t>确保和保护数字通信机密性的技术解决办法，包括加密、化名和在线匿名措施，可能对确保享有人权，特别是隐私权、表达自由权以及和平集会和结社自由权具有重要意义，</w:t>
      </w:r>
    </w:p>
    <w:p w:rsidR="00363D96" w:rsidRDefault="00363D96" w:rsidP="00694478">
      <w:pPr>
        <w:pStyle w:val="SingleTxtGC"/>
        <w:ind w:firstLine="431"/>
        <w:rPr>
          <w:rFonts w:hint="eastAsia"/>
        </w:rPr>
      </w:pPr>
      <w:r w:rsidRPr="00C17341">
        <w:rPr>
          <w:rFonts w:ascii="Time New Roman" w:eastAsia="楷体" w:hAnsi="Time New Roman" w:hint="eastAsia"/>
        </w:rPr>
        <w:t>强调</w:t>
      </w:r>
      <w:r>
        <w:rPr>
          <w:rFonts w:hint="eastAsia"/>
        </w:rPr>
        <w:t>不应将和平抗议视作威胁；因此鼓励各国在处理和平抗议及其成因时开展公开、包容和有意义的对话，</w:t>
      </w:r>
    </w:p>
    <w:p w:rsidR="00363D96" w:rsidRDefault="00363D96" w:rsidP="00694478">
      <w:pPr>
        <w:pStyle w:val="SingleTxtGC"/>
        <w:ind w:firstLine="431"/>
        <w:rPr>
          <w:rFonts w:hint="eastAsia"/>
        </w:rPr>
      </w:pPr>
      <w:r w:rsidRPr="00C17341">
        <w:rPr>
          <w:rFonts w:ascii="Time New Roman" w:eastAsia="楷体" w:hAnsi="Time New Roman" w:hint="eastAsia"/>
        </w:rPr>
        <w:t>回顾</w:t>
      </w:r>
      <w:r>
        <w:rPr>
          <w:rFonts w:hint="eastAsia"/>
        </w:rPr>
        <w:t>不得因他人在抗议过程中实施的孤立暴力行为，而剥夺和平人士的和平集会自由权、表达自由权和结社自由权，</w:t>
      </w:r>
    </w:p>
    <w:p w:rsidR="00363D96" w:rsidRDefault="00363D96" w:rsidP="00694478">
      <w:pPr>
        <w:pStyle w:val="SingleTxtGC"/>
        <w:ind w:firstLine="431"/>
        <w:rPr>
          <w:rFonts w:hint="eastAsia"/>
        </w:rPr>
      </w:pPr>
      <w:r w:rsidRPr="00C17341">
        <w:rPr>
          <w:rFonts w:ascii="Time New Roman" w:eastAsia="楷体" w:hAnsi="Time New Roman" w:hint="eastAsia"/>
        </w:rPr>
        <w:t>铭记</w:t>
      </w:r>
      <w:r>
        <w:rPr>
          <w:rFonts w:hint="eastAsia"/>
        </w:rPr>
        <w:t>可以在组织者、抗议者、地方当局和执法人员相互沟通协作的基础上方便集会的举行，</w:t>
      </w:r>
    </w:p>
    <w:p w:rsidR="00363D96" w:rsidRDefault="00363D96" w:rsidP="00694478">
      <w:pPr>
        <w:pStyle w:val="SingleTxtGC"/>
        <w:ind w:firstLine="431"/>
        <w:rPr>
          <w:rFonts w:hint="eastAsia"/>
        </w:rPr>
      </w:pPr>
      <w:r w:rsidRPr="00C17341">
        <w:rPr>
          <w:rFonts w:ascii="Time New Roman" w:eastAsia="楷体" w:hAnsi="Time New Roman" w:hint="eastAsia"/>
        </w:rPr>
        <w:t>确认</w:t>
      </w:r>
      <w:r>
        <w:rPr>
          <w:rFonts w:hint="eastAsia"/>
        </w:rPr>
        <w:t>国家人权机构和包括非政府组织在内的民间社会代表可发挥有益作用，促进参加和平抗议的个人与有关当局不断对话，</w:t>
      </w:r>
    </w:p>
    <w:p w:rsidR="00363D96" w:rsidRDefault="00363D96" w:rsidP="00694478">
      <w:pPr>
        <w:pStyle w:val="SingleTxtGC"/>
        <w:ind w:firstLine="431"/>
        <w:rPr>
          <w:rFonts w:hint="eastAsia"/>
        </w:rPr>
      </w:pPr>
      <w:r w:rsidRPr="00C17341">
        <w:rPr>
          <w:rFonts w:ascii="Time New Roman" w:eastAsia="楷体" w:hAnsi="Time New Roman" w:hint="eastAsia"/>
        </w:rPr>
        <w:t>强调</w:t>
      </w:r>
      <w:r>
        <w:rPr>
          <w:rFonts w:hint="eastAsia"/>
        </w:rPr>
        <w:t>需要确保对抗议活动中的侵犯或践踏人权行为全面追究责任，包括调查此类侵犯和践踏人权行为并起诉责任人，</w:t>
      </w:r>
    </w:p>
    <w:p w:rsidR="00363D96" w:rsidRDefault="00363D96" w:rsidP="00694478">
      <w:pPr>
        <w:pStyle w:val="SingleTxtGC"/>
        <w:ind w:firstLine="431"/>
        <w:rPr>
          <w:rFonts w:hint="eastAsia"/>
        </w:rPr>
      </w:pPr>
      <w:r w:rsidRPr="00C17341">
        <w:rPr>
          <w:rFonts w:ascii="Time New Roman" w:eastAsia="楷体" w:hAnsi="Time New Roman" w:hint="eastAsia"/>
        </w:rPr>
        <w:t>回顾</w:t>
      </w:r>
      <w:r>
        <w:rPr>
          <w:rFonts w:hint="eastAsia"/>
        </w:rPr>
        <w:t>《执法人员行为守则》、《执法人员使用武力和火器的基本原则》和《关于或属非法致死事件调查的明尼苏达规程》</w:t>
      </w:r>
      <w:r>
        <w:rPr>
          <w:rFonts w:hint="eastAsia"/>
        </w:rPr>
        <w:t>(2016</w:t>
      </w:r>
      <w:r>
        <w:rPr>
          <w:rFonts w:hint="eastAsia"/>
        </w:rPr>
        <w:t>年</w:t>
      </w:r>
      <w:r>
        <w:rPr>
          <w:rFonts w:hint="eastAsia"/>
        </w:rPr>
        <w:t>)</w:t>
      </w:r>
      <w:r>
        <w:rPr>
          <w:rFonts w:hint="eastAsia"/>
        </w:rPr>
        <w:t>，</w:t>
      </w:r>
    </w:p>
    <w:p w:rsidR="00363D96" w:rsidRDefault="00363D96" w:rsidP="00694478">
      <w:pPr>
        <w:pStyle w:val="SingleTxtGC"/>
        <w:ind w:firstLine="431"/>
        <w:rPr>
          <w:rFonts w:hint="eastAsia"/>
        </w:rPr>
      </w:pPr>
      <w:r w:rsidRPr="00C17341">
        <w:rPr>
          <w:rFonts w:ascii="Time New Roman" w:eastAsia="楷体" w:hAnsi="Time New Roman" w:hint="eastAsia"/>
        </w:rPr>
        <w:t>注意到</w:t>
      </w:r>
      <w:r>
        <w:rPr>
          <w:rFonts w:hint="eastAsia"/>
        </w:rPr>
        <w:t>联合国人权事务高级专员办事处印发了《联合国关于执法中使用低致命武器的人权指南》，作为《执法人员使用武力和火器的基本原则》的补充，并吁请各国考虑在与集会有关的执法行动中适用该指南，</w:t>
      </w:r>
    </w:p>
    <w:p w:rsidR="00363D96" w:rsidRDefault="00363D96" w:rsidP="00694478">
      <w:pPr>
        <w:pStyle w:val="SingleTxtGC"/>
        <w:ind w:firstLine="431"/>
        <w:rPr>
          <w:rFonts w:hint="eastAsia"/>
        </w:rPr>
      </w:pPr>
      <w:r w:rsidRPr="00C17341">
        <w:rPr>
          <w:rFonts w:ascii="Time New Roman" w:eastAsia="楷体" w:hAnsi="Time New Roman" w:hint="eastAsia"/>
        </w:rPr>
        <w:lastRenderedPageBreak/>
        <w:t>鼓励</w:t>
      </w:r>
      <w:r>
        <w:rPr>
          <w:rFonts w:hint="eastAsia"/>
        </w:rPr>
        <w:t>各国妥善利用高级专员办事处与联合国毒品和犯罪问题办公室发布的《关于在执法中使用武力和火器的资料手册》，以及高级专员办事处关于人权法与执法问题的最新培训包，</w:t>
      </w:r>
    </w:p>
    <w:p w:rsidR="00363D96" w:rsidRDefault="00363D96" w:rsidP="00694478">
      <w:pPr>
        <w:pStyle w:val="SingleTxtGC"/>
        <w:ind w:firstLine="431"/>
        <w:rPr>
          <w:rFonts w:hint="eastAsia"/>
        </w:rPr>
      </w:pPr>
      <w:r w:rsidRPr="00C17341">
        <w:rPr>
          <w:rFonts w:ascii="Time New Roman" w:eastAsia="楷体" w:hAnsi="Time New Roman" w:hint="eastAsia"/>
        </w:rPr>
        <w:t>回顾</w:t>
      </w:r>
      <w:r>
        <w:rPr>
          <w:rFonts w:hint="eastAsia"/>
        </w:rPr>
        <w:t>必须对分配至集会管理的公职部门或私营部门执法人员进行适当培训、为其提供适当装备、对其进行适当监督和问责，并在可行的情况下尽量避免派遣军事人员履行此类职责，同时重申在执法过程中使用武力方面的国际义务和承诺也适用于履行执法职责的军人，并重申私营部门执法人员应尊重国际公认的标准，</w:t>
      </w:r>
    </w:p>
    <w:p w:rsidR="00363D96" w:rsidRDefault="00363D96" w:rsidP="00694478">
      <w:pPr>
        <w:pStyle w:val="SingleTxtGC"/>
        <w:ind w:firstLine="431"/>
        <w:rPr>
          <w:rFonts w:hint="eastAsia"/>
        </w:rPr>
      </w:pPr>
      <w:r w:rsidRPr="00C17341">
        <w:rPr>
          <w:rFonts w:ascii="Time New Roman" w:eastAsia="楷体" w:hAnsi="Time New Roman" w:hint="eastAsia"/>
        </w:rPr>
        <w:t>赞赏地注意到</w:t>
      </w:r>
      <w:r>
        <w:rPr>
          <w:rFonts w:hint="eastAsia"/>
        </w:rPr>
        <w:t>和平集会自由权和结社自由权特别报告员在</w:t>
      </w:r>
      <w:proofErr w:type="spellStart"/>
      <w:r>
        <w:rPr>
          <w:rFonts w:hint="eastAsia"/>
        </w:rPr>
        <w:t>COVID</w:t>
      </w:r>
      <w:proofErr w:type="spellEnd"/>
      <w:r>
        <w:rPr>
          <w:rFonts w:hint="eastAsia"/>
        </w:rPr>
        <w:t>-19</w:t>
      </w:r>
      <w:r>
        <w:rPr>
          <w:rFonts w:hint="eastAsia"/>
        </w:rPr>
        <w:t>大流行背景下提供的指导意见，</w:t>
      </w:r>
      <w:r w:rsidR="00AE2571">
        <w:rPr>
          <w:rStyle w:val="a8"/>
        </w:rPr>
        <w:footnoteReference w:id="3"/>
      </w:r>
    </w:p>
    <w:p w:rsidR="00363D96" w:rsidRDefault="00363D96" w:rsidP="00694478">
      <w:pPr>
        <w:pStyle w:val="SingleTxtGC"/>
        <w:ind w:firstLine="431"/>
        <w:rPr>
          <w:rFonts w:hint="eastAsia"/>
        </w:rPr>
      </w:pPr>
      <w:r w:rsidRPr="00C17341">
        <w:rPr>
          <w:rFonts w:ascii="Time New Roman" w:eastAsia="楷体" w:hAnsi="Time New Roman" w:hint="eastAsia"/>
        </w:rPr>
        <w:t>着重指出</w:t>
      </w:r>
      <w:r>
        <w:rPr>
          <w:rFonts w:hint="eastAsia"/>
        </w:rPr>
        <w:t>，不应以</w:t>
      </w:r>
      <w:proofErr w:type="spellStart"/>
      <w:r>
        <w:rPr>
          <w:rFonts w:hint="eastAsia"/>
        </w:rPr>
        <w:t>COVID</w:t>
      </w:r>
      <w:proofErr w:type="spellEnd"/>
      <w:r>
        <w:rPr>
          <w:rFonts w:hint="eastAsia"/>
        </w:rPr>
        <w:t>-19</w:t>
      </w:r>
      <w:r>
        <w:rPr>
          <w:rFonts w:hint="eastAsia"/>
        </w:rPr>
        <w:t>大流行造成的健康风险等考虑因素为由，不必要或不相称地限制人权和基本自由，如和平集会自由权、言论自由权和结社自由权；对国际文书所保障的人权实施任何限制，都必须符合这些文书中规定的严格要求，</w:t>
      </w:r>
    </w:p>
    <w:p w:rsidR="00363D96" w:rsidRDefault="00363D96" w:rsidP="00694478">
      <w:pPr>
        <w:pStyle w:val="SingleTxtGC"/>
        <w:ind w:firstLine="431"/>
        <w:rPr>
          <w:rFonts w:hint="eastAsia"/>
        </w:rPr>
      </w:pPr>
      <w:r>
        <w:rPr>
          <w:rFonts w:hint="eastAsia"/>
        </w:rPr>
        <w:t>1.</w:t>
      </w:r>
      <w:r>
        <w:rPr>
          <w:rFonts w:hint="eastAsia"/>
        </w:rPr>
        <w:tab/>
      </w:r>
      <w:r w:rsidR="00A11A32" w:rsidRPr="00A11A32">
        <w:rPr>
          <w:rFonts w:ascii="Time New Roman" w:eastAsia="楷体" w:hAnsi="Time New Roman" w:hint="eastAsia"/>
        </w:rPr>
        <w:t>欢迎</w:t>
      </w:r>
      <w:r>
        <w:rPr>
          <w:rFonts w:hint="eastAsia"/>
        </w:rPr>
        <w:t>联合国人权事务高级专员根据人权理事会第</w:t>
      </w:r>
      <w:r>
        <w:rPr>
          <w:rFonts w:hint="eastAsia"/>
        </w:rPr>
        <w:t>38/11</w:t>
      </w:r>
      <w:r>
        <w:rPr>
          <w:rFonts w:hint="eastAsia"/>
        </w:rPr>
        <w:t>号决议提交的关于新技术对在集会背景下促进和保护人权的影响的专题报告；</w:t>
      </w:r>
      <w:r w:rsidR="00AE2571">
        <w:rPr>
          <w:rStyle w:val="a8"/>
        </w:rPr>
        <w:footnoteReference w:id="4"/>
      </w:r>
    </w:p>
    <w:p w:rsidR="00363D96" w:rsidRDefault="00363D96" w:rsidP="00694478">
      <w:pPr>
        <w:pStyle w:val="SingleTxtGC"/>
        <w:ind w:firstLine="431"/>
        <w:rPr>
          <w:rFonts w:hint="eastAsia"/>
        </w:rPr>
      </w:pPr>
      <w:r>
        <w:rPr>
          <w:rFonts w:hint="eastAsia"/>
        </w:rPr>
        <w:t>2.</w:t>
      </w:r>
      <w:r>
        <w:rPr>
          <w:rFonts w:hint="eastAsia"/>
        </w:rPr>
        <w:tab/>
      </w:r>
      <w:r w:rsidRPr="004F11B6">
        <w:rPr>
          <w:rFonts w:ascii="Time New Roman" w:eastAsia="楷体" w:hAnsi="Time New Roman" w:hint="eastAsia"/>
        </w:rPr>
        <w:t>表示深为关切</w:t>
      </w:r>
      <w:r>
        <w:rPr>
          <w:rFonts w:hint="eastAsia"/>
        </w:rPr>
        <w:t>和平抗议遭到镇压的情况，包括执法人员非法使用武力、任意逮捕和拘留、酷刑和强迫失踪、封网以及袭击抗议者、旁观者、人权维护者、记者和其他媒体工作者；</w:t>
      </w:r>
    </w:p>
    <w:p w:rsidR="00363D96" w:rsidRDefault="00363D96" w:rsidP="00694478">
      <w:pPr>
        <w:pStyle w:val="SingleTxtGC"/>
        <w:ind w:firstLine="431"/>
        <w:rPr>
          <w:rFonts w:hint="eastAsia"/>
        </w:rPr>
      </w:pPr>
      <w:r>
        <w:rPr>
          <w:rFonts w:hint="eastAsia"/>
        </w:rPr>
        <w:t>3.</w:t>
      </w:r>
      <w:r>
        <w:rPr>
          <w:rFonts w:hint="eastAsia"/>
        </w:rPr>
        <w:tab/>
      </w:r>
      <w:r w:rsidRPr="004F11B6">
        <w:rPr>
          <w:rFonts w:ascii="Time New Roman" w:eastAsia="楷体" w:hAnsi="Time New Roman" w:hint="eastAsia"/>
        </w:rPr>
        <w:t>回顾</w:t>
      </w:r>
      <w:r>
        <w:rPr>
          <w:rFonts w:hint="eastAsia"/>
        </w:rPr>
        <w:t>各国有责任，包括在和平抗议的背景下，促进和保护人权，防止侵犯和践踏人权行为，包括法外处决、</w:t>
      </w:r>
      <w:r w:rsidRPr="00A11A32">
        <w:rPr>
          <w:rFonts w:hint="eastAsia"/>
        </w:rPr>
        <w:t>即决</w:t>
      </w:r>
      <w:r w:rsidR="00A11A32">
        <w:rPr>
          <w:rFonts w:hint="eastAsia"/>
        </w:rPr>
        <w:t>处决</w:t>
      </w:r>
      <w:r>
        <w:rPr>
          <w:rFonts w:hint="eastAsia"/>
        </w:rPr>
        <w:t>或任意处决、任意逮捕和拘留、强迫失踪、酷刑和其他残忍、不人道或有辱人格的待遇或处罚；吁请各国在任何时候避免滥用或威胁滥用刑事或民事诉讼程序；</w:t>
      </w:r>
    </w:p>
    <w:p w:rsidR="00363D96" w:rsidRDefault="00363D96" w:rsidP="00694478">
      <w:pPr>
        <w:pStyle w:val="SingleTxtGC"/>
        <w:ind w:firstLine="431"/>
        <w:rPr>
          <w:rFonts w:hint="eastAsia"/>
        </w:rPr>
      </w:pPr>
      <w:r>
        <w:rPr>
          <w:rFonts w:hint="eastAsia"/>
        </w:rPr>
        <w:t>4.</w:t>
      </w:r>
      <w:r>
        <w:rPr>
          <w:rFonts w:hint="eastAsia"/>
        </w:rPr>
        <w:tab/>
      </w:r>
      <w:r w:rsidRPr="004F11B6">
        <w:rPr>
          <w:rFonts w:ascii="Time New Roman" w:eastAsia="楷体" w:hAnsi="Time New Roman" w:hint="eastAsia"/>
        </w:rPr>
        <w:t>吁请</w:t>
      </w:r>
      <w:r>
        <w:rPr>
          <w:rFonts w:hint="eastAsia"/>
        </w:rPr>
        <w:t>各国营造安全和有利</w:t>
      </w:r>
      <w:bookmarkStart w:id="0" w:name="_GoBack"/>
      <w:bookmarkEnd w:id="0"/>
      <w:r>
        <w:rPr>
          <w:rFonts w:hint="eastAsia"/>
        </w:rPr>
        <w:t>的环境，以便于个人和团体在线上和线下行使和平集会自由权、表达自由权和结社自由权，包括确保涉及和平集会自由权、表达自由权和结社自由权的国内立法和程序符合其国际人权义务和承诺，清楚明确地确立有利于行使这些权利的前提推定，并确保这些权利得到有效落实；</w:t>
      </w:r>
    </w:p>
    <w:p w:rsidR="00363D96" w:rsidRDefault="00363D96" w:rsidP="00694478">
      <w:pPr>
        <w:pStyle w:val="SingleTxtGC"/>
        <w:ind w:firstLine="431"/>
        <w:rPr>
          <w:rFonts w:hint="eastAsia"/>
        </w:rPr>
      </w:pPr>
      <w:r>
        <w:rPr>
          <w:rFonts w:hint="eastAsia"/>
        </w:rPr>
        <w:t>5.</w:t>
      </w:r>
      <w:r>
        <w:rPr>
          <w:rFonts w:hint="eastAsia"/>
        </w:rPr>
        <w:tab/>
      </w:r>
      <w:r w:rsidRPr="004F11B6">
        <w:rPr>
          <w:rFonts w:ascii="Time New Roman" w:eastAsia="楷体" w:hAnsi="Time New Roman" w:hint="eastAsia"/>
        </w:rPr>
        <w:t>又吁请</w:t>
      </w:r>
      <w:r>
        <w:rPr>
          <w:rFonts w:hint="eastAsia"/>
        </w:rPr>
        <w:t>各国确保在</w:t>
      </w:r>
      <w:proofErr w:type="spellStart"/>
      <w:r>
        <w:rPr>
          <w:rFonts w:hint="eastAsia"/>
        </w:rPr>
        <w:t>COVID</w:t>
      </w:r>
      <w:proofErr w:type="spellEnd"/>
      <w:r>
        <w:rPr>
          <w:rFonts w:hint="eastAsia"/>
        </w:rPr>
        <w:t>-19</w:t>
      </w:r>
      <w:r>
        <w:rPr>
          <w:rFonts w:hint="eastAsia"/>
        </w:rPr>
        <w:t>大流行等紧急情况期间也尊重、保护和落实所有人权，并确保各国的应对行动完全符合其人权义务和承诺；</w:t>
      </w:r>
    </w:p>
    <w:p w:rsidR="00363D96" w:rsidRDefault="00363D96" w:rsidP="00694478">
      <w:pPr>
        <w:pStyle w:val="SingleTxtGC"/>
        <w:ind w:firstLine="431"/>
        <w:rPr>
          <w:rFonts w:hint="eastAsia"/>
        </w:rPr>
      </w:pPr>
      <w:r>
        <w:rPr>
          <w:rFonts w:hint="eastAsia"/>
        </w:rPr>
        <w:t>6.</w:t>
      </w:r>
      <w:r>
        <w:rPr>
          <w:rFonts w:hint="eastAsia"/>
        </w:rPr>
        <w:tab/>
      </w:r>
      <w:r w:rsidRPr="004F11B6">
        <w:rPr>
          <w:rFonts w:ascii="Time New Roman" w:eastAsia="楷体" w:hAnsi="Time New Roman" w:hint="eastAsia"/>
        </w:rPr>
        <w:t>鼓励</w:t>
      </w:r>
      <w:r>
        <w:rPr>
          <w:rFonts w:hint="eastAsia"/>
        </w:rPr>
        <w:t>各国对根据最佳做法和经验教训编写的妥善管理集会问题实用建议汇编</w:t>
      </w:r>
      <w:r w:rsidR="008C357C">
        <w:rPr>
          <w:rStyle w:val="a8"/>
        </w:rPr>
        <w:footnoteReference w:id="5"/>
      </w:r>
      <w:r>
        <w:rPr>
          <w:rFonts w:hint="eastAsia"/>
        </w:rPr>
        <w:t xml:space="preserve"> </w:t>
      </w:r>
      <w:r>
        <w:rPr>
          <w:rFonts w:hint="eastAsia"/>
        </w:rPr>
        <w:t>给予应有的考虑，该汇编为各国提供了一项有益的工具，说明如何履行它们的义务和承诺，包括如何在本国的法律、程序和惯例中落实这种义务和承诺，在包括和平抗议在内的集会背景下促进和保护人权；</w:t>
      </w:r>
    </w:p>
    <w:p w:rsidR="00363D96" w:rsidRDefault="00363D96" w:rsidP="00694478">
      <w:pPr>
        <w:pStyle w:val="SingleTxtGC"/>
        <w:ind w:firstLine="431"/>
        <w:rPr>
          <w:rFonts w:hint="eastAsia"/>
        </w:rPr>
      </w:pPr>
      <w:r>
        <w:rPr>
          <w:rFonts w:hint="eastAsia"/>
        </w:rPr>
        <w:lastRenderedPageBreak/>
        <w:t>7.</w:t>
      </w:r>
      <w:r>
        <w:rPr>
          <w:rFonts w:hint="eastAsia"/>
        </w:rPr>
        <w:tab/>
      </w:r>
      <w:r w:rsidRPr="004F11B6">
        <w:rPr>
          <w:rFonts w:ascii="Time New Roman" w:eastAsia="楷体" w:hAnsi="Time New Roman" w:hint="eastAsia"/>
        </w:rPr>
        <w:t>吁请</w:t>
      </w:r>
      <w:r>
        <w:rPr>
          <w:rFonts w:hint="eastAsia"/>
        </w:rPr>
        <w:t>各国为和平抗议提供便利，在可能的限度内准许抗议者提供进入目标受众视力和听力所及的公共空间，并在必要时不加歧视地保护抗议者免受任何形式的威胁或骚扰；着重指出地方当局应在这方面发挥作用；</w:t>
      </w:r>
    </w:p>
    <w:p w:rsidR="00363D96" w:rsidRDefault="00363D96" w:rsidP="00694478">
      <w:pPr>
        <w:pStyle w:val="SingleTxtGC"/>
        <w:ind w:firstLine="431"/>
        <w:rPr>
          <w:rFonts w:hint="eastAsia"/>
        </w:rPr>
      </w:pPr>
      <w:r>
        <w:rPr>
          <w:rFonts w:hint="eastAsia"/>
        </w:rPr>
        <w:t>8.</w:t>
      </w:r>
      <w:r>
        <w:rPr>
          <w:rFonts w:hint="eastAsia"/>
        </w:rPr>
        <w:tab/>
      </w:r>
      <w:r w:rsidRPr="004F11B6">
        <w:rPr>
          <w:rFonts w:ascii="Time New Roman" w:eastAsia="楷体" w:hAnsi="Time New Roman" w:hint="eastAsia"/>
        </w:rPr>
        <w:t>着重指出</w:t>
      </w:r>
      <w:r>
        <w:rPr>
          <w:rFonts w:hint="eastAsia"/>
        </w:rPr>
        <w:t>，组织者、抗议者、地方当局和执法人员之间的沟通可在诸如和平抗议之类集会的妥善管理方面发挥重要作用；吁请各国建立此类适当渠道；</w:t>
      </w:r>
    </w:p>
    <w:p w:rsidR="00363D96" w:rsidRDefault="00363D96" w:rsidP="00694478">
      <w:pPr>
        <w:pStyle w:val="SingleTxtGC"/>
        <w:ind w:firstLine="431"/>
        <w:rPr>
          <w:rFonts w:hint="eastAsia"/>
        </w:rPr>
      </w:pPr>
      <w:r>
        <w:rPr>
          <w:rFonts w:hint="eastAsia"/>
        </w:rPr>
        <w:t>9.</w:t>
      </w:r>
      <w:r>
        <w:rPr>
          <w:rFonts w:hint="eastAsia"/>
        </w:rPr>
        <w:tab/>
      </w:r>
      <w:r w:rsidRPr="004F11B6">
        <w:rPr>
          <w:rFonts w:ascii="Time New Roman" w:eastAsia="楷体" w:hAnsi="Time New Roman" w:hint="eastAsia"/>
        </w:rPr>
        <w:t>敦促</w:t>
      </w:r>
      <w:r>
        <w:rPr>
          <w:rFonts w:hint="eastAsia"/>
        </w:rPr>
        <w:t>各国特别关注参加和平抗议的妇女和女童以及妇女人权维护者的安全和保护，以防她们遭受恐吓和骚扰，以及包括性攻击在内的性别暴力；</w:t>
      </w:r>
    </w:p>
    <w:p w:rsidR="00363D96" w:rsidRDefault="00363D96" w:rsidP="00694478">
      <w:pPr>
        <w:pStyle w:val="SingleTxtGC"/>
        <w:ind w:firstLine="431"/>
        <w:rPr>
          <w:rFonts w:hint="eastAsia"/>
        </w:rPr>
      </w:pPr>
      <w:r>
        <w:rPr>
          <w:rFonts w:hint="eastAsia"/>
        </w:rPr>
        <w:t>10.</w:t>
      </w:r>
      <w:r>
        <w:rPr>
          <w:rFonts w:hint="eastAsia"/>
        </w:rPr>
        <w:tab/>
      </w:r>
      <w:r w:rsidRPr="004F11B6">
        <w:rPr>
          <w:rFonts w:ascii="Time New Roman" w:eastAsia="楷体" w:hAnsi="Time New Roman" w:hint="eastAsia"/>
        </w:rPr>
        <w:t>重申</w:t>
      </w:r>
      <w:r>
        <w:rPr>
          <w:rFonts w:hint="eastAsia"/>
        </w:rPr>
        <w:t>各国必须采取一切适当措施，确保儿童的安全和保护，包括保护他们在和平抗议等背景下行使和平集会自由权、表达自由权和结社自由权时的安全；</w:t>
      </w:r>
    </w:p>
    <w:p w:rsidR="00363D96" w:rsidRDefault="00363D96" w:rsidP="00694478">
      <w:pPr>
        <w:pStyle w:val="SingleTxtGC"/>
        <w:ind w:firstLine="431"/>
        <w:rPr>
          <w:rFonts w:hint="eastAsia"/>
        </w:rPr>
      </w:pPr>
      <w:r>
        <w:rPr>
          <w:rFonts w:hint="eastAsia"/>
        </w:rPr>
        <w:t>11.</w:t>
      </w:r>
      <w:r>
        <w:rPr>
          <w:rFonts w:hint="eastAsia"/>
        </w:rPr>
        <w:tab/>
      </w:r>
      <w:r w:rsidRPr="004F11B6">
        <w:rPr>
          <w:rFonts w:ascii="Time New Roman" w:eastAsia="楷体" w:hAnsi="Time New Roman" w:hint="eastAsia"/>
        </w:rPr>
        <w:t>吁请</w:t>
      </w:r>
      <w:r>
        <w:rPr>
          <w:rFonts w:hint="eastAsia"/>
        </w:rPr>
        <w:t>各国考虑到观察、监测和记录和平抗议的人权维护者、记者和媒体工作者作用特殊、面临风险且容易成为目标，对他们的安全予以特别关注；</w:t>
      </w:r>
    </w:p>
    <w:p w:rsidR="00363D96" w:rsidRDefault="00363D96" w:rsidP="00694478">
      <w:pPr>
        <w:pStyle w:val="SingleTxtGC"/>
        <w:ind w:firstLine="431"/>
        <w:rPr>
          <w:rFonts w:hint="eastAsia"/>
        </w:rPr>
      </w:pPr>
      <w:r>
        <w:rPr>
          <w:rFonts w:hint="eastAsia"/>
        </w:rPr>
        <w:t>12.</w:t>
      </w:r>
      <w:r>
        <w:rPr>
          <w:rFonts w:hint="eastAsia"/>
        </w:rPr>
        <w:tab/>
      </w:r>
      <w:r w:rsidRPr="004F11B6">
        <w:rPr>
          <w:rFonts w:ascii="Time New Roman" w:eastAsia="楷体" w:hAnsi="Time New Roman" w:hint="eastAsia"/>
        </w:rPr>
        <w:t>强调</w:t>
      </w:r>
      <w:r>
        <w:rPr>
          <w:rFonts w:hint="eastAsia"/>
        </w:rPr>
        <w:t>在真实世界中的集会受到限制的情况下，更有必要确保互联网的访问和使用，为此应避免施加不当限制，如封网或在线审查，采取措施确保全球所有人都能访问互联网，并充分尊重和保护每个人的隐私权；</w:t>
      </w:r>
    </w:p>
    <w:p w:rsidR="00363D96" w:rsidRDefault="00363D96" w:rsidP="00694478">
      <w:pPr>
        <w:pStyle w:val="SingleTxtGC"/>
        <w:ind w:firstLine="431"/>
        <w:rPr>
          <w:rFonts w:hint="eastAsia"/>
        </w:rPr>
      </w:pPr>
      <w:r>
        <w:rPr>
          <w:rFonts w:hint="eastAsia"/>
        </w:rPr>
        <w:t>13.</w:t>
      </w:r>
      <w:r>
        <w:rPr>
          <w:rFonts w:hint="eastAsia"/>
        </w:rPr>
        <w:tab/>
      </w:r>
      <w:r w:rsidRPr="004F11B6">
        <w:rPr>
          <w:rFonts w:ascii="Time New Roman" w:eastAsia="楷体" w:hAnsi="Time New Roman" w:hint="eastAsia"/>
        </w:rPr>
        <w:t>吁请</w:t>
      </w:r>
      <w:r>
        <w:rPr>
          <w:rFonts w:hint="eastAsia"/>
        </w:rPr>
        <w:t>各国在违反国际人权法时，避免并停止旨在封网和关闭电子通信，或以其他方式阻止互联网用户在网上获取或传播信息或在网络空间集会的措施；</w:t>
      </w:r>
    </w:p>
    <w:p w:rsidR="00363D96" w:rsidRDefault="00363D96" w:rsidP="00694478">
      <w:pPr>
        <w:pStyle w:val="SingleTxtGC"/>
        <w:ind w:firstLine="431"/>
        <w:rPr>
          <w:rFonts w:hint="eastAsia"/>
        </w:rPr>
      </w:pPr>
      <w:r>
        <w:rPr>
          <w:rFonts w:hint="eastAsia"/>
        </w:rPr>
        <w:t>14.</w:t>
      </w:r>
      <w:r>
        <w:rPr>
          <w:rFonts w:hint="eastAsia"/>
        </w:rPr>
        <w:tab/>
      </w:r>
      <w:r w:rsidRPr="004F11B6">
        <w:rPr>
          <w:rFonts w:ascii="Time New Roman" w:eastAsia="楷体" w:hAnsi="Time New Roman" w:hint="eastAsia"/>
        </w:rPr>
        <w:t>促请</w:t>
      </w:r>
      <w:r>
        <w:rPr>
          <w:rFonts w:hint="eastAsia"/>
        </w:rPr>
        <w:t>各国避免在和平抗议期间使用武力，确保在绝对需要武力的情况下，不得对任何人过度或无差别地使用武力，并确保任何受伤或受害人员尽早得到救援和医护；</w:t>
      </w:r>
    </w:p>
    <w:p w:rsidR="00363D96" w:rsidRDefault="00363D96" w:rsidP="00694478">
      <w:pPr>
        <w:pStyle w:val="SingleTxtGC"/>
        <w:ind w:firstLine="431"/>
        <w:rPr>
          <w:rFonts w:hint="eastAsia"/>
        </w:rPr>
      </w:pPr>
      <w:r>
        <w:rPr>
          <w:rFonts w:hint="eastAsia"/>
        </w:rPr>
        <w:t>15.</w:t>
      </w:r>
      <w:r>
        <w:rPr>
          <w:rFonts w:hint="eastAsia"/>
        </w:rPr>
        <w:tab/>
      </w:r>
      <w:r w:rsidRPr="004F11B6">
        <w:rPr>
          <w:rFonts w:ascii="Time New Roman" w:eastAsia="楷体" w:hAnsi="Time New Roman" w:hint="eastAsia"/>
        </w:rPr>
        <w:t>吁请</w:t>
      </w:r>
      <w:r>
        <w:rPr>
          <w:rFonts w:hint="eastAsia"/>
        </w:rPr>
        <w:t>各国优先确保国内立法和程序符合其关于执法过程中使用武力方面的国际义务和承诺并得到执法人员的切实执行，尤其是必要性和相称性等适用的执法原则，同时铭记致命武力只可作为不得已采用的最后手段用以防范迫在眉睫的生命威胁，不得仅仅为驱散集会即予使用；</w:t>
      </w:r>
    </w:p>
    <w:p w:rsidR="00363D96" w:rsidRDefault="00363D96" w:rsidP="00694478">
      <w:pPr>
        <w:pStyle w:val="SingleTxtGC"/>
        <w:ind w:firstLine="431"/>
        <w:rPr>
          <w:rFonts w:hint="eastAsia"/>
        </w:rPr>
      </w:pPr>
      <w:r>
        <w:rPr>
          <w:rFonts w:hint="eastAsia"/>
        </w:rPr>
        <w:t>16.</w:t>
      </w:r>
      <w:r>
        <w:rPr>
          <w:rFonts w:hint="eastAsia"/>
        </w:rPr>
        <w:tab/>
      </w:r>
      <w:r w:rsidRPr="004F11B6">
        <w:rPr>
          <w:rFonts w:ascii="Time New Roman" w:eastAsia="楷体" w:hAnsi="Time New Roman" w:hint="eastAsia"/>
        </w:rPr>
        <w:t>申明</w:t>
      </w:r>
      <w:r>
        <w:rPr>
          <w:rFonts w:hint="eastAsia"/>
        </w:rPr>
        <w:t>绝无理由不加区分地对人群使用致命武力，这属于国际人权法下的非法行为；</w:t>
      </w:r>
    </w:p>
    <w:p w:rsidR="00363D96" w:rsidRDefault="00363D96" w:rsidP="00694478">
      <w:pPr>
        <w:pStyle w:val="SingleTxtGC"/>
        <w:ind w:firstLine="431"/>
        <w:rPr>
          <w:rFonts w:hint="eastAsia"/>
        </w:rPr>
      </w:pPr>
      <w:r>
        <w:rPr>
          <w:rFonts w:hint="eastAsia"/>
        </w:rPr>
        <w:t>17.</w:t>
      </w:r>
      <w:r>
        <w:rPr>
          <w:rFonts w:hint="eastAsia"/>
        </w:rPr>
        <w:tab/>
      </w:r>
      <w:r w:rsidRPr="006760F7">
        <w:rPr>
          <w:rFonts w:ascii="Time New Roman" w:eastAsia="楷体" w:hAnsi="Time New Roman" w:hint="eastAsia"/>
        </w:rPr>
        <w:t>吁请</w:t>
      </w:r>
      <w:r>
        <w:rPr>
          <w:rFonts w:hint="eastAsia"/>
        </w:rPr>
        <w:t>各国调查抗议期间发生的任何死亡或重大伤害包括致残情况，包括因执法人员或代表国家行事的私营部门人员用火器开火或使用低致命武器所致伤亡情况；</w:t>
      </w:r>
    </w:p>
    <w:p w:rsidR="00363D96" w:rsidRDefault="00363D96" w:rsidP="00694478">
      <w:pPr>
        <w:pStyle w:val="SingleTxtGC"/>
        <w:ind w:firstLine="431"/>
        <w:rPr>
          <w:rFonts w:hint="eastAsia"/>
        </w:rPr>
      </w:pPr>
      <w:r>
        <w:rPr>
          <w:rFonts w:hint="eastAsia"/>
        </w:rPr>
        <w:t>18.</w:t>
      </w:r>
      <w:r>
        <w:rPr>
          <w:rFonts w:hint="eastAsia"/>
        </w:rPr>
        <w:tab/>
      </w:r>
      <w:r w:rsidRPr="006760F7">
        <w:rPr>
          <w:rFonts w:ascii="Time New Roman" w:eastAsia="楷体" w:hAnsi="Time New Roman" w:hint="eastAsia"/>
        </w:rPr>
        <w:t>又吁请</w:t>
      </w:r>
      <w:r>
        <w:rPr>
          <w:rFonts w:hint="eastAsia"/>
        </w:rPr>
        <w:t>各国确保执法人员，酌情促进代表国家行事的私营部门人员接受充分培训，包括国际人权法、适当时还包括国际人道主义法方面的充分培训；为此促请各国将运用缓和对抗局面的策略纳入此类培训；</w:t>
      </w:r>
    </w:p>
    <w:p w:rsidR="00363D96" w:rsidRDefault="00363D96" w:rsidP="00694478">
      <w:pPr>
        <w:pStyle w:val="SingleTxtGC"/>
        <w:ind w:firstLine="431"/>
        <w:rPr>
          <w:rFonts w:hint="eastAsia"/>
        </w:rPr>
      </w:pPr>
      <w:r>
        <w:rPr>
          <w:rFonts w:hint="eastAsia"/>
        </w:rPr>
        <w:t>19.</w:t>
      </w:r>
      <w:r>
        <w:rPr>
          <w:rFonts w:hint="eastAsia"/>
        </w:rPr>
        <w:tab/>
      </w:r>
      <w:r w:rsidRPr="006760F7">
        <w:rPr>
          <w:rFonts w:ascii="Time New Roman" w:eastAsia="楷体" w:hAnsi="Time New Roman" w:hint="eastAsia"/>
        </w:rPr>
        <w:t>鼓励</w:t>
      </w:r>
      <w:r>
        <w:rPr>
          <w:rFonts w:hint="eastAsia"/>
        </w:rPr>
        <w:t>各国向执法人员提供适当的防护装备和低致命武器，从而减少他们使用任何种类武器的必要，同时继续努力规范低致命武器的培训和使用并制定相应规程，牢记即便低致命武器也会造成生命危险或重伤；</w:t>
      </w:r>
    </w:p>
    <w:p w:rsidR="00363D96" w:rsidRDefault="00363D96" w:rsidP="00694478">
      <w:pPr>
        <w:pStyle w:val="SingleTxtGC"/>
        <w:ind w:firstLine="431"/>
        <w:rPr>
          <w:rFonts w:hint="eastAsia"/>
        </w:rPr>
      </w:pPr>
      <w:r>
        <w:rPr>
          <w:rFonts w:hint="eastAsia"/>
        </w:rPr>
        <w:lastRenderedPageBreak/>
        <w:t>20.</w:t>
      </w:r>
      <w:r>
        <w:rPr>
          <w:rFonts w:hint="eastAsia"/>
        </w:rPr>
        <w:tab/>
      </w:r>
      <w:r w:rsidRPr="006760F7">
        <w:rPr>
          <w:rFonts w:ascii="Time New Roman" w:eastAsia="楷体" w:hAnsi="Time New Roman" w:hint="eastAsia"/>
        </w:rPr>
        <w:t>着重指出</w:t>
      </w:r>
      <w:r>
        <w:rPr>
          <w:rFonts w:hint="eastAsia"/>
        </w:rPr>
        <w:t>，低致命性武器在采购和部署前须先通过彻底、独立的测试，从而证明其致命性和可能致伤的程度，并应监督此类武器的妥善培训和使用情况；</w:t>
      </w:r>
    </w:p>
    <w:p w:rsidR="00363D96" w:rsidRDefault="00363D96" w:rsidP="00694478">
      <w:pPr>
        <w:pStyle w:val="SingleTxtGC"/>
        <w:ind w:firstLine="431"/>
        <w:rPr>
          <w:rFonts w:hint="eastAsia"/>
        </w:rPr>
      </w:pPr>
      <w:r>
        <w:rPr>
          <w:rFonts w:hint="eastAsia"/>
        </w:rPr>
        <w:t>21.</w:t>
      </w:r>
      <w:r>
        <w:rPr>
          <w:rFonts w:hint="eastAsia"/>
        </w:rPr>
        <w:tab/>
      </w:r>
      <w:r w:rsidRPr="006760F7">
        <w:rPr>
          <w:rFonts w:ascii="Time New Roman" w:eastAsia="楷体" w:hAnsi="Time New Roman" w:hint="eastAsia"/>
        </w:rPr>
        <w:t>强调</w:t>
      </w:r>
      <w:r>
        <w:rPr>
          <w:rFonts w:hint="eastAsia"/>
        </w:rPr>
        <w:t>必须开展国际合作，支持各国为在包括和平抗议在内的集会背景下促进和保护人权和基本自由</w:t>
      </w:r>
      <w:proofErr w:type="gramStart"/>
      <w:r>
        <w:rPr>
          <w:rFonts w:hint="eastAsia"/>
        </w:rPr>
        <w:t>作出</w:t>
      </w:r>
      <w:proofErr w:type="gramEnd"/>
      <w:r>
        <w:rPr>
          <w:rFonts w:hint="eastAsia"/>
        </w:rPr>
        <w:t>努力，以便提高执法机构以符合国际人权法和标准的方式应对此类集会的能力；</w:t>
      </w:r>
    </w:p>
    <w:p w:rsidR="00363D96" w:rsidRDefault="00363D96" w:rsidP="00694478">
      <w:pPr>
        <w:pStyle w:val="SingleTxtGC"/>
        <w:ind w:firstLine="431"/>
        <w:rPr>
          <w:rFonts w:hint="eastAsia"/>
        </w:rPr>
      </w:pPr>
      <w:r>
        <w:rPr>
          <w:rFonts w:hint="eastAsia"/>
        </w:rPr>
        <w:t>22.</w:t>
      </w:r>
      <w:r>
        <w:rPr>
          <w:rFonts w:hint="eastAsia"/>
        </w:rPr>
        <w:tab/>
      </w:r>
      <w:r w:rsidRPr="006760F7">
        <w:rPr>
          <w:rFonts w:ascii="Time New Roman" w:eastAsia="楷体" w:hAnsi="Time New Roman" w:hint="eastAsia"/>
        </w:rPr>
        <w:t>着重指出</w:t>
      </w:r>
      <w:r>
        <w:rPr>
          <w:rFonts w:hint="eastAsia"/>
        </w:rPr>
        <w:t>，有必要对包括和平抗议在内的集会进行管理，以促使其和平举行，避免抗议者、观察、监测和记录此类集会的人员、旁观者以及执法人员出现伤亡包括致残的情况，防止任何侵犯或践踏人权的行为，确保对此类侵犯和践踏人权的行为追究责任，并向受害者提供获得补救和救济的途径；</w:t>
      </w:r>
    </w:p>
    <w:p w:rsidR="00363D96" w:rsidRDefault="00363D96" w:rsidP="00694478">
      <w:pPr>
        <w:pStyle w:val="SingleTxtGC"/>
        <w:ind w:firstLine="431"/>
        <w:rPr>
          <w:rFonts w:hint="eastAsia"/>
        </w:rPr>
      </w:pPr>
      <w:r>
        <w:rPr>
          <w:rFonts w:hint="eastAsia"/>
        </w:rPr>
        <w:t>23.</w:t>
      </w:r>
      <w:r>
        <w:rPr>
          <w:rFonts w:hint="eastAsia"/>
        </w:rPr>
        <w:tab/>
      </w:r>
      <w:r w:rsidRPr="006760F7">
        <w:rPr>
          <w:rFonts w:ascii="Time New Roman" w:eastAsia="楷体" w:hAnsi="Time New Roman" w:hint="eastAsia"/>
        </w:rPr>
        <w:t>确认</w:t>
      </w:r>
      <w:r>
        <w:rPr>
          <w:rFonts w:hint="eastAsia"/>
        </w:rPr>
        <w:t>必须记录和平抗议背景下实施的侵犯和践踏人权行为，国家人权机构、包括非政府组织在内的民间社会、记者及其他媒体工作者、互联网用户和人权维护者可在这方面发挥作用；</w:t>
      </w:r>
    </w:p>
    <w:p w:rsidR="00363D96" w:rsidRDefault="00363D96" w:rsidP="00694478">
      <w:pPr>
        <w:pStyle w:val="SingleTxtGC"/>
        <w:ind w:firstLine="431"/>
        <w:rPr>
          <w:rFonts w:hint="eastAsia"/>
        </w:rPr>
      </w:pPr>
      <w:r>
        <w:rPr>
          <w:rFonts w:hint="eastAsia"/>
        </w:rPr>
        <w:t>24.</w:t>
      </w:r>
      <w:r>
        <w:rPr>
          <w:rFonts w:hint="eastAsia"/>
        </w:rPr>
        <w:tab/>
      </w:r>
      <w:r w:rsidRPr="006760F7">
        <w:rPr>
          <w:rFonts w:ascii="Time New Roman" w:eastAsia="楷体" w:hAnsi="Time New Roman" w:hint="eastAsia"/>
        </w:rPr>
        <w:t>吁请</w:t>
      </w:r>
      <w:r>
        <w:rPr>
          <w:rFonts w:hint="eastAsia"/>
        </w:rPr>
        <w:t>各国避免仅仅因个人或团体组织、参加或观察、监测或记录了和平抗议便使用数字技术使其噤声，对其进行非法或任意监视或骚扰；并避免下令全面封网以及在抗议活动或重大政治关头前后封锁网站和平台；</w:t>
      </w:r>
    </w:p>
    <w:p w:rsidR="00363D96" w:rsidRDefault="00363D96" w:rsidP="00694478">
      <w:pPr>
        <w:pStyle w:val="SingleTxtGC"/>
        <w:ind w:firstLine="431"/>
        <w:rPr>
          <w:rFonts w:hint="eastAsia"/>
        </w:rPr>
      </w:pPr>
      <w:r>
        <w:rPr>
          <w:rFonts w:hint="eastAsia"/>
        </w:rPr>
        <w:t>25.</w:t>
      </w:r>
      <w:r>
        <w:rPr>
          <w:rFonts w:hint="eastAsia"/>
        </w:rPr>
        <w:tab/>
      </w:r>
      <w:r w:rsidRPr="006760F7">
        <w:rPr>
          <w:rFonts w:ascii="Time New Roman" w:eastAsia="楷体" w:hAnsi="Time New Roman" w:hint="eastAsia"/>
        </w:rPr>
        <w:t>促请</w:t>
      </w:r>
      <w:r>
        <w:rPr>
          <w:rFonts w:hint="eastAsia"/>
        </w:rPr>
        <w:t>各国确保根据法律并依照其国际人权义务和承诺，通过司法或其他国家机制对侵犯和践踏人权行为追究责任，向受害者提供获取补救和赔偿的途径，包括在和平抗议的背景下；</w:t>
      </w:r>
    </w:p>
    <w:p w:rsidR="00363D96" w:rsidRDefault="00363D96" w:rsidP="00694478">
      <w:pPr>
        <w:pStyle w:val="SingleTxtGC"/>
        <w:ind w:firstLine="431"/>
        <w:rPr>
          <w:rFonts w:hint="eastAsia"/>
        </w:rPr>
      </w:pPr>
      <w:r>
        <w:rPr>
          <w:rFonts w:hint="eastAsia"/>
        </w:rPr>
        <w:t>26.</w:t>
      </w:r>
      <w:r>
        <w:rPr>
          <w:rFonts w:hint="eastAsia"/>
        </w:rPr>
        <w:tab/>
      </w:r>
      <w:proofErr w:type="gramStart"/>
      <w:r w:rsidRPr="006760F7">
        <w:rPr>
          <w:rFonts w:ascii="Time New Roman" w:eastAsia="楷体" w:hAnsi="Time New Roman" w:hint="eastAsia"/>
        </w:rPr>
        <w:t>请</w:t>
      </w:r>
      <w:r>
        <w:rPr>
          <w:rFonts w:hint="eastAsia"/>
        </w:rPr>
        <w:t>和平</w:t>
      </w:r>
      <w:proofErr w:type="gramEnd"/>
      <w:r>
        <w:rPr>
          <w:rFonts w:hint="eastAsia"/>
        </w:rPr>
        <w:t>集会自由权和结社自由权特别报告员根据良好做法拟订一套关于在危机局势期间和平抗议背景下保护人权的实用建议，并在拟订上述建议时征求各国、联合国人权事务高级专员办事处、联合国相关机构，特别是联合国毒品和犯罪问题办公室、联合国人权条约机构、区域人权机制、其他相关特别程序任务负责人、国家人权机构、非政府组织和执法人员等其他有关利益攸关方的意见，并在强化互动对话中向人权理事会第五十届会议介绍这些建议，该对话还将盘点各国执行本决议的障碍和挑战；</w:t>
      </w:r>
    </w:p>
    <w:p w:rsidR="00FC102B" w:rsidRDefault="00363D96" w:rsidP="00694478">
      <w:pPr>
        <w:pStyle w:val="SingleTxtGC"/>
        <w:ind w:firstLine="431"/>
      </w:pPr>
      <w:r>
        <w:rPr>
          <w:rFonts w:hint="eastAsia"/>
        </w:rPr>
        <w:t>27.</w:t>
      </w:r>
      <w:r>
        <w:rPr>
          <w:rFonts w:hint="eastAsia"/>
        </w:rPr>
        <w:tab/>
      </w:r>
      <w:r w:rsidRPr="006760F7">
        <w:rPr>
          <w:rFonts w:ascii="Time New Roman" w:eastAsia="楷体" w:hAnsi="Time New Roman" w:hint="eastAsia"/>
        </w:rPr>
        <w:t>决定</w:t>
      </w:r>
      <w:r>
        <w:rPr>
          <w:rFonts w:hint="eastAsia"/>
        </w:rPr>
        <w:t>继续审议此事。</w:t>
      </w:r>
    </w:p>
    <w:p w:rsidR="00363D96" w:rsidRDefault="00363D96" w:rsidP="00363D96">
      <w:pPr>
        <w:pStyle w:val="SingleTxtGC"/>
      </w:pPr>
    </w:p>
    <w:p w:rsidR="00363D96" w:rsidRPr="002D6A9C" w:rsidRDefault="00363D9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363D96" w:rsidRPr="00FC102B" w:rsidRDefault="00363D96" w:rsidP="00363D96">
      <w:pPr>
        <w:pStyle w:val="SingleTxtGC"/>
        <w:rPr>
          <w:rFonts w:hint="eastAsia"/>
        </w:rPr>
      </w:pPr>
    </w:p>
    <w:sectPr w:rsidR="00363D96" w:rsidRPr="00FC102B"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2CB" w:rsidRPr="000D319F" w:rsidRDefault="00CF62CB" w:rsidP="000D319F">
      <w:pPr>
        <w:pStyle w:val="af0"/>
        <w:spacing w:after="240"/>
        <w:ind w:left="907"/>
        <w:rPr>
          <w:rFonts w:asciiTheme="majorBidi" w:eastAsia="宋体" w:hAnsiTheme="majorBidi" w:cstheme="majorBidi"/>
          <w:sz w:val="21"/>
          <w:szCs w:val="21"/>
          <w:lang w:val="en-US"/>
        </w:rPr>
      </w:pPr>
    </w:p>
    <w:p w:rsidR="00CF62CB" w:rsidRPr="000D319F" w:rsidRDefault="00CF62CB"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CF62CB" w:rsidRPr="000D319F" w:rsidRDefault="00CF62CB" w:rsidP="000D319F">
      <w:pPr>
        <w:pStyle w:val="af0"/>
      </w:pPr>
    </w:p>
  </w:endnote>
  <w:endnote w:type="continuationNotice" w:id="1">
    <w:p w:rsidR="00CF62CB" w:rsidRDefault="00CF62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02B" w:rsidRPr="00FC102B" w:rsidRDefault="00FC102B" w:rsidP="00FC102B">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FC102B">
      <w:rPr>
        <w:rStyle w:val="af2"/>
        <w:b w:val="0"/>
        <w:snapToGrid w:val="0"/>
        <w:sz w:val="16"/>
      </w:rPr>
      <w:t>GE.20</w:t>
    </w:r>
    <w:proofErr w:type="spellEnd"/>
    <w:r w:rsidRPr="00FC102B">
      <w:rPr>
        <w:rStyle w:val="af2"/>
        <w:b w:val="0"/>
        <w:snapToGrid w:val="0"/>
        <w:sz w:val="16"/>
      </w:rPr>
      <w:t>-09195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02B" w:rsidRPr="00FC102B" w:rsidRDefault="00FC102B" w:rsidP="00FC102B">
    <w:pPr>
      <w:pStyle w:val="af0"/>
      <w:tabs>
        <w:tab w:val="right" w:pos="9638"/>
      </w:tabs>
      <w:rPr>
        <w:rStyle w:val="af2"/>
      </w:rPr>
    </w:pPr>
    <w:proofErr w:type="spellStart"/>
    <w:r>
      <w:t>GE.20</w:t>
    </w:r>
    <w:proofErr w:type="spellEnd"/>
    <w:r>
      <w:t>-09195</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B4347" w:rsidRDefault="00FC102B" w:rsidP="00F75B0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-09195</w:t>
    </w:r>
    <w:r w:rsidR="00731A42" w:rsidRPr="00EE277A">
      <w:rPr>
        <w:sz w:val="20"/>
        <w:lang w:eastAsia="zh-CN"/>
      </w:rPr>
      <w:t xml:space="preserve"> (C)</w:t>
    </w:r>
    <w:r w:rsidR="008B4347">
      <w:rPr>
        <w:sz w:val="20"/>
        <w:lang w:eastAsia="zh-CN"/>
      </w:rPr>
      <w:tab/>
    </w:r>
    <w:r w:rsidR="00FE35AF">
      <w:rPr>
        <w:sz w:val="20"/>
        <w:lang w:eastAsia="zh-CN"/>
      </w:rPr>
      <w:t>1407</w:t>
    </w:r>
    <w:r w:rsidR="007803C3">
      <w:rPr>
        <w:sz w:val="20"/>
        <w:lang w:eastAsia="zh-CN"/>
      </w:rPr>
      <w:t>20</w:t>
    </w:r>
    <w:r w:rsidR="00731A42">
      <w:rPr>
        <w:sz w:val="20"/>
        <w:lang w:eastAsia="zh-CN"/>
      </w:rPr>
      <w:tab/>
    </w:r>
    <w:r w:rsidR="00FE35AF">
      <w:rPr>
        <w:sz w:val="20"/>
        <w:lang w:eastAsia="zh-CN"/>
      </w:rPr>
      <w:t>1407</w:t>
    </w:r>
    <w:r w:rsidR="007803C3">
      <w:rPr>
        <w:sz w:val="20"/>
        <w:lang w:eastAsia="zh-CN"/>
      </w:rPr>
      <w:t>20</w:t>
    </w:r>
  </w:p>
  <w:p w:rsidR="00056632" w:rsidRPr="00487939" w:rsidRDefault="00FC102B"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2CB" w:rsidRPr="000157B1" w:rsidRDefault="00CF62CB"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CF62CB" w:rsidRPr="000157B1" w:rsidRDefault="00CF62CB"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CF62CB" w:rsidRDefault="00CF62CB"/>
  </w:footnote>
  <w:footnote w:id="2">
    <w:p w:rsidR="00363D96" w:rsidRPr="00363D96" w:rsidRDefault="00363D96" w:rsidP="00363D96">
      <w:pPr>
        <w:pStyle w:val="a6"/>
        <w:tabs>
          <w:tab w:val="clear" w:pos="1021"/>
          <w:tab w:val="right" w:pos="1020"/>
        </w:tabs>
      </w:pPr>
      <w:r>
        <w:rPr>
          <w:rStyle w:val="a8"/>
        </w:rPr>
        <w:tab/>
      </w:r>
      <w:r w:rsidRPr="00363D96">
        <w:rPr>
          <w:rStyle w:val="a8"/>
          <w:vertAlign w:val="baseline"/>
        </w:rPr>
        <w:t>*</w:t>
      </w:r>
      <w:r w:rsidRPr="00363D96">
        <w:tab/>
      </w:r>
      <w:r w:rsidRPr="00363D96">
        <w:rPr>
          <w:rFonts w:hint="eastAsia"/>
        </w:rPr>
        <w:t>非人权理事会成员国。</w:t>
      </w:r>
    </w:p>
  </w:footnote>
  <w:footnote w:id="3">
    <w:p w:rsidR="00AE2571" w:rsidRDefault="00AE2571">
      <w:pPr>
        <w:pStyle w:val="a6"/>
      </w:pPr>
      <w:r>
        <w:tab/>
      </w:r>
      <w:r>
        <w:rPr>
          <w:rStyle w:val="a8"/>
        </w:rPr>
        <w:footnoteRef/>
      </w:r>
      <w:r>
        <w:tab/>
      </w:r>
      <w:r w:rsidRPr="00AE2571">
        <w:rPr>
          <w:rFonts w:asciiTheme="majorBidi" w:hAnsiTheme="majorBidi" w:cstheme="majorBidi"/>
        </w:rPr>
        <w:t>Cl</w:t>
      </w:r>
      <w:r w:rsidRPr="00AE2571">
        <w:rPr>
          <w:rFonts w:asciiTheme="majorBidi" w:hAnsiTheme="majorBidi" w:cstheme="majorBidi"/>
        </w:rPr>
        <w:t>é</w:t>
      </w:r>
      <w:proofErr w:type="spellStart"/>
      <w:r w:rsidRPr="00AE2571">
        <w:rPr>
          <w:rFonts w:asciiTheme="majorBidi" w:hAnsiTheme="majorBidi" w:cstheme="majorBidi"/>
        </w:rPr>
        <w:t>ment</w:t>
      </w:r>
      <w:proofErr w:type="spellEnd"/>
      <w:r w:rsidRPr="00AE2571">
        <w:rPr>
          <w:rFonts w:asciiTheme="majorBidi" w:hAnsiTheme="majorBidi" w:cstheme="majorBidi"/>
        </w:rPr>
        <w:t xml:space="preserve"> </w:t>
      </w:r>
      <w:proofErr w:type="spellStart"/>
      <w:r w:rsidRPr="00AE2571">
        <w:rPr>
          <w:rFonts w:asciiTheme="majorBidi" w:hAnsiTheme="majorBidi" w:cstheme="majorBidi"/>
        </w:rPr>
        <w:t>Vou</w:t>
      </w:r>
      <w:r w:rsidRPr="00AE2571">
        <w:rPr>
          <w:rFonts w:hint="eastAsia"/>
        </w:rPr>
        <w:t>le</w:t>
      </w:r>
      <w:proofErr w:type="spellEnd"/>
      <w:r w:rsidRPr="00AE2571">
        <w:rPr>
          <w:rFonts w:hint="eastAsia"/>
        </w:rPr>
        <w:t>,</w:t>
      </w:r>
      <w:r w:rsidRPr="00AE2571">
        <w:rPr>
          <w:rFonts w:hint="eastAsia"/>
        </w:rPr>
        <w:t>“各国应对</w:t>
      </w:r>
      <w:proofErr w:type="spellStart"/>
      <w:r w:rsidRPr="00AE2571">
        <w:rPr>
          <w:rFonts w:hint="eastAsia"/>
        </w:rPr>
        <w:t>Covid</w:t>
      </w:r>
      <w:proofErr w:type="spellEnd"/>
      <w:r w:rsidRPr="00AE2571">
        <w:rPr>
          <w:rFonts w:hint="eastAsia"/>
        </w:rPr>
        <w:t xml:space="preserve"> 19</w:t>
      </w:r>
      <w:r w:rsidRPr="00AE2571">
        <w:rPr>
          <w:rFonts w:hint="eastAsia"/>
        </w:rPr>
        <w:t>威胁的行动不应中止集会自由和结社自由”，联合国人权事务高级专员办事处，</w:t>
      </w:r>
      <w:r w:rsidRPr="00AE2571">
        <w:rPr>
          <w:rFonts w:hint="eastAsia"/>
        </w:rPr>
        <w:t>2020</w:t>
      </w:r>
      <w:r w:rsidRPr="00AE2571">
        <w:rPr>
          <w:rFonts w:hint="eastAsia"/>
        </w:rPr>
        <w:t>年</w:t>
      </w:r>
      <w:r w:rsidRPr="00AE2571">
        <w:rPr>
          <w:rFonts w:hint="eastAsia"/>
        </w:rPr>
        <w:t>4</w:t>
      </w:r>
      <w:r w:rsidRPr="00AE2571">
        <w:rPr>
          <w:rFonts w:hint="eastAsia"/>
        </w:rPr>
        <w:t>月</w:t>
      </w:r>
      <w:r w:rsidRPr="00AE2571">
        <w:rPr>
          <w:rFonts w:hint="eastAsia"/>
        </w:rPr>
        <w:t>14</w:t>
      </w:r>
      <w:r w:rsidRPr="00AE2571">
        <w:rPr>
          <w:rFonts w:hint="eastAsia"/>
        </w:rPr>
        <w:t>日。</w:t>
      </w:r>
    </w:p>
  </w:footnote>
  <w:footnote w:id="4">
    <w:p w:rsidR="00AE2571" w:rsidRDefault="00AE2571">
      <w:pPr>
        <w:pStyle w:val="a6"/>
      </w:pPr>
      <w:r>
        <w:tab/>
      </w:r>
      <w:r>
        <w:rPr>
          <w:rStyle w:val="a8"/>
        </w:rPr>
        <w:footnoteRef/>
      </w:r>
      <w:r>
        <w:tab/>
      </w:r>
      <w:r w:rsidR="008C357C" w:rsidRPr="008C357C">
        <w:rPr>
          <w:rFonts w:hint="eastAsia"/>
        </w:rPr>
        <w:t>A/</w:t>
      </w:r>
      <w:proofErr w:type="spellStart"/>
      <w:r w:rsidR="008C357C" w:rsidRPr="008C357C">
        <w:rPr>
          <w:rFonts w:hint="eastAsia"/>
        </w:rPr>
        <w:t>HRC</w:t>
      </w:r>
      <w:proofErr w:type="spellEnd"/>
      <w:r w:rsidR="008C357C" w:rsidRPr="008C357C">
        <w:rPr>
          <w:rFonts w:hint="eastAsia"/>
        </w:rPr>
        <w:t>/44/24</w:t>
      </w:r>
      <w:r w:rsidR="008C357C" w:rsidRPr="008C357C">
        <w:rPr>
          <w:rFonts w:hint="eastAsia"/>
        </w:rPr>
        <w:t>。</w:t>
      </w:r>
    </w:p>
  </w:footnote>
  <w:footnote w:id="5">
    <w:p w:rsidR="008C357C" w:rsidRDefault="008C357C">
      <w:pPr>
        <w:pStyle w:val="a6"/>
      </w:pPr>
      <w:r>
        <w:tab/>
      </w:r>
      <w:r>
        <w:rPr>
          <w:rStyle w:val="a8"/>
        </w:rPr>
        <w:footnoteRef/>
      </w:r>
      <w:r>
        <w:tab/>
      </w:r>
      <w:r w:rsidRPr="008C357C">
        <w:rPr>
          <w:rFonts w:hint="eastAsia"/>
        </w:rPr>
        <w:t>A/</w:t>
      </w:r>
      <w:proofErr w:type="spellStart"/>
      <w:r w:rsidRPr="008C357C">
        <w:rPr>
          <w:rFonts w:hint="eastAsia"/>
        </w:rPr>
        <w:t>HRC</w:t>
      </w:r>
      <w:proofErr w:type="spellEnd"/>
      <w:r w:rsidRPr="008C357C">
        <w:rPr>
          <w:rFonts w:hint="eastAsia"/>
        </w:rPr>
        <w:t>/31/66</w:t>
      </w:r>
      <w:r w:rsidRPr="008C357C">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FC102B" w:rsidP="00FC102B">
    <w:pPr>
      <w:pStyle w:val="af3"/>
    </w:pPr>
    <w:r>
      <w:t>A/</w:t>
    </w:r>
    <w:proofErr w:type="spellStart"/>
    <w:r>
      <w:t>HRC</w:t>
    </w:r>
    <w:proofErr w:type="spellEnd"/>
    <w:r>
      <w:t>/44/</w:t>
    </w:r>
    <w:proofErr w:type="spellStart"/>
    <w:r>
      <w:t>L.11</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FC102B" w:rsidP="00FC102B">
    <w:pPr>
      <w:pStyle w:val="af3"/>
      <w:jc w:val="right"/>
    </w:pPr>
    <w:r>
      <w:t>A/</w:t>
    </w:r>
    <w:proofErr w:type="spellStart"/>
    <w:r>
      <w:t>HRC</w:t>
    </w:r>
    <w:proofErr w:type="spellEnd"/>
    <w:r>
      <w:t>/44/</w:t>
    </w:r>
    <w:proofErr w:type="spellStart"/>
    <w:r>
      <w:t>L.11</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F62CB"/>
    <w:rsid w:val="00011483"/>
    <w:rsid w:val="000461C1"/>
    <w:rsid w:val="00054E5E"/>
    <w:rsid w:val="00061191"/>
    <w:rsid w:val="000D319F"/>
    <w:rsid w:val="000D6BBD"/>
    <w:rsid w:val="000E261F"/>
    <w:rsid w:val="000E4D0E"/>
    <w:rsid w:val="000E62AA"/>
    <w:rsid w:val="000F7D1D"/>
    <w:rsid w:val="00144B69"/>
    <w:rsid w:val="00152D5C"/>
    <w:rsid w:val="00153E86"/>
    <w:rsid w:val="00186C47"/>
    <w:rsid w:val="001B16DD"/>
    <w:rsid w:val="001B1BD1"/>
    <w:rsid w:val="001C3EF2"/>
    <w:rsid w:val="001D17F6"/>
    <w:rsid w:val="00204B42"/>
    <w:rsid w:val="0022146A"/>
    <w:rsid w:val="002231C3"/>
    <w:rsid w:val="0024417F"/>
    <w:rsid w:val="00250F8D"/>
    <w:rsid w:val="00256232"/>
    <w:rsid w:val="002939D6"/>
    <w:rsid w:val="002B3AC7"/>
    <w:rsid w:val="002E1C97"/>
    <w:rsid w:val="002F5834"/>
    <w:rsid w:val="00326EBF"/>
    <w:rsid w:val="00327FE4"/>
    <w:rsid w:val="00346D15"/>
    <w:rsid w:val="00363D96"/>
    <w:rsid w:val="0037569F"/>
    <w:rsid w:val="003A47BD"/>
    <w:rsid w:val="003C0C9C"/>
    <w:rsid w:val="00427F63"/>
    <w:rsid w:val="00474C6B"/>
    <w:rsid w:val="004972E2"/>
    <w:rsid w:val="004A0D52"/>
    <w:rsid w:val="004C4A0A"/>
    <w:rsid w:val="004F11B6"/>
    <w:rsid w:val="00557D9A"/>
    <w:rsid w:val="005C00B0"/>
    <w:rsid w:val="005E01D9"/>
    <w:rsid w:val="005E3084"/>
    <w:rsid w:val="005E3A08"/>
    <w:rsid w:val="005E403A"/>
    <w:rsid w:val="00623FC4"/>
    <w:rsid w:val="006749CD"/>
    <w:rsid w:val="006760F7"/>
    <w:rsid w:val="00680656"/>
    <w:rsid w:val="00694478"/>
    <w:rsid w:val="006A1D35"/>
    <w:rsid w:val="006B1119"/>
    <w:rsid w:val="006B7A8F"/>
    <w:rsid w:val="006C65D8"/>
    <w:rsid w:val="006E3E46"/>
    <w:rsid w:val="006E41E9"/>
    <w:rsid w:val="006E71B1"/>
    <w:rsid w:val="00705D89"/>
    <w:rsid w:val="00731A42"/>
    <w:rsid w:val="00767E69"/>
    <w:rsid w:val="0077079A"/>
    <w:rsid w:val="007803C3"/>
    <w:rsid w:val="007A5599"/>
    <w:rsid w:val="007C0CAE"/>
    <w:rsid w:val="007E5DAD"/>
    <w:rsid w:val="00811540"/>
    <w:rsid w:val="00856233"/>
    <w:rsid w:val="00860F27"/>
    <w:rsid w:val="008B0560"/>
    <w:rsid w:val="008B2BFA"/>
    <w:rsid w:val="008B4347"/>
    <w:rsid w:val="008C357C"/>
    <w:rsid w:val="008D32CC"/>
    <w:rsid w:val="00923C5A"/>
    <w:rsid w:val="0093206A"/>
    <w:rsid w:val="00936F03"/>
    <w:rsid w:val="00943552"/>
    <w:rsid w:val="00943B69"/>
    <w:rsid w:val="00944CB3"/>
    <w:rsid w:val="00952103"/>
    <w:rsid w:val="009B09D7"/>
    <w:rsid w:val="009D35ED"/>
    <w:rsid w:val="00A03CB6"/>
    <w:rsid w:val="00A11A32"/>
    <w:rsid w:val="00A1364C"/>
    <w:rsid w:val="00A21076"/>
    <w:rsid w:val="00A3739A"/>
    <w:rsid w:val="00A52DAF"/>
    <w:rsid w:val="00A84072"/>
    <w:rsid w:val="00A84DF2"/>
    <w:rsid w:val="00A87B40"/>
    <w:rsid w:val="00AE2571"/>
    <w:rsid w:val="00B020B7"/>
    <w:rsid w:val="00B16570"/>
    <w:rsid w:val="00B423E7"/>
    <w:rsid w:val="00B53320"/>
    <w:rsid w:val="00BC6522"/>
    <w:rsid w:val="00BF6D17"/>
    <w:rsid w:val="00C121D5"/>
    <w:rsid w:val="00C17341"/>
    <w:rsid w:val="00C17349"/>
    <w:rsid w:val="00C351AA"/>
    <w:rsid w:val="00C52236"/>
    <w:rsid w:val="00C7253F"/>
    <w:rsid w:val="00C7577A"/>
    <w:rsid w:val="00C760F9"/>
    <w:rsid w:val="00CF2FE8"/>
    <w:rsid w:val="00CF62CB"/>
    <w:rsid w:val="00D26A05"/>
    <w:rsid w:val="00D45C65"/>
    <w:rsid w:val="00D67E3B"/>
    <w:rsid w:val="00D85827"/>
    <w:rsid w:val="00D93FA6"/>
    <w:rsid w:val="00D97B98"/>
    <w:rsid w:val="00DC671F"/>
    <w:rsid w:val="00DE4DA7"/>
    <w:rsid w:val="00E33B38"/>
    <w:rsid w:val="00E47FE5"/>
    <w:rsid w:val="00E574AF"/>
    <w:rsid w:val="00E71878"/>
    <w:rsid w:val="00E845B2"/>
    <w:rsid w:val="00F00D09"/>
    <w:rsid w:val="00F664DD"/>
    <w:rsid w:val="00F714DA"/>
    <w:rsid w:val="00F75B02"/>
    <w:rsid w:val="00F81778"/>
    <w:rsid w:val="00FB24E5"/>
    <w:rsid w:val="00FB456B"/>
    <w:rsid w:val="00FC102B"/>
    <w:rsid w:val="00FE35AF"/>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9F00E4"/>
  <w15:docId w15:val="{4591D7D5-33E5-4FA7-9A79-4CF0532C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C731C-BC76-47BA-A7C4-99EA40CA1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6</Pages>
  <Words>5268</Words>
  <Characters>5468</Characters>
  <Application>Microsoft Office Word</Application>
  <DocSecurity>0</DocSecurity>
  <Lines>210</Lines>
  <Paragraphs>81</Paragraphs>
  <ScaleCrop>false</ScaleCrop>
  <Company>DCM</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A/HRC/44/L.11</dc:title>
  <dc:subject>2009195</dc:subject>
  <dc:creator>Xin</dc:creator>
  <cp:keywords/>
  <dc:description/>
  <cp:lastModifiedBy>Xin WANG</cp:lastModifiedBy>
  <cp:revision>2</cp:revision>
  <cp:lastPrinted>2014-05-09T11:28:00Z</cp:lastPrinted>
  <dcterms:created xsi:type="dcterms:W3CDTF">2020-07-14T13:07:00Z</dcterms:created>
  <dcterms:modified xsi:type="dcterms:W3CDTF">2020-07-14T13:07:00Z</dcterms:modified>
</cp:coreProperties>
</file>