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7B8704A" w14:textId="77777777" w:rsidTr="00562621">
        <w:trPr>
          <w:trHeight w:val="851"/>
        </w:trPr>
        <w:tc>
          <w:tcPr>
            <w:tcW w:w="1259" w:type="dxa"/>
            <w:tcBorders>
              <w:top w:val="nil"/>
              <w:left w:val="nil"/>
              <w:bottom w:val="single" w:sz="4" w:space="0" w:color="auto"/>
              <w:right w:val="nil"/>
            </w:tcBorders>
          </w:tcPr>
          <w:p w14:paraId="4F7C941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94A5A25" w14:textId="1FC13F13"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4714031" w14:textId="77777777" w:rsidR="00446DE4" w:rsidRPr="00DE3EC0" w:rsidRDefault="00EC70BF" w:rsidP="00665DE8">
            <w:pPr>
              <w:jc w:val="right"/>
            </w:pPr>
            <w:r w:rsidRPr="00EC70BF">
              <w:rPr>
                <w:sz w:val="40"/>
              </w:rPr>
              <w:t>A</w:t>
            </w:r>
            <w:r>
              <w:t>/HRC/4</w:t>
            </w:r>
            <w:r w:rsidR="00A36052">
              <w:t>6</w:t>
            </w:r>
            <w:r>
              <w:t>/G/</w:t>
            </w:r>
            <w:r w:rsidR="00665DE8">
              <w:t>21</w:t>
            </w:r>
          </w:p>
        </w:tc>
      </w:tr>
      <w:tr w:rsidR="003107FA" w14:paraId="6CA9E19D" w14:textId="77777777" w:rsidTr="00562621">
        <w:trPr>
          <w:trHeight w:val="2835"/>
        </w:trPr>
        <w:tc>
          <w:tcPr>
            <w:tcW w:w="1259" w:type="dxa"/>
            <w:tcBorders>
              <w:top w:val="single" w:sz="4" w:space="0" w:color="auto"/>
              <w:left w:val="nil"/>
              <w:bottom w:val="single" w:sz="12" w:space="0" w:color="auto"/>
              <w:right w:val="nil"/>
            </w:tcBorders>
          </w:tcPr>
          <w:p w14:paraId="79B8B493" w14:textId="7611B107" w:rsidR="003107FA" w:rsidRPr="0005498D" w:rsidRDefault="003107FA" w:rsidP="00562621">
            <w:pPr>
              <w:spacing w:before="120"/>
              <w:jc w:val="center"/>
              <w:rPr>
                <w:sz w:val="44"/>
              </w:rPr>
            </w:pPr>
          </w:p>
        </w:tc>
        <w:tc>
          <w:tcPr>
            <w:tcW w:w="5450" w:type="dxa"/>
            <w:gridSpan w:val="2"/>
            <w:tcBorders>
              <w:top w:val="single" w:sz="4" w:space="0" w:color="auto"/>
              <w:left w:val="nil"/>
              <w:bottom w:val="single" w:sz="12" w:space="0" w:color="auto"/>
              <w:right w:val="nil"/>
            </w:tcBorders>
          </w:tcPr>
          <w:p w14:paraId="3DF4689C" w14:textId="6100C851" w:rsidR="003107FA" w:rsidRPr="0005498D" w:rsidRDefault="0005498D" w:rsidP="00562621">
            <w:pPr>
              <w:spacing w:before="120" w:line="420" w:lineRule="exact"/>
              <w:rPr>
                <w:b/>
                <w:sz w:val="44"/>
                <w:szCs w:val="40"/>
              </w:rPr>
            </w:pPr>
            <w:r>
              <w:rPr>
                <w:b/>
                <w:sz w:val="44"/>
                <w:szCs w:val="40"/>
              </w:rPr>
              <w:t>Advance Edited Version</w:t>
            </w:r>
          </w:p>
        </w:tc>
        <w:tc>
          <w:tcPr>
            <w:tcW w:w="2930" w:type="dxa"/>
            <w:tcBorders>
              <w:top w:val="single" w:sz="4" w:space="0" w:color="auto"/>
              <w:left w:val="nil"/>
              <w:bottom w:val="single" w:sz="12" w:space="0" w:color="auto"/>
              <w:right w:val="nil"/>
            </w:tcBorders>
          </w:tcPr>
          <w:p w14:paraId="645DF03A" w14:textId="77777777" w:rsidR="003107FA" w:rsidRDefault="00EC70BF" w:rsidP="00EC70BF">
            <w:pPr>
              <w:spacing w:before="240" w:line="240" w:lineRule="exact"/>
            </w:pPr>
            <w:r>
              <w:t>Distr.: General</w:t>
            </w:r>
          </w:p>
          <w:p w14:paraId="02D5CCD2" w14:textId="5A82734C" w:rsidR="00EC70BF" w:rsidRDefault="00154E4F" w:rsidP="00EC70BF">
            <w:pPr>
              <w:spacing w:line="240" w:lineRule="exact"/>
            </w:pPr>
            <w:r>
              <w:t>3</w:t>
            </w:r>
            <w:r w:rsidR="00665DE8">
              <w:t xml:space="preserve"> March</w:t>
            </w:r>
            <w:r w:rsidR="00EC70BF">
              <w:t xml:space="preserve"> 202</w:t>
            </w:r>
            <w:r w:rsidR="00CA6A1C">
              <w:t>1</w:t>
            </w:r>
          </w:p>
          <w:p w14:paraId="5F1F4F68" w14:textId="77777777" w:rsidR="00EC70BF" w:rsidRDefault="00EC70BF" w:rsidP="00EC70BF">
            <w:pPr>
              <w:spacing w:line="240" w:lineRule="exact"/>
            </w:pPr>
          </w:p>
          <w:p w14:paraId="4F362EAF" w14:textId="77777777" w:rsidR="00EC70BF" w:rsidRDefault="00EC70BF" w:rsidP="00EC70BF">
            <w:pPr>
              <w:spacing w:line="240" w:lineRule="exact"/>
            </w:pPr>
            <w:r>
              <w:t>Original: English</w:t>
            </w:r>
          </w:p>
        </w:tc>
      </w:tr>
    </w:tbl>
    <w:p w14:paraId="4C412F68"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7BC48DDB" w14:textId="77777777" w:rsidR="00A36052" w:rsidRPr="006D0A59" w:rsidRDefault="00A36052" w:rsidP="00A36052">
      <w:pPr>
        <w:rPr>
          <w:b/>
          <w:bCs/>
        </w:rPr>
      </w:pPr>
      <w:r>
        <w:rPr>
          <w:b/>
          <w:bCs/>
        </w:rPr>
        <w:t>Forty-sixth</w:t>
      </w:r>
      <w:r w:rsidRPr="006D0A59">
        <w:rPr>
          <w:b/>
          <w:bCs/>
        </w:rPr>
        <w:t xml:space="preserve"> session</w:t>
      </w:r>
    </w:p>
    <w:p w14:paraId="3E830C09" w14:textId="77777777" w:rsidR="00A36052" w:rsidRPr="006D0A59" w:rsidRDefault="00D72CB7" w:rsidP="00A36052">
      <w:r>
        <w:t>22 February–</w:t>
      </w:r>
      <w:r w:rsidR="00A36052">
        <w:t>19 March 2021</w:t>
      </w:r>
    </w:p>
    <w:p w14:paraId="44718A50" w14:textId="77777777" w:rsidR="00EC70BF" w:rsidRPr="00CC6A0D" w:rsidRDefault="00EC70BF" w:rsidP="00EC70BF">
      <w:r w:rsidRPr="00CC6A0D">
        <w:t>Agenda item 4</w:t>
      </w:r>
    </w:p>
    <w:p w14:paraId="52D3FF1F" w14:textId="77777777" w:rsidR="00EC70BF" w:rsidRDefault="00EC70BF" w:rsidP="00EC70BF">
      <w:pPr>
        <w:rPr>
          <w:b/>
        </w:rPr>
      </w:pPr>
      <w:r w:rsidRPr="00CC6A0D">
        <w:rPr>
          <w:b/>
        </w:rPr>
        <w:t xml:space="preserve">Human rights situations that require the Council’s attention </w:t>
      </w:r>
    </w:p>
    <w:p w14:paraId="29EF1CDC" w14:textId="77777777" w:rsidR="00665DE8" w:rsidRPr="00665DE8" w:rsidRDefault="00EC70BF" w:rsidP="00665DE8">
      <w:pPr>
        <w:pStyle w:val="H1G"/>
        <w:rPr>
          <w:bCs/>
        </w:rPr>
      </w:pPr>
      <w:r>
        <w:tab/>
      </w:r>
      <w:r>
        <w:tab/>
      </w:r>
      <w:r w:rsidR="00D13C4B" w:rsidRPr="00A4304B">
        <w:t xml:space="preserve">Note </w:t>
      </w:r>
      <w:proofErr w:type="spellStart"/>
      <w:r w:rsidR="00D13C4B" w:rsidRPr="00A4304B">
        <w:t>verbale</w:t>
      </w:r>
      <w:proofErr w:type="spellEnd"/>
      <w:r w:rsidR="00D13C4B" w:rsidRPr="00A4304B">
        <w:t xml:space="preserve"> dated </w:t>
      </w:r>
      <w:r w:rsidR="00D13C4B">
        <w:t xml:space="preserve">1 </w:t>
      </w:r>
      <w:r w:rsidR="00665DE8">
        <w:t>March</w:t>
      </w:r>
      <w:r w:rsidR="00D13C4B" w:rsidRPr="00A4304B">
        <w:t xml:space="preserve"> 202</w:t>
      </w:r>
      <w:r w:rsidR="00D13C4B">
        <w:t>1</w:t>
      </w:r>
      <w:r w:rsidR="00D13C4B" w:rsidRPr="00A4304B">
        <w:t xml:space="preserve"> from the Permanent Mission of A</w:t>
      </w:r>
      <w:r w:rsidR="00D13C4B">
        <w:t>rmenia</w:t>
      </w:r>
      <w:r w:rsidR="00D13C4B" w:rsidRPr="00A4304B">
        <w:t xml:space="preserve"> to the United Nations Office at Geneva addressed to the Office of the United Nations High Commissioner for Human Rights</w:t>
      </w:r>
    </w:p>
    <w:p w14:paraId="5532DA2B" w14:textId="26969198" w:rsidR="00665DE8" w:rsidRPr="00665DE8" w:rsidRDefault="00665DE8" w:rsidP="00665DE8">
      <w:pPr>
        <w:pStyle w:val="SingleTxtG"/>
        <w:ind w:firstLine="567"/>
        <w:rPr>
          <w:bCs/>
          <w:i/>
          <w:iCs/>
          <w:lang w:val="en-US"/>
        </w:rPr>
      </w:pPr>
      <w:r w:rsidRPr="00665DE8">
        <w:rPr>
          <w:bCs/>
          <w:lang w:val="en-US"/>
        </w:rPr>
        <w:t xml:space="preserve">The Permanent Mission of the Republic of Armenia to the United Nations Office and other </w:t>
      </w:r>
      <w:r>
        <w:rPr>
          <w:bCs/>
          <w:lang w:val="en-US"/>
        </w:rPr>
        <w:t>i</w:t>
      </w:r>
      <w:r w:rsidRPr="00665DE8">
        <w:rPr>
          <w:bCs/>
          <w:lang w:val="en-US"/>
        </w:rPr>
        <w:t xml:space="preserve">nternational </w:t>
      </w:r>
      <w:r>
        <w:rPr>
          <w:bCs/>
          <w:lang w:val="en-US"/>
        </w:rPr>
        <w:t>o</w:t>
      </w:r>
      <w:r w:rsidRPr="00665DE8">
        <w:rPr>
          <w:bCs/>
          <w:lang w:val="en-US"/>
        </w:rPr>
        <w:t xml:space="preserve">rganizations in Geneva </w:t>
      </w:r>
      <w:r w:rsidR="00E620AE">
        <w:rPr>
          <w:bCs/>
          <w:lang w:val="en-US"/>
        </w:rPr>
        <w:t>hereby</w:t>
      </w:r>
      <w:r w:rsidRPr="00665DE8">
        <w:rPr>
          <w:bCs/>
          <w:lang w:val="en-US"/>
        </w:rPr>
        <w:t xml:space="preserve"> transmit</w:t>
      </w:r>
      <w:r w:rsidR="00E620AE">
        <w:rPr>
          <w:bCs/>
          <w:lang w:val="en-US"/>
        </w:rPr>
        <w:t>s</w:t>
      </w:r>
      <w:r w:rsidRPr="00665DE8">
        <w:rPr>
          <w:bCs/>
          <w:lang w:val="en-US"/>
        </w:rPr>
        <w:t xml:space="preserve"> the </w:t>
      </w:r>
      <w:r>
        <w:rPr>
          <w:bCs/>
          <w:lang w:val="en-US"/>
        </w:rPr>
        <w:t>s</w:t>
      </w:r>
      <w:r w:rsidRPr="00665DE8">
        <w:rPr>
          <w:bCs/>
          <w:lang w:val="en-US"/>
        </w:rPr>
        <w:t xml:space="preserve">tatement </w:t>
      </w:r>
      <w:r w:rsidR="00E620AE">
        <w:rPr>
          <w:bCs/>
          <w:lang w:val="en-US"/>
        </w:rPr>
        <w:t xml:space="preserve">made </w:t>
      </w:r>
      <w:r w:rsidRPr="00665DE8">
        <w:rPr>
          <w:bCs/>
          <w:lang w:val="en-US"/>
        </w:rPr>
        <w:t xml:space="preserve">by the Foreign Ministry of the Republic of Armenia on the </w:t>
      </w:r>
      <w:r w:rsidR="00E620AE">
        <w:rPr>
          <w:bCs/>
          <w:lang w:val="en-US"/>
        </w:rPr>
        <w:t>thirty-third</w:t>
      </w:r>
      <w:r w:rsidR="00E620AE" w:rsidRPr="00665DE8">
        <w:rPr>
          <w:bCs/>
          <w:lang w:val="en-US"/>
        </w:rPr>
        <w:t xml:space="preserve"> </w:t>
      </w:r>
      <w:r w:rsidRPr="00665DE8">
        <w:rPr>
          <w:bCs/>
          <w:lang w:val="en-US"/>
        </w:rPr>
        <w:t>anniversary of the anti-Armenian massacres in Sumgait</w:t>
      </w:r>
      <w:r w:rsidR="00E620AE">
        <w:rPr>
          <w:bCs/>
          <w:lang w:val="en-US"/>
        </w:rPr>
        <w:t xml:space="preserve"> (see annex)</w:t>
      </w:r>
      <w:r w:rsidRPr="00665DE8">
        <w:rPr>
          <w:bCs/>
          <w:lang w:val="en-US"/>
        </w:rPr>
        <w:t>.</w:t>
      </w:r>
    </w:p>
    <w:p w14:paraId="1AE890F2" w14:textId="3806B9D2" w:rsidR="00665DE8" w:rsidRPr="00665DE8" w:rsidRDefault="00665DE8" w:rsidP="00665DE8">
      <w:pPr>
        <w:pStyle w:val="SingleTxtG"/>
        <w:ind w:firstLine="567"/>
        <w:rPr>
          <w:bCs/>
        </w:rPr>
      </w:pPr>
      <w:r w:rsidRPr="00665DE8">
        <w:rPr>
          <w:bCs/>
        </w:rPr>
        <w:t xml:space="preserve">The Permanent Mission of Armenia kindly requests the Office of the </w:t>
      </w:r>
      <w:r w:rsidR="00E620AE">
        <w:rPr>
          <w:bCs/>
        </w:rPr>
        <w:t xml:space="preserve">United Nations </w:t>
      </w:r>
      <w:r w:rsidRPr="00665DE8">
        <w:rPr>
          <w:bCs/>
        </w:rPr>
        <w:t xml:space="preserve">High Commissioner </w:t>
      </w:r>
      <w:r w:rsidR="00E620AE">
        <w:rPr>
          <w:bCs/>
        </w:rPr>
        <w:t xml:space="preserve">for Human Rights </w:t>
      </w:r>
      <w:r w:rsidRPr="00665DE8">
        <w:rPr>
          <w:bCs/>
        </w:rPr>
        <w:t xml:space="preserve">to circulate the present </w:t>
      </w:r>
      <w:r>
        <w:rPr>
          <w:bCs/>
        </w:rPr>
        <w:t>n</w:t>
      </w:r>
      <w:r w:rsidRPr="00665DE8">
        <w:rPr>
          <w:bCs/>
        </w:rPr>
        <w:t xml:space="preserve">ote </w:t>
      </w:r>
      <w:proofErr w:type="spellStart"/>
      <w:r>
        <w:rPr>
          <w:bCs/>
        </w:rPr>
        <w:t>v</w:t>
      </w:r>
      <w:r w:rsidRPr="00665DE8">
        <w:rPr>
          <w:bCs/>
        </w:rPr>
        <w:t>erbale</w:t>
      </w:r>
      <w:proofErr w:type="spellEnd"/>
      <w:r w:rsidRPr="00665DE8">
        <w:rPr>
          <w:bCs/>
        </w:rPr>
        <w:t xml:space="preserve"> and </w:t>
      </w:r>
      <w:r w:rsidR="00E620AE">
        <w:rPr>
          <w:bCs/>
        </w:rPr>
        <w:t>the annex thereto</w:t>
      </w:r>
      <w:r w:rsidRPr="0013204C">
        <w:rPr>
          <w:rStyle w:val="FootnoteReference"/>
          <w:rFonts w:eastAsia="Calibri"/>
          <w:sz w:val="20"/>
          <w:vertAlign w:val="baseline"/>
        </w:rPr>
        <w:footnoteReference w:customMarkFollows="1" w:id="2"/>
        <w:t>*</w:t>
      </w:r>
      <w:r w:rsidRPr="00665DE8">
        <w:rPr>
          <w:bCs/>
        </w:rPr>
        <w:t xml:space="preserve"> as </w:t>
      </w:r>
      <w:r w:rsidR="00E620AE">
        <w:rPr>
          <w:bCs/>
        </w:rPr>
        <w:t xml:space="preserve">a </w:t>
      </w:r>
      <w:r w:rsidRPr="00665DE8">
        <w:rPr>
          <w:bCs/>
        </w:rPr>
        <w:t>document of the Human Rights Council, under agenda item 4.</w:t>
      </w:r>
    </w:p>
    <w:p w14:paraId="670D47EA" w14:textId="77777777" w:rsidR="00D13C4B" w:rsidRDefault="00D13C4B">
      <w:pPr>
        <w:suppressAutoHyphens w:val="0"/>
        <w:spacing w:line="240" w:lineRule="auto"/>
        <w:rPr>
          <w:bCs/>
          <w:u w:val="single"/>
        </w:rPr>
      </w:pPr>
      <w:r>
        <w:rPr>
          <w:bCs/>
          <w:u w:val="single"/>
        </w:rPr>
        <w:br w:type="page"/>
      </w:r>
    </w:p>
    <w:p w14:paraId="038CB819" w14:textId="77777777" w:rsidR="00261C2D" w:rsidRDefault="00D13C4B" w:rsidP="00D13C4B">
      <w:pPr>
        <w:pStyle w:val="HChG"/>
        <w:rPr>
          <w:rFonts w:eastAsia="Calibri"/>
        </w:rPr>
      </w:pPr>
      <w:r>
        <w:rPr>
          <w:rFonts w:eastAsia="Calibri"/>
        </w:rPr>
        <w:lastRenderedPageBreak/>
        <w:tab/>
      </w:r>
      <w:r>
        <w:rPr>
          <w:rFonts w:eastAsia="Calibri"/>
        </w:rPr>
        <w:tab/>
      </w:r>
      <w:r w:rsidRPr="000326AD">
        <w:rPr>
          <w:rFonts w:eastAsia="Calibri"/>
        </w:rPr>
        <w:t xml:space="preserve">Annex to the note </w:t>
      </w:r>
      <w:proofErr w:type="spellStart"/>
      <w:r w:rsidRPr="000326AD">
        <w:rPr>
          <w:rFonts w:eastAsia="Calibri"/>
        </w:rPr>
        <w:t>verbale</w:t>
      </w:r>
      <w:proofErr w:type="spellEnd"/>
      <w:r w:rsidRPr="000326AD">
        <w:rPr>
          <w:rFonts w:eastAsia="Calibri"/>
        </w:rPr>
        <w:t xml:space="preserve"> dated </w:t>
      </w:r>
      <w:r>
        <w:rPr>
          <w:rFonts w:eastAsia="Calibri"/>
        </w:rPr>
        <w:t xml:space="preserve">1 </w:t>
      </w:r>
      <w:r w:rsidR="00665DE8">
        <w:rPr>
          <w:rFonts w:eastAsia="Calibri"/>
        </w:rPr>
        <w:t>March</w:t>
      </w:r>
      <w:r w:rsidRPr="000326AD">
        <w:rPr>
          <w:rFonts w:eastAsia="Calibri"/>
        </w:rPr>
        <w:t xml:space="preserve"> 202</w:t>
      </w:r>
      <w:r>
        <w:rPr>
          <w:rFonts w:eastAsia="Calibri"/>
        </w:rPr>
        <w:t>1</w:t>
      </w:r>
      <w:r w:rsidRPr="000326AD">
        <w:rPr>
          <w:rFonts w:eastAsia="Calibri"/>
        </w:rPr>
        <w:t xml:space="preserve"> from the Permanent Mission of </w:t>
      </w:r>
      <w:r w:rsidRPr="000326AD">
        <w:t>Armenia</w:t>
      </w:r>
      <w:r w:rsidRPr="000326AD">
        <w:rPr>
          <w:rFonts w:eastAsia="Calibri"/>
        </w:rPr>
        <w:t xml:space="preserve"> to the United Nations Office at Geneva addressed to the Office of the United Nations High Commissioner for Human Rights</w:t>
      </w:r>
    </w:p>
    <w:p w14:paraId="487F53A0" w14:textId="77777777" w:rsidR="00865B30" w:rsidRDefault="00D13C4B" w:rsidP="00287CB6">
      <w:pPr>
        <w:pStyle w:val="H1G"/>
        <w:rPr>
          <w:lang w:val="en-US"/>
        </w:rPr>
      </w:pPr>
      <w:r>
        <w:rPr>
          <w:lang w:val="en-US"/>
        </w:rPr>
        <w:tab/>
      </w:r>
      <w:r>
        <w:rPr>
          <w:lang w:val="en-US"/>
        </w:rPr>
        <w:tab/>
      </w:r>
      <w:r w:rsidR="00665DE8" w:rsidRPr="00665DE8">
        <w:rPr>
          <w:bCs/>
          <w:lang w:val="en-US"/>
        </w:rPr>
        <w:t xml:space="preserve">Statement by the Foreign Ministry of Armenia </w:t>
      </w:r>
      <w:r w:rsidR="00665DE8">
        <w:rPr>
          <w:bCs/>
          <w:lang w:val="en-US"/>
        </w:rPr>
        <w:t xml:space="preserve">dated 27 February 2021 </w:t>
      </w:r>
      <w:r w:rsidR="00665DE8" w:rsidRPr="00665DE8">
        <w:rPr>
          <w:bCs/>
          <w:lang w:val="en-US"/>
        </w:rPr>
        <w:t>on the 33rd anniversary of the anti-Armenian massacres in Sumgait</w:t>
      </w:r>
    </w:p>
    <w:p w14:paraId="57B7F1F9" w14:textId="77777777" w:rsidR="00665DE8" w:rsidRDefault="00665DE8" w:rsidP="00665DE8">
      <w:pPr>
        <w:pStyle w:val="SingleTxtG"/>
        <w:rPr>
          <w:lang w:val="en-US"/>
        </w:rPr>
      </w:pPr>
      <w:r w:rsidRPr="00665DE8">
        <w:rPr>
          <w:lang w:val="en-US"/>
        </w:rPr>
        <w:t>33 years ago, on February 27-29, 1988, pre-planned massacres of Armenians were carried out in the city of Sumgait (Azerbaijan) amid the encouragement of the Azerbaijani authorities and the permissiveness of the law enforcement bodies. Hundreds of Armenians were killed, including women, children and elderly, and thousands of Armenians were forcibly displaced.</w:t>
      </w:r>
    </w:p>
    <w:p w14:paraId="46CAB6EC" w14:textId="77777777" w:rsidR="00665DE8" w:rsidRPr="00665DE8" w:rsidRDefault="00665DE8" w:rsidP="00665DE8">
      <w:pPr>
        <w:pStyle w:val="SingleTxtG"/>
        <w:rPr>
          <w:lang w:val="en-US"/>
        </w:rPr>
      </w:pPr>
      <w:r w:rsidRPr="00665DE8">
        <w:rPr>
          <w:lang w:val="en-US"/>
        </w:rPr>
        <w:t>Sumgait massacre was a response to the aspiration of the people of Artsakh to assert their inalienable right to a dignified and safe life in their historical homeland and to exercise their right to self-determination. Azerbaijan opposed the attempts of exercising human rights with the policy of collective punishment, subjecting the Armenian population of the Sumgait town to severe violence and torture.</w:t>
      </w:r>
    </w:p>
    <w:p w14:paraId="69D850ED" w14:textId="77777777" w:rsidR="00665DE8" w:rsidRPr="00665DE8" w:rsidRDefault="00665DE8" w:rsidP="00665DE8">
      <w:pPr>
        <w:pStyle w:val="SingleTxtG"/>
        <w:rPr>
          <w:lang w:val="en-US"/>
        </w:rPr>
      </w:pPr>
      <w:r w:rsidRPr="00665DE8">
        <w:rPr>
          <w:lang w:val="en-US"/>
        </w:rPr>
        <w:t xml:space="preserve">The atrocities of Sumgait instigated the ethnic cleansing and massacres of Armenians in other cities of Azerbaijan, such as Baku and </w:t>
      </w:r>
      <w:proofErr w:type="spellStart"/>
      <w:r w:rsidRPr="00665DE8">
        <w:rPr>
          <w:lang w:val="en-US"/>
        </w:rPr>
        <w:t>Gandzak</w:t>
      </w:r>
      <w:proofErr w:type="spellEnd"/>
      <w:r w:rsidRPr="00665DE8">
        <w:rPr>
          <w:lang w:val="en-US"/>
        </w:rPr>
        <w:t>. Moreover, the unequivocal justification of such crime, the glorification of the murderers for killing Armenians were reflected in the efforts of the Azerbaijani authorities to resolve the Nagorno-Karabakh conflict with the use of force. </w:t>
      </w:r>
    </w:p>
    <w:p w14:paraId="2AA58218" w14:textId="77777777" w:rsidR="00665DE8" w:rsidRPr="00665DE8" w:rsidRDefault="00665DE8" w:rsidP="00665DE8">
      <w:pPr>
        <w:pStyle w:val="SingleTxtG"/>
        <w:rPr>
          <w:lang w:val="en-US"/>
        </w:rPr>
      </w:pPr>
      <w:r w:rsidRPr="00665DE8">
        <w:rPr>
          <w:lang w:val="en-US"/>
        </w:rPr>
        <w:t>Last year, on September 27 the full-fledged war unleashed by Azerbaijan against Artsakh and its people was accompanied by similar war crimes against the Armenian identity, with one difference - the murders of the civilians were not carried out by controlled mobs, but by servicemen of the Azerbaijani armed forces and the relevant videos were uploaded on the Internet. </w:t>
      </w:r>
    </w:p>
    <w:p w14:paraId="2A7C9F13" w14:textId="77777777" w:rsidR="00665DE8" w:rsidRPr="00665DE8" w:rsidRDefault="00665DE8" w:rsidP="00665DE8">
      <w:pPr>
        <w:pStyle w:val="SingleTxtG"/>
        <w:rPr>
          <w:lang w:val="en-US"/>
        </w:rPr>
      </w:pPr>
      <w:r w:rsidRPr="00665DE8">
        <w:rPr>
          <w:lang w:val="en-US"/>
        </w:rPr>
        <w:t xml:space="preserve">During the 44-day war, the Azerbaijani armed forces, driven by a sense of impunity, committed numerous violations of international humanitarian and human rights law, which are manifestations of mass atrocities, including ethnic cleansing and war crimes. While adhering to the </w:t>
      </w:r>
      <w:proofErr w:type="spellStart"/>
      <w:r w:rsidRPr="00665DE8">
        <w:rPr>
          <w:lang w:val="en-US"/>
        </w:rPr>
        <w:t>behaviour</w:t>
      </w:r>
      <w:proofErr w:type="spellEnd"/>
      <w:r w:rsidRPr="00665DE8">
        <w:rPr>
          <w:lang w:val="en-US"/>
        </w:rPr>
        <w:t xml:space="preserve"> of terrorist groups, the Azerbaijani armed forces committed violations against prisoners of war, civilians, barbarically destroyed historical-cultural monuments and desecrated sanctuaries. The executions of the Armenian prisoners of war and civilians in the </w:t>
      </w:r>
      <w:proofErr w:type="spellStart"/>
      <w:r w:rsidRPr="00665DE8">
        <w:rPr>
          <w:lang w:val="en-US"/>
        </w:rPr>
        <w:t>Hadrut</w:t>
      </w:r>
      <w:proofErr w:type="spellEnd"/>
      <w:r w:rsidRPr="00665DE8">
        <w:rPr>
          <w:lang w:val="en-US"/>
        </w:rPr>
        <w:t xml:space="preserve"> region of </w:t>
      </w:r>
      <w:proofErr w:type="spellStart"/>
      <w:r w:rsidRPr="00665DE8">
        <w:rPr>
          <w:lang w:val="en-US"/>
        </w:rPr>
        <w:t>Artsakh</w:t>
      </w:r>
      <w:proofErr w:type="spellEnd"/>
      <w:r w:rsidRPr="00665DE8">
        <w:rPr>
          <w:lang w:val="en-US"/>
        </w:rPr>
        <w:t xml:space="preserve"> and other settlements fallen under the military control of Azerbaijan are the results of the past </w:t>
      </w:r>
      <w:proofErr w:type="spellStart"/>
      <w:r w:rsidRPr="00665DE8">
        <w:rPr>
          <w:lang w:val="en-US"/>
        </w:rPr>
        <w:t>uncondemned</w:t>
      </w:r>
      <w:proofErr w:type="spellEnd"/>
      <w:r w:rsidRPr="00665DE8">
        <w:rPr>
          <w:lang w:val="en-US"/>
        </w:rPr>
        <w:t xml:space="preserve"> crimes. </w:t>
      </w:r>
    </w:p>
    <w:p w14:paraId="09EF52E7" w14:textId="77777777" w:rsidR="00665DE8" w:rsidRPr="00665DE8" w:rsidRDefault="00665DE8" w:rsidP="00665DE8">
      <w:pPr>
        <w:pStyle w:val="SingleTxtG"/>
        <w:rPr>
          <w:lang w:val="en-US"/>
        </w:rPr>
      </w:pPr>
      <w:r w:rsidRPr="00665DE8">
        <w:rPr>
          <w:lang w:val="en-US"/>
        </w:rPr>
        <w:t xml:space="preserve">Today, by paying tribute to the innocent victims of the Armenian massacres in Sumgait, we once again emphasize the determination of the Republic of Armenia, Republic of Artsakh and all Armenians </w:t>
      </w:r>
    </w:p>
    <w:p w14:paraId="3D4C27D5" w14:textId="77777777" w:rsidR="00D819F2" w:rsidRPr="00D819F2" w:rsidRDefault="00D819F2" w:rsidP="00D819F2">
      <w:pPr>
        <w:pStyle w:val="SingleTxtG"/>
        <w:spacing w:before="240" w:after="0"/>
        <w:jc w:val="center"/>
        <w:rPr>
          <w:i/>
          <w:iCs/>
          <w:u w:val="single"/>
          <w:lang w:val="en-US"/>
        </w:rPr>
      </w:pPr>
      <w:r>
        <w:rPr>
          <w:u w:val="single"/>
          <w:lang w:val="en-US"/>
        </w:rPr>
        <w:tab/>
      </w:r>
      <w:r>
        <w:rPr>
          <w:u w:val="single"/>
          <w:lang w:val="en-US"/>
        </w:rPr>
        <w:tab/>
      </w:r>
      <w:r>
        <w:rPr>
          <w:u w:val="single"/>
          <w:lang w:val="en-US"/>
        </w:rPr>
        <w:tab/>
      </w:r>
      <w:r w:rsidR="00D72CB7">
        <w:rPr>
          <w:u w:val="single"/>
          <w:lang w:val="en-US"/>
        </w:rPr>
        <w:tab/>
      </w:r>
    </w:p>
    <w:sectPr w:rsidR="00D819F2" w:rsidRPr="00D819F2" w:rsidSect="00EC70B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8C08" w14:textId="77777777" w:rsidR="0059509B" w:rsidRDefault="0059509B"/>
  </w:endnote>
  <w:endnote w:type="continuationSeparator" w:id="0">
    <w:p w14:paraId="6F92E05F" w14:textId="77777777" w:rsidR="0059509B" w:rsidRDefault="0059509B"/>
  </w:endnote>
  <w:endnote w:type="continuationNotice" w:id="1">
    <w:p w14:paraId="269BC1C4" w14:textId="77777777" w:rsidR="0059509B" w:rsidRDefault="0059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3BCB" w14:textId="45590885"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05498D">
      <w:rPr>
        <w:b/>
        <w:noProof/>
        <w:sz w:val="18"/>
      </w:rPr>
      <w:t>2</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7717" w14:textId="77777777"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665DE8">
      <w:rPr>
        <w:b/>
        <w:noProof/>
        <w:sz w:val="18"/>
      </w:rPr>
      <w:t>3</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37F3" w14:textId="77777777" w:rsidR="0059509B" w:rsidRPr="000B175B" w:rsidRDefault="0059509B" w:rsidP="000B175B">
      <w:pPr>
        <w:tabs>
          <w:tab w:val="right" w:pos="2155"/>
        </w:tabs>
        <w:spacing w:after="80"/>
        <w:ind w:left="680"/>
        <w:rPr>
          <w:u w:val="single"/>
        </w:rPr>
      </w:pPr>
      <w:r>
        <w:rPr>
          <w:u w:val="single"/>
        </w:rPr>
        <w:tab/>
      </w:r>
    </w:p>
  </w:footnote>
  <w:footnote w:type="continuationSeparator" w:id="0">
    <w:p w14:paraId="28E15CE6" w14:textId="77777777" w:rsidR="0059509B" w:rsidRPr="00FC68B7" w:rsidRDefault="0059509B" w:rsidP="00FC68B7">
      <w:pPr>
        <w:tabs>
          <w:tab w:val="left" w:pos="2155"/>
        </w:tabs>
        <w:spacing w:after="80"/>
        <w:ind w:left="680"/>
        <w:rPr>
          <w:u w:val="single"/>
        </w:rPr>
      </w:pPr>
      <w:r>
        <w:rPr>
          <w:u w:val="single"/>
        </w:rPr>
        <w:tab/>
      </w:r>
    </w:p>
  </w:footnote>
  <w:footnote w:type="continuationNotice" w:id="1">
    <w:p w14:paraId="1E9A2417" w14:textId="77777777" w:rsidR="0059509B" w:rsidRDefault="0059509B"/>
  </w:footnote>
  <w:footnote w:id="2">
    <w:p w14:paraId="70BE46FB" w14:textId="77777777" w:rsidR="00665DE8" w:rsidRPr="00F540DB" w:rsidRDefault="00665DE8" w:rsidP="00665DE8">
      <w:pPr>
        <w:pStyle w:val="FootnoteText"/>
        <w:rPr>
          <w:szCs w:val="18"/>
          <w:lang w:val="en-US"/>
        </w:rPr>
      </w:pPr>
      <w:r w:rsidRPr="00D72CB7">
        <w:rPr>
          <w:rStyle w:val="FootnoteReference"/>
          <w:sz w:val="20"/>
        </w:rPr>
        <w:tab/>
      </w:r>
      <w:r w:rsidRPr="00D72CB7">
        <w:rPr>
          <w:rStyle w:val="FootnoteReference"/>
          <w:sz w:val="20"/>
          <w:vertAlign w:val="baseline"/>
        </w:rPr>
        <w:t>*</w:t>
      </w:r>
      <w:r w:rsidRPr="00F540DB">
        <w:rPr>
          <w:rStyle w:val="FootnoteReference"/>
          <w:szCs w:val="18"/>
          <w:vertAlign w:val="baseline"/>
        </w:rPr>
        <w:tab/>
      </w:r>
      <w:r w:rsidRPr="00F540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158F" w14:textId="77777777" w:rsidR="00EC70BF" w:rsidRPr="00EC70BF" w:rsidRDefault="00A36052">
    <w:pPr>
      <w:pStyle w:val="Header"/>
    </w:pPr>
    <w:r>
      <w:t>A/HRC/46/G/</w:t>
    </w:r>
    <w:r w:rsidR="00665DE8">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C1C6" w14:textId="77777777" w:rsidR="00EC70BF" w:rsidRPr="00EC70BF" w:rsidRDefault="00E616EB" w:rsidP="00EC70BF">
    <w:pPr>
      <w:pStyle w:val="Header"/>
      <w:jc w:val="right"/>
    </w:pPr>
    <w:r>
      <w:t>A/HRC/46/G/</w:t>
    </w:r>
    <w:r w:rsidR="001A428C">
      <w:t>1</w:t>
    </w:r>
    <w:r w:rsidR="00D819F2">
      <w:t>8</w:t>
    </w:r>
    <w:r w:rsidRPr="00EC70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498D"/>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54E4F"/>
    <w:rsid w:val="001853FF"/>
    <w:rsid w:val="001A428C"/>
    <w:rsid w:val="001A7C50"/>
    <w:rsid w:val="001B4B04"/>
    <w:rsid w:val="001C6663"/>
    <w:rsid w:val="001C7895"/>
    <w:rsid w:val="001D26DF"/>
    <w:rsid w:val="001E2790"/>
    <w:rsid w:val="00211E0B"/>
    <w:rsid w:val="00211E72"/>
    <w:rsid w:val="00214047"/>
    <w:rsid w:val="0022130F"/>
    <w:rsid w:val="00237785"/>
    <w:rsid w:val="002410DD"/>
    <w:rsid w:val="00241466"/>
    <w:rsid w:val="00253D58"/>
    <w:rsid w:val="00261C2D"/>
    <w:rsid w:val="0027725F"/>
    <w:rsid w:val="00287CB6"/>
    <w:rsid w:val="002A7BAB"/>
    <w:rsid w:val="002C21F0"/>
    <w:rsid w:val="003107FA"/>
    <w:rsid w:val="003229D8"/>
    <w:rsid w:val="003314D1"/>
    <w:rsid w:val="00335A2F"/>
    <w:rsid w:val="00341937"/>
    <w:rsid w:val="0039277A"/>
    <w:rsid w:val="003972E0"/>
    <w:rsid w:val="003975ED"/>
    <w:rsid w:val="003C0850"/>
    <w:rsid w:val="003C2CC4"/>
    <w:rsid w:val="003D4B23"/>
    <w:rsid w:val="00401A6C"/>
    <w:rsid w:val="00412EC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2740C"/>
    <w:rsid w:val="005420F2"/>
    <w:rsid w:val="00542574"/>
    <w:rsid w:val="005436AB"/>
    <w:rsid w:val="00546924"/>
    <w:rsid w:val="00546DBF"/>
    <w:rsid w:val="00553D76"/>
    <w:rsid w:val="005552B5"/>
    <w:rsid w:val="0055725D"/>
    <w:rsid w:val="0056117B"/>
    <w:rsid w:val="00562621"/>
    <w:rsid w:val="00571365"/>
    <w:rsid w:val="0059509B"/>
    <w:rsid w:val="0059735D"/>
    <w:rsid w:val="005A0E16"/>
    <w:rsid w:val="005B3DB3"/>
    <w:rsid w:val="005B6E48"/>
    <w:rsid w:val="005D53BE"/>
    <w:rsid w:val="005E1712"/>
    <w:rsid w:val="00611FC4"/>
    <w:rsid w:val="006176FB"/>
    <w:rsid w:val="00640B26"/>
    <w:rsid w:val="00655B60"/>
    <w:rsid w:val="00665DE8"/>
    <w:rsid w:val="00670741"/>
    <w:rsid w:val="006749BB"/>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65B30"/>
    <w:rsid w:val="00871FD5"/>
    <w:rsid w:val="008847BB"/>
    <w:rsid w:val="0089120C"/>
    <w:rsid w:val="008939F8"/>
    <w:rsid w:val="008979B1"/>
    <w:rsid w:val="008A1EDF"/>
    <w:rsid w:val="008A6B25"/>
    <w:rsid w:val="008A6C4F"/>
    <w:rsid w:val="008C1E4D"/>
    <w:rsid w:val="008C2F29"/>
    <w:rsid w:val="008E0E46"/>
    <w:rsid w:val="0090452C"/>
    <w:rsid w:val="00907C3F"/>
    <w:rsid w:val="0092237C"/>
    <w:rsid w:val="0093707B"/>
    <w:rsid w:val="009400EB"/>
    <w:rsid w:val="009427E3"/>
    <w:rsid w:val="00946575"/>
    <w:rsid w:val="00956D9B"/>
    <w:rsid w:val="00963CBA"/>
    <w:rsid w:val="009654B7"/>
    <w:rsid w:val="0098078D"/>
    <w:rsid w:val="00991261"/>
    <w:rsid w:val="009A0B83"/>
    <w:rsid w:val="009B3800"/>
    <w:rsid w:val="009D22AC"/>
    <w:rsid w:val="009D50DB"/>
    <w:rsid w:val="009E1C4E"/>
    <w:rsid w:val="00A0036A"/>
    <w:rsid w:val="00A015B7"/>
    <w:rsid w:val="00A05E0B"/>
    <w:rsid w:val="00A1427D"/>
    <w:rsid w:val="00A36052"/>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C7D96"/>
    <w:rsid w:val="00BE618E"/>
    <w:rsid w:val="00BE655C"/>
    <w:rsid w:val="00C02085"/>
    <w:rsid w:val="00C217E7"/>
    <w:rsid w:val="00C24693"/>
    <w:rsid w:val="00C35F0B"/>
    <w:rsid w:val="00C463DD"/>
    <w:rsid w:val="00C64458"/>
    <w:rsid w:val="00C745C3"/>
    <w:rsid w:val="00CA2A58"/>
    <w:rsid w:val="00CA6A1C"/>
    <w:rsid w:val="00CC0B55"/>
    <w:rsid w:val="00CD6995"/>
    <w:rsid w:val="00CE13DE"/>
    <w:rsid w:val="00CE4A8F"/>
    <w:rsid w:val="00CF0214"/>
    <w:rsid w:val="00CF586F"/>
    <w:rsid w:val="00CF7D43"/>
    <w:rsid w:val="00D11129"/>
    <w:rsid w:val="00D13C4B"/>
    <w:rsid w:val="00D2031B"/>
    <w:rsid w:val="00D22332"/>
    <w:rsid w:val="00D25FE2"/>
    <w:rsid w:val="00D43252"/>
    <w:rsid w:val="00D550F9"/>
    <w:rsid w:val="00D5696D"/>
    <w:rsid w:val="00D572B0"/>
    <w:rsid w:val="00D62E90"/>
    <w:rsid w:val="00D72CB7"/>
    <w:rsid w:val="00D76BE5"/>
    <w:rsid w:val="00D819F2"/>
    <w:rsid w:val="00D978C6"/>
    <w:rsid w:val="00DA67AD"/>
    <w:rsid w:val="00DB18CE"/>
    <w:rsid w:val="00DB5566"/>
    <w:rsid w:val="00DE3EC0"/>
    <w:rsid w:val="00E11593"/>
    <w:rsid w:val="00E12B6B"/>
    <w:rsid w:val="00E130AB"/>
    <w:rsid w:val="00E219EE"/>
    <w:rsid w:val="00E438D9"/>
    <w:rsid w:val="00E5644E"/>
    <w:rsid w:val="00E616EB"/>
    <w:rsid w:val="00E620AE"/>
    <w:rsid w:val="00E7260F"/>
    <w:rsid w:val="00E806EE"/>
    <w:rsid w:val="00E96630"/>
    <w:rsid w:val="00EB0FB9"/>
    <w:rsid w:val="00EB4A88"/>
    <w:rsid w:val="00EC70BF"/>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FF882"/>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locked/>
    <w:rsid w:val="00D13C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554</Words>
  <Characters>3162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2021-03-03T10:51:00Z</dcterms:created>
  <dcterms:modified xsi:type="dcterms:W3CDTF">2021-03-03T10:51:00Z</dcterms:modified>
</cp:coreProperties>
</file>