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79C73882"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3213806A" w:rsidR="00446DE4" w:rsidRPr="00DE3EC0" w:rsidRDefault="00B71EE9" w:rsidP="002947DF">
            <w:pPr>
              <w:jc w:val="right"/>
            </w:pPr>
            <w:r w:rsidRPr="00B71EE9">
              <w:rPr>
                <w:sz w:val="40"/>
              </w:rPr>
              <w:t>A</w:t>
            </w:r>
            <w:r>
              <w:t>/HRC/4</w:t>
            </w:r>
            <w:r w:rsidR="009544BD">
              <w:t>7</w:t>
            </w:r>
            <w:r>
              <w:t>/G/</w:t>
            </w:r>
            <w:r w:rsidR="00C1349E">
              <w:t>2</w:t>
            </w:r>
            <w:r w:rsidR="002947DF">
              <w:t>3</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72B2A815"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357A57DC" w:rsidR="003107FA" w:rsidRPr="00B3317B" w:rsidRDefault="007D065C"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181A9000" w14:textId="30D27EE8" w:rsidR="003727A9" w:rsidRDefault="00EA3F64" w:rsidP="00B71EE9">
            <w:pPr>
              <w:spacing w:line="240" w:lineRule="exact"/>
            </w:pPr>
            <w:r>
              <w:t>1</w:t>
            </w:r>
            <w:r w:rsidR="004C72F2">
              <w:t>6</w:t>
            </w:r>
            <w:r w:rsidR="00785AB3">
              <w:t xml:space="preserve"> </w:t>
            </w:r>
            <w:r w:rsidR="002947DF">
              <w:t>August</w:t>
            </w:r>
            <w:r w:rsidR="00D31F90">
              <w:t xml:space="preserve"> 2021</w:t>
            </w:r>
          </w:p>
          <w:p w14:paraId="57EB3490" w14:textId="77777777" w:rsidR="009853F7" w:rsidRDefault="009853F7" w:rsidP="00B71EE9">
            <w:pPr>
              <w:spacing w:line="240" w:lineRule="exact"/>
            </w:pPr>
          </w:p>
          <w:p w14:paraId="419C69F1" w14:textId="3FB32DA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24B48515" w14:textId="77777777" w:rsidR="002947DF" w:rsidRDefault="002947DF" w:rsidP="002947DF">
      <w:r w:rsidRPr="00E55A5A">
        <w:t xml:space="preserve">Agenda item </w:t>
      </w:r>
      <w:r>
        <w:t>3</w:t>
      </w:r>
    </w:p>
    <w:p w14:paraId="13934041" w14:textId="77777777" w:rsidR="00B408AF" w:rsidRDefault="002947DF" w:rsidP="002947DF">
      <w:pPr>
        <w:rPr>
          <w:b/>
        </w:rPr>
      </w:pPr>
      <w:r w:rsidRPr="00A77747">
        <w:rPr>
          <w:b/>
        </w:rPr>
        <w:t>Promotion and protection of all human rights,</w:t>
      </w:r>
    </w:p>
    <w:p w14:paraId="45F86326" w14:textId="4770D539" w:rsidR="00B408AF" w:rsidRDefault="002947DF" w:rsidP="002947DF">
      <w:pPr>
        <w:rPr>
          <w:b/>
        </w:rPr>
      </w:pPr>
      <w:r w:rsidRPr="00A77747">
        <w:rPr>
          <w:b/>
        </w:rPr>
        <w:t>civil, political,</w:t>
      </w:r>
      <w:r w:rsidR="00B408AF">
        <w:rPr>
          <w:b/>
        </w:rPr>
        <w:t xml:space="preserve"> </w:t>
      </w:r>
      <w:r w:rsidRPr="00A77747">
        <w:rPr>
          <w:b/>
        </w:rPr>
        <w:t xml:space="preserve">economic, social and cultural rights, </w:t>
      </w:r>
    </w:p>
    <w:p w14:paraId="3C624ED2" w14:textId="1F52C911" w:rsidR="002947DF" w:rsidRPr="00A77747" w:rsidRDefault="002947DF" w:rsidP="002947DF">
      <w:pPr>
        <w:rPr>
          <w:b/>
        </w:rPr>
      </w:pPr>
      <w:r w:rsidRPr="00A77747">
        <w:rPr>
          <w:b/>
        </w:rPr>
        <w:t>including the right to development</w:t>
      </w:r>
    </w:p>
    <w:p w14:paraId="6F46D76B" w14:textId="19B6EBD0" w:rsidR="00C1349E" w:rsidRDefault="00737305" w:rsidP="004C72F2">
      <w:pPr>
        <w:pStyle w:val="H1G"/>
        <w:jc w:val="both"/>
        <w:rPr>
          <w:bCs/>
        </w:rPr>
      </w:pPr>
      <w:r>
        <w:tab/>
      </w:r>
      <w:r>
        <w:tab/>
      </w:r>
      <w:r w:rsidR="002947DF" w:rsidRPr="002947DF">
        <w:rPr>
          <w:bCs/>
        </w:rPr>
        <w:t xml:space="preserve">Note verbale dated 5 </w:t>
      </w:r>
      <w:r w:rsidR="002947DF">
        <w:rPr>
          <w:bCs/>
        </w:rPr>
        <w:t>August</w:t>
      </w:r>
      <w:r w:rsidR="002947DF" w:rsidRPr="002947DF">
        <w:rPr>
          <w:bCs/>
        </w:rPr>
        <w:t xml:space="preserve"> 2021 from the Permanent Mission of Greece to the United Nations Office at Geneva addressed to the Office of the United Nations High Commissioner for Human Rights</w:t>
      </w:r>
    </w:p>
    <w:p w14:paraId="0FCF024D" w14:textId="6F40F5E6" w:rsidR="002947DF" w:rsidRPr="002947DF" w:rsidRDefault="002947DF" w:rsidP="002947DF">
      <w:pPr>
        <w:pStyle w:val="SingleTxtG"/>
        <w:ind w:firstLine="567"/>
      </w:pPr>
      <w:r w:rsidRPr="002947DF">
        <w:t>The Permanent Mission of Greece to the United Nations Office and other international organizations in Geneva provide</w:t>
      </w:r>
      <w:r w:rsidR="00F33E0D">
        <w:t>s</w:t>
      </w:r>
      <w:r w:rsidRPr="002947DF">
        <w:t xml:space="preserve"> herewith the comments of the Government of Greece in relation to the written statement submitted by </w:t>
      </w:r>
      <w:r>
        <w:t>six non-governmental organizations in special consultative status</w:t>
      </w:r>
      <w:r w:rsidR="00AF0E48">
        <w:t xml:space="preserve"> </w:t>
      </w:r>
      <w:r w:rsidRPr="002947DF">
        <w:t>(A/HRC/4</w:t>
      </w:r>
      <w:r>
        <w:t>7</w:t>
      </w:r>
      <w:r w:rsidRPr="002947DF">
        <w:t>/NGO/</w:t>
      </w:r>
      <w:r>
        <w:t>201</w:t>
      </w:r>
      <w:r w:rsidRPr="002947DF">
        <w:t>)</w:t>
      </w:r>
      <w:r w:rsidR="00F33E0D">
        <w:t xml:space="preserve"> (see annex)</w:t>
      </w:r>
      <w:r w:rsidRPr="002947DF">
        <w:t>.</w:t>
      </w:r>
    </w:p>
    <w:p w14:paraId="1398017E" w14:textId="31098BF3" w:rsidR="002947DF" w:rsidRPr="002947DF" w:rsidRDefault="002947DF" w:rsidP="002947DF">
      <w:pPr>
        <w:pStyle w:val="SingleTxtG"/>
        <w:ind w:firstLine="567"/>
      </w:pPr>
      <w:r>
        <w:tab/>
      </w:r>
      <w:r w:rsidRPr="002947DF">
        <w:t xml:space="preserve">The Permanent Mission of Greece kindly requests the Office of the </w:t>
      </w:r>
      <w:r w:rsidR="00F33E0D">
        <w:t xml:space="preserve">United Nations </w:t>
      </w:r>
      <w:r w:rsidRPr="002947DF">
        <w:t xml:space="preserve">High Commissioner </w:t>
      </w:r>
      <w:r w:rsidR="00F33E0D">
        <w:t xml:space="preserve">for Human Rights </w:t>
      </w:r>
      <w:r w:rsidRPr="002947DF">
        <w:t xml:space="preserve">to circulate the present note </w:t>
      </w:r>
      <w:r w:rsidR="00F33E0D">
        <w:t xml:space="preserve">verbale </w:t>
      </w:r>
      <w:r w:rsidRPr="002947DF">
        <w:t>and the annex</w:t>
      </w:r>
      <w:r w:rsidR="00F33E0D" w:rsidRPr="00F33E0D">
        <w:t xml:space="preserve"> </w:t>
      </w:r>
      <w:r w:rsidR="00F33E0D" w:rsidRPr="002947DF">
        <w:t>thereto</w:t>
      </w:r>
      <w:r w:rsidRPr="002947DF">
        <w:footnoteReference w:customMarkFollows="1" w:id="2"/>
        <w:t>* as a document of the Human Rights Council</w:t>
      </w:r>
      <w:r w:rsidR="00F33E0D">
        <w:t>,</w:t>
      </w:r>
      <w:r w:rsidRPr="002947DF">
        <w:t xml:space="preserve"> under agenda item 3.</w:t>
      </w:r>
    </w:p>
    <w:p w14:paraId="7E9BD52A" w14:textId="71C9BE7E" w:rsidR="009309BF" w:rsidRDefault="00612776" w:rsidP="004C72F2">
      <w:pPr>
        <w:pStyle w:val="HChG"/>
        <w:jc w:val="both"/>
      </w:pPr>
      <w:r>
        <w:rPr>
          <w:rFonts w:eastAsia="Calibri"/>
        </w:rPr>
        <w:br w:type="page"/>
      </w:r>
      <w:r w:rsidR="00E5367C">
        <w:rPr>
          <w:rFonts w:eastAsia="Calibri"/>
        </w:rPr>
        <w:lastRenderedPageBreak/>
        <w:tab/>
      </w:r>
      <w:r w:rsidR="00E5367C">
        <w:rPr>
          <w:rFonts w:eastAsia="Calibri"/>
        </w:rPr>
        <w:tab/>
      </w:r>
      <w:r w:rsidR="002947DF" w:rsidRPr="002947DF">
        <w:t xml:space="preserve">Annex to the note verbale dated 5 </w:t>
      </w:r>
      <w:r w:rsidR="002947DF" w:rsidRPr="002947DF">
        <w:rPr>
          <w:rFonts w:eastAsia="Calibri"/>
        </w:rPr>
        <w:t>August</w:t>
      </w:r>
      <w:r w:rsidR="002947DF" w:rsidRPr="002947DF">
        <w:t xml:space="preserve"> 2021 from the Permanent Mission of Greece to the United Nations Office at Geneva addressed to the Office of the United Nations High Commissioner for Human Rights</w:t>
      </w:r>
    </w:p>
    <w:p w14:paraId="486F2ED6" w14:textId="77777777" w:rsidR="0011247C" w:rsidRPr="003D5AFC" w:rsidRDefault="0011247C" w:rsidP="003D5AFC">
      <w:pPr>
        <w:pStyle w:val="SingleTxtG"/>
      </w:pPr>
      <w:r w:rsidRPr="003D5AFC">
        <w:t>The statement submitted by the 6 NGOs on 31 May 2021 to the Human Rights Council contains a lot of inaccurate data and not updated information about the reception system and the rights of asylum seekers in Greece.</w:t>
      </w:r>
    </w:p>
    <w:p w14:paraId="6C64AEFE" w14:textId="77777777" w:rsidR="0011247C" w:rsidRPr="003D5AFC" w:rsidRDefault="0011247C" w:rsidP="003D5AFC">
      <w:pPr>
        <w:pStyle w:val="SingleTxtG"/>
        <w:rPr>
          <w:rFonts w:eastAsia="Calibri"/>
        </w:rPr>
      </w:pPr>
      <w:r w:rsidRPr="003D5AFC">
        <w:t>Since it largely refers to the conditions in the so-called</w:t>
      </w:r>
      <w:r w:rsidRPr="003D5AFC">
        <w:rPr>
          <w:rFonts w:eastAsia="Calibri"/>
        </w:rPr>
        <w:t xml:space="preserve"> hotspots, it needs to be reminded that it is about </w:t>
      </w:r>
      <w:r w:rsidRPr="00D96D04">
        <w:rPr>
          <w:rFonts w:eastAsia="Calibri"/>
          <w:b/>
        </w:rPr>
        <w:t>First Reception Facilities (RIC)</w:t>
      </w:r>
      <w:r w:rsidRPr="003D5AFC">
        <w:rPr>
          <w:rFonts w:eastAsia="Calibri"/>
        </w:rPr>
        <w:t xml:space="preserve"> that have been established on the islands of Lesvos, Chios, Samos, Leros and Kos. These facilities followed the hotspot approach as established by the European Commission during the 2015 crisis, in order to address specific challenges faced by member states at the external borders particularly exposed to migratory flows. They aimed to improve coordination of the EU agencies' and national authorities' efforts in the initial reception, identification, registration and fingerprinting of asylum-seekers and migrants. They were designed in order to offer proper reception conditions to asylum seekers and to ensure a fast and high-quality asylum process.</w:t>
      </w:r>
    </w:p>
    <w:p w14:paraId="6D9A2BA6" w14:textId="44D20FF6" w:rsidR="0011247C" w:rsidRPr="003D5AFC" w:rsidRDefault="0011247C" w:rsidP="003D5AFC">
      <w:pPr>
        <w:pStyle w:val="SingleTxtG"/>
        <w:rPr>
          <w:rFonts w:eastAsia="Calibri"/>
        </w:rPr>
      </w:pPr>
      <w:r w:rsidRPr="003D5AFC">
        <w:rPr>
          <w:rFonts w:eastAsia="Calibri"/>
        </w:rPr>
        <w:t xml:space="preserve">RICs were founded during the past decade and operated under uncertain and difficult circumstances when the Greek authorities had to deal for years with increased mixed migratory flows putting pressure to the social services on the islands.  All RICs are about to be substituted by the </w:t>
      </w:r>
      <w:r w:rsidRPr="00D96D04">
        <w:rPr>
          <w:rFonts w:eastAsia="Calibri"/>
          <w:b/>
        </w:rPr>
        <w:t>new MPRICs (Multi-purpose Reception and Identification Centres).</w:t>
      </w:r>
      <w:r w:rsidRPr="003D5AFC">
        <w:rPr>
          <w:rFonts w:eastAsia="Calibri"/>
        </w:rPr>
        <w:t xml:space="preserve"> MPRICs are based on a modern layout which will cover all the needs of TCNs arriving in Greece (e.g., Primary Health Care Centres, safe areas for vulnerable persons such as UAMs and single-parent families etc. have been included in this layout). The first MPRIC to operate will be the one of Samos, in autumn 2021 (see Annex)</w:t>
      </w:r>
    </w:p>
    <w:p w14:paraId="4E89765D" w14:textId="77777777" w:rsidR="0011247C" w:rsidRPr="003D5AFC" w:rsidRDefault="0011247C" w:rsidP="003D5AFC">
      <w:pPr>
        <w:pStyle w:val="SingleTxtG"/>
        <w:rPr>
          <w:rFonts w:eastAsia="Calibri"/>
        </w:rPr>
      </w:pPr>
      <w:r w:rsidRPr="003D5AFC">
        <w:rPr>
          <w:rFonts w:eastAsia="Calibri"/>
        </w:rPr>
        <w:t xml:space="preserve">Contrary to the depressing picture described in the common statement of the six NGOs, the current </w:t>
      </w:r>
      <w:r w:rsidRPr="00D96D04">
        <w:rPr>
          <w:rFonts w:eastAsia="Calibri"/>
          <w:b/>
        </w:rPr>
        <w:t>situation on the Greek islands</w:t>
      </w:r>
      <w:r w:rsidRPr="003D5AFC">
        <w:rPr>
          <w:rFonts w:eastAsia="Calibri"/>
        </w:rPr>
        <w:t xml:space="preserve"> is completely different. The RICs are not overcrowded. On the contrary, the number of persons in RICs decreases. On July 19, 2021, 4366TCNs were hosted on Lesvos (RIC capacity8000), 330 on Chios (RIC capacity 1014),929 on Samos (RIC capacity 648)109 on Leros (RIC capacity 860) and 52 on Kos (RIC capacity 816). In total, 5786 TCNs were hosted on island RICs, while the capacity was11338 places. The majority of vulnerable TCNs have been transferred to reception facilities in the mainland of Greece and to apartments of the ESTIA/UNHCR accommodation programme. Thus, the stay of asylum seekers on the islands rarely exceeds the maximum of six months and even in these cases the prolongation of stay is justified (e.g., due to procedures to be followed because of the COVID 19 pandemic etc.).</w:t>
      </w:r>
    </w:p>
    <w:p w14:paraId="0A8EBFC1" w14:textId="264D399A" w:rsidR="0011247C" w:rsidRPr="003D5AFC" w:rsidRDefault="0011247C" w:rsidP="003D5AFC">
      <w:pPr>
        <w:pStyle w:val="SingleTxtG"/>
        <w:rPr>
          <w:rFonts w:eastAsia="Calibri"/>
        </w:rPr>
      </w:pPr>
      <w:r w:rsidRPr="003D5AFC">
        <w:rPr>
          <w:rFonts w:eastAsia="Calibri"/>
        </w:rPr>
        <w:t xml:space="preserve">Regarding in particular the </w:t>
      </w:r>
      <w:r w:rsidRPr="00D96D04">
        <w:rPr>
          <w:rFonts w:eastAsia="Calibri"/>
          <w:b/>
        </w:rPr>
        <w:t>RIC in Lesvos</w:t>
      </w:r>
      <w:r w:rsidRPr="003D5AFC">
        <w:rPr>
          <w:rFonts w:eastAsia="Calibri"/>
        </w:rPr>
        <w:t>, it should be pointed out that there is no risk of flood, as the construction works concerning anti-flooding measures have been completed. At the same time, the construction of internal and external sewage net system is coming to an end. Partitioned rub-halls, containers and RHU have been deployed in the camp. All these types of accommodation are fully winterized and heated. In the camp there are 48 taps (one per 90 people and not one per 500 as inaccurately mentioned in the common statement). The number of toilets is sufficient (one per 11 people and not one per 100 as inaccurately mentioned in the joint statement). As for the showers, the ratio is 27 persons per shower. All the above-mentioned indicators are adequate according to the EASO and the SPHERE standards for the reception facilities (see Annex).</w:t>
      </w:r>
    </w:p>
    <w:p w14:paraId="215F0D28" w14:textId="77777777" w:rsidR="0011247C" w:rsidRPr="003D5AFC" w:rsidRDefault="0011247C" w:rsidP="003D5AFC">
      <w:pPr>
        <w:pStyle w:val="SingleTxtG"/>
        <w:rPr>
          <w:rFonts w:eastAsia="Calibri"/>
        </w:rPr>
      </w:pPr>
      <w:r w:rsidRPr="003D5AFC">
        <w:rPr>
          <w:rFonts w:eastAsia="Calibri"/>
        </w:rPr>
        <w:t xml:space="preserve">Concerning the </w:t>
      </w:r>
      <w:r w:rsidRPr="00D96D04">
        <w:rPr>
          <w:rFonts w:eastAsia="Calibri"/>
          <w:b/>
        </w:rPr>
        <w:t>access to healthcare treatment</w:t>
      </w:r>
      <w:r w:rsidRPr="003D5AFC">
        <w:rPr>
          <w:rFonts w:eastAsia="Calibri"/>
        </w:rPr>
        <w:t xml:space="preserve"> for third country nationals (TNCs) residing in Lesvos RIC, it should be noted that the particular RIC operates with doctors from the National Organization of Public Health, the Doctors of the World and other health services providers. Specialties such as gynaecologists and paediatricians are covered on a weekly basis and even a small biochemical laboratory is fully operational.</w:t>
      </w:r>
    </w:p>
    <w:p w14:paraId="56887A4B" w14:textId="77777777" w:rsidR="0011247C" w:rsidRPr="003D5AFC" w:rsidRDefault="0011247C" w:rsidP="003D5AFC">
      <w:pPr>
        <w:pStyle w:val="SingleTxtG"/>
        <w:rPr>
          <w:rFonts w:eastAsia="Calibri"/>
        </w:rPr>
      </w:pPr>
      <w:r w:rsidRPr="00D96D04">
        <w:rPr>
          <w:rFonts w:eastAsia="Calibri"/>
          <w:b/>
        </w:rPr>
        <w:t>Education</w:t>
      </w:r>
      <w:r w:rsidRPr="003D5AFC">
        <w:rPr>
          <w:rFonts w:eastAsia="Calibri"/>
        </w:rPr>
        <w:t xml:space="preserve"> is one of the basic services minors in the reception and asylum framework are entitled to. Nevertheless, during 2020, access to public (formal) education encountered difficulties as a result of Covid-19 pandemic. The Reception &amp; Identification Service, in collaboration with IOM and other organizations that are offering technical support on site </w:t>
      </w:r>
      <w:r w:rsidRPr="003D5AFC">
        <w:rPr>
          <w:rFonts w:eastAsia="Calibri"/>
        </w:rPr>
        <w:lastRenderedPageBreak/>
        <w:t xml:space="preserve">management, enhanced the capacity of wi-fi connections in the camps in order to be able to support the distance-learning programs of public schools. Additionally, the staff of the Service responsible for child protection assisted the regionally appointed Coordinators of Refugees’ Education of the Ministry of Education and facilitated the procedures for self-testing and registration to schools.  </w:t>
      </w:r>
    </w:p>
    <w:p w14:paraId="4CC86304" w14:textId="77777777" w:rsidR="0011247C" w:rsidRPr="003D5AFC" w:rsidRDefault="0011247C" w:rsidP="003D5AFC">
      <w:pPr>
        <w:pStyle w:val="SingleTxtG"/>
        <w:rPr>
          <w:rFonts w:eastAsia="Calibri"/>
        </w:rPr>
      </w:pPr>
      <w:r w:rsidRPr="003D5AFC">
        <w:rPr>
          <w:rFonts w:eastAsia="Calibri"/>
        </w:rPr>
        <w:t xml:space="preserve">Concerning the supposed </w:t>
      </w:r>
      <w:r w:rsidRPr="00D96D04">
        <w:rPr>
          <w:rFonts w:eastAsia="Calibri"/>
          <w:b/>
        </w:rPr>
        <w:t>restrictions to the mobility</w:t>
      </w:r>
      <w:r w:rsidRPr="003D5AFC">
        <w:rPr>
          <w:rFonts w:eastAsia="Calibri"/>
        </w:rPr>
        <w:t xml:space="preserve"> </w:t>
      </w:r>
      <w:r w:rsidRPr="00D96D04">
        <w:rPr>
          <w:rFonts w:eastAsia="Calibri"/>
          <w:b/>
        </w:rPr>
        <w:t>of the asylum seekers</w:t>
      </w:r>
      <w:r w:rsidRPr="003D5AFC">
        <w:rPr>
          <w:rFonts w:eastAsia="Calibri"/>
        </w:rPr>
        <w:t xml:space="preserve"> in and out of the reception facilities the Greek State can affirm that this happened only in relation to the protective measures against the COVID 19 pandemic and in line with the relevant epidemiological data (both at the level of Prefecture and the level of accommodation structure), the recommendations of Greek Public Health Organisation (EODY) and the National Committee of Experts against COVID-19. Those measures included a temporary restriction of movement of third-country nationals/stateless persons residing in RICs and accommodation structures, access to international organisations and civil society organisations based on predefined lists, visits not related to accommodation, food and medical services after approval by the Director of the accommodation structure-facility and the deployment of special medical units within the the RICs and accommodation structures, which stand ready to address COVID-19 cases and perform medical screening of staff. These measures were proportionate and necessary to prevent the spread of Covid-19 inside the accommodation facilities, without any discrimination or stigmatization to the TCNs within those sites, in comparison with the general population to whom also restriction of movement was applicable.</w:t>
      </w:r>
    </w:p>
    <w:p w14:paraId="3E8B6D24" w14:textId="77777777" w:rsidR="0011247C" w:rsidRPr="003D5AFC" w:rsidRDefault="0011247C" w:rsidP="003D5AFC">
      <w:pPr>
        <w:pStyle w:val="SingleTxtG"/>
        <w:rPr>
          <w:rFonts w:eastAsia="Calibri"/>
        </w:rPr>
      </w:pPr>
      <w:r w:rsidRPr="003D5AFC">
        <w:rPr>
          <w:rFonts w:eastAsia="Calibri"/>
        </w:rPr>
        <w:t xml:space="preserve">The Greek State successfully manages the reception of TCNs during the last couple of years despite the difficulties due to the COVID 19 pandemic, and, especially in Lesvos, the Greek Authorities successfully managed the crisis after the fire in Moria’s RIC. Even in the temporary reception facility in Mavrovouni, the living conditions for the asylum seekers are better than it has ever been in Moria and they will be further improved in the future after the relocation to the new MPRIC of the island. </w:t>
      </w:r>
    </w:p>
    <w:p w14:paraId="05E6CC02" w14:textId="77777777" w:rsidR="0011247C" w:rsidRPr="003D5AFC" w:rsidRDefault="0011247C" w:rsidP="003D5AFC">
      <w:pPr>
        <w:pStyle w:val="SingleTxtG"/>
        <w:rPr>
          <w:rFonts w:eastAsia="Calibri"/>
        </w:rPr>
      </w:pPr>
      <w:r w:rsidRPr="003D5AFC">
        <w:rPr>
          <w:rFonts w:eastAsia="Calibri"/>
        </w:rPr>
        <w:t xml:space="preserve">All in all, the sanitary, hygienic, food and medical situation in the RICs is far from being catastrophic. On the contrary, it is improving day by day. </w:t>
      </w:r>
    </w:p>
    <w:p w14:paraId="022D189C" w14:textId="77777777" w:rsidR="0011247C" w:rsidRPr="003D5AFC" w:rsidRDefault="0011247C" w:rsidP="003D5AFC">
      <w:pPr>
        <w:pStyle w:val="SingleTxtG"/>
        <w:rPr>
          <w:rFonts w:eastAsia="Calibri"/>
        </w:rPr>
      </w:pPr>
      <w:r w:rsidRPr="003D5AFC">
        <w:rPr>
          <w:rFonts w:eastAsia="Calibri"/>
        </w:rPr>
        <w:t xml:space="preserve">Turning to the field of asylum, in the past two years, the implementation of several legislation acts and procedural reforms regarding asylum procedures in Greece delivered a positive sign, despite great difficulties and challenges due to the COVID-19 pandemic. As regards the asylum policy in particular, </w:t>
      </w:r>
      <w:r w:rsidRPr="00D96D04">
        <w:rPr>
          <w:rFonts w:eastAsia="Calibri"/>
          <w:b/>
        </w:rPr>
        <w:t>asylum procedures</w:t>
      </w:r>
      <w:r w:rsidRPr="003D5AFC">
        <w:rPr>
          <w:rFonts w:eastAsia="Calibri"/>
        </w:rPr>
        <w:t xml:space="preserve"> in 2020accelerated by 65% while the Asylum Service’s pending decisions decreased by 43%. </w:t>
      </w:r>
    </w:p>
    <w:p w14:paraId="6A59C025" w14:textId="3E76CBFB" w:rsidR="0011247C" w:rsidRPr="003D5AFC" w:rsidRDefault="0011247C" w:rsidP="003D5AFC">
      <w:pPr>
        <w:pStyle w:val="SingleTxtG"/>
        <w:rPr>
          <w:rFonts w:eastAsia="Calibri"/>
        </w:rPr>
      </w:pPr>
      <w:r w:rsidRPr="003D5AFC">
        <w:rPr>
          <w:rFonts w:eastAsia="Calibri"/>
        </w:rPr>
        <w:t xml:space="preserve">As it becomes obvious by the data (December 2019 – December 2020) in the ANNEX, asylum procedures are now </w:t>
      </w:r>
      <w:r w:rsidRPr="00D96D04">
        <w:rPr>
          <w:rFonts w:eastAsia="Calibri"/>
          <w:b/>
        </w:rPr>
        <w:t>faster and of a better quality</w:t>
      </w:r>
      <w:r w:rsidRPr="003D5AFC">
        <w:rPr>
          <w:rFonts w:eastAsia="Calibri"/>
        </w:rPr>
        <w:t xml:space="preserve"> than ever in Greece. The backlog of 1st instance decisions decreases gradually but permanently, the productivity of the Greek Asylum Service concerning the 1</w:t>
      </w:r>
      <w:r w:rsidRPr="00F2402D">
        <w:rPr>
          <w:rFonts w:eastAsia="Calibri"/>
          <w:vertAlign w:val="superscript"/>
        </w:rPr>
        <w:t>st</w:t>
      </w:r>
      <w:r w:rsidR="008F5C37">
        <w:rPr>
          <w:rFonts w:eastAsia="Calibri"/>
        </w:rPr>
        <w:t xml:space="preserve"> </w:t>
      </w:r>
      <w:r w:rsidRPr="003D5AFC">
        <w:rPr>
          <w:rFonts w:eastAsia="Calibri"/>
        </w:rPr>
        <w:t>instance decisions has been increased more than 60% during 2020, the percentage of positive decisions is almost 50% (including refugee status and subsidiary protection status) and the average time for the examination of the asylum application rarely exceeds a two-years period of time.</w:t>
      </w:r>
    </w:p>
    <w:p w14:paraId="102D3877" w14:textId="77777777" w:rsidR="0011247C" w:rsidRPr="003D5AFC" w:rsidRDefault="0011247C" w:rsidP="003D5AFC">
      <w:pPr>
        <w:pStyle w:val="SingleTxtG"/>
        <w:rPr>
          <w:rFonts w:eastAsia="Calibri"/>
        </w:rPr>
      </w:pPr>
      <w:r w:rsidRPr="003D5AFC">
        <w:rPr>
          <w:rFonts w:eastAsia="Calibri"/>
        </w:rPr>
        <w:t>Moreover, in the first semester of 2021, there was a further 42% decrease compared to 2020, with 59,945 pending cases, out of which 12,861 were new asylum applications submitted since January 2021. Furthermore, 10,438 decisions granting international protection were issued (Jan-Jun 2021. Out of those, 7,311 decisions were granting refugee status and 3,127 decisions subsidiary protection, whereas 68% of the positive decisions concern Syrian and Afghan nationals.</w:t>
      </w:r>
    </w:p>
    <w:p w14:paraId="31DBEBB9" w14:textId="77777777" w:rsidR="0011247C" w:rsidRPr="003D5AFC" w:rsidRDefault="0011247C" w:rsidP="003D5AFC">
      <w:pPr>
        <w:pStyle w:val="SingleTxtG"/>
        <w:rPr>
          <w:rFonts w:eastAsia="Calibri"/>
        </w:rPr>
      </w:pPr>
      <w:r w:rsidRPr="003D5AFC">
        <w:rPr>
          <w:rFonts w:eastAsia="Calibri"/>
        </w:rPr>
        <w:t xml:space="preserve">Law 4636/2019 as amended in May 2020, transposes EU Directive 32/2013 on common procedures for granting and withdrawing international protection, therefore national legislation remains in line with the EU acquis and in full respect of the 1951 Geneva Convention. </w:t>
      </w:r>
    </w:p>
    <w:p w14:paraId="5CEEDE6A" w14:textId="77777777" w:rsidR="0011247C" w:rsidRPr="003D5AFC" w:rsidRDefault="0011247C" w:rsidP="003D5AFC">
      <w:pPr>
        <w:pStyle w:val="SingleTxtG"/>
        <w:rPr>
          <w:rFonts w:eastAsia="Calibri"/>
        </w:rPr>
      </w:pPr>
      <w:r w:rsidRPr="003D5AFC">
        <w:rPr>
          <w:rFonts w:eastAsia="Calibri"/>
        </w:rPr>
        <w:t xml:space="preserve">Regarding </w:t>
      </w:r>
      <w:r w:rsidRPr="00D96D04">
        <w:rPr>
          <w:rFonts w:eastAsia="Calibri"/>
          <w:b/>
        </w:rPr>
        <w:t>interpretation</w:t>
      </w:r>
      <w:r w:rsidRPr="003D5AFC">
        <w:rPr>
          <w:rFonts w:eastAsia="Calibri"/>
        </w:rPr>
        <w:t xml:space="preserve">, the Ministry of Migration and Asylum is in cooperation with the NGO “METADRASI” and the European Asylum Support Office that both provide properly trained interpreters in the asylum and reception procedures in several languages. </w:t>
      </w:r>
    </w:p>
    <w:p w14:paraId="52D769EA" w14:textId="77777777" w:rsidR="0011247C" w:rsidRPr="003D5AFC" w:rsidRDefault="0011247C" w:rsidP="003D5AFC">
      <w:pPr>
        <w:pStyle w:val="SingleTxtG"/>
        <w:rPr>
          <w:rFonts w:eastAsia="Calibri"/>
        </w:rPr>
      </w:pPr>
      <w:r w:rsidRPr="003D5AFC">
        <w:rPr>
          <w:rFonts w:eastAsia="Calibri"/>
        </w:rPr>
        <w:lastRenderedPageBreak/>
        <w:t xml:space="preserve">Referring to the issue of </w:t>
      </w:r>
      <w:r w:rsidRPr="00D96D04">
        <w:rPr>
          <w:rFonts w:eastAsia="Calibri"/>
          <w:b/>
        </w:rPr>
        <w:t>refoulement</w:t>
      </w:r>
      <w:r w:rsidRPr="003D5AFC">
        <w:rPr>
          <w:rFonts w:eastAsia="Calibri"/>
        </w:rPr>
        <w:t>, it should be stressed that Greece has been complying, and will continue to do so, with its obligations under international law, including all relevant human rights treaties to which it is a Party, and is also mindful of its obligations within the borders, migration and asylum EU legal framework.</w:t>
      </w:r>
    </w:p>
    <w:p w14:paraId="2D0714F2" w14:textId="019E1B8C" w:rsidR="0011247C" w:rsidRPr="003D5AFC" w:rsidRDefault="0011247C" w:rsidP="003D5AFC">
      <w:pPr>
        <w:pStyle w:val="SingleTxtG"/>
        <w:rPr>
          <w:rFonts w:eastAsia="Calibri"/>
        </w:rPr>
      </w:pPr>
      <w:r w:rsidRPr="003D5AFC">
        <w:rPr>
          <w:rFonts w:eastAsia="Calibri"/>
        </w:rPr>
        <w:t>The principle of non-refoulement is enshrined in nation</w:t>
      </w:r>
      <w:r w:rsidR="00121FA3">
        <w:rPr>
          <w:rFonts w:eastAsia="Calibri"/>
        </w:rPr>
        <w:t xml:space="preserve">al legislation (Law 4636/2019). </w:t>
      </w:r>
      <w:r w:rsidRPr="003D5AFC">
        <w:rPr>
          <w:rFonts w:eastAsia="Calibri"/>
        </w:rPr>
        <w:t>Allegations about violations of that principle do not correspond to the operational activities which are implemented in the country.</w:t>
      </w:r>
    </w:p>
    <w:p w14:paraId="03BB40B7" w14:textId="77777777" w:rsidR="0011247C" w:rsidRPr="003D5AFC" w:rsidRDefault="0011247C" w:rsidP="003D5AFC">
      <w:pPr>
        <w:pStyle w:val="SingleTxtG"/>
        <w:rPr>
          <w:rFonts w:eastAsia="Calibri"/>
        </w:rPr>
      </w:pPr>
      <w:r w:rsidRPr="003D5AFC">
        <w:rPr>
          <w:rFonts w:eastAsia="Calibri"/>
        </w:rPr>
        <w:t>In accordance with EU Law, the Hellenic Coastguard intercepts vessels and dinghies -often employed by the migrant smugglers- exercising rights vested by the international law of the sea. Besides, EU Member States may authorize such interception measures in the context of border surveillance operations with the participation of FRONTEX under Regulation 656/2014. The Greek authorities operate on the field with the utmost attention to the protection of human life at sea, as evidenced by the extremely low number of casualties in the Aegean Sea in 2020 and 2021, compared with previous years and with other migratory routes. It is worth mentioning that during the period 2015-2020, the Hellenic Coast Guard has rescued more than 319.000 migrants in search and rescue incidents. In 2020, in more than 800 incidents coordinated by the Hellenic Authorities at sea, no casualty was registered during SAR operations.</w:t>
      </w:r>
    </w:p>
    <w:p w14:paraId="639DD3AB" w14:textId="2CDDBD3C" w:rsidR="0011247C" w:rsidRDefault="0011247C">
      <w:pPr>
        <w:suppressAutoHyphens w:val="0"/>
        <w:spacing w:line="240" w:lineRule="auto"/>
        <w:rPr>
          <w:rFonts w:eastAsia="Calibri"/>
          <w:lang w:val="en-US"/>
        </w:rPr>
      </w:pPr>
      <w:r>
        <w:rPr>
          <w:rFonts w:eastAsia="Calibri"/>
          <w:lang w:val="en-US"/>
        </w:rPr>
        <w:br w:type="page"/>
      </w:r>
    </w:p>
    <w:p w14:paraId="51B18116" w14:textId="12EDA5EE" w:rsidR="0011247C" w:rsidRPr="003D5AFC" w:rsidRDefault="0011247C" w:rsidP="00EA3F64">
      <w:pPr>
        <w:pStyle w:val="HChG"/>
      </w:pPr>
      <w:r w:rsidRPr="003D5AFC">
        <w:t>Annex</w:t>
      </w:r>
    </w:p>
    <w:p w14:paraId="045197B8" w14:textId="6C747F17" w:rsidR="0011247C" w:rsidRPr="00BE337C" w:rsidRDefault="0011247C" w:rsidP="00DF05D1">
      <w:pPr>
        <w:pStyle w:val="H1G"/>
      </w:pPr>
      <w:r>
        <w:tab/>
      </w:r>
      <w:r>
        <w:tab/>
      </w:r>
      <w:r w:rsidR="00C161FD" w:rsidRPr="00BE337C">
        <w:t xml:space="preserve">Reception </w:t>
      </w:r>
      <w:r w:rsidR="00C161FD">
        <w:t>c</w:t>
      </w:r>
      <w:r w:rsidR="00C161FD" w:rsidRPr="00BE337C">
        <w:t xml:space="preserve">onditions </w:t>
      </w:r>
    </w:p>
    <w:p w14:paraId="49362C42" w14:textId="3A8B5E0C" w:rsidR="0011247C" w:rsidRDefault="0011247C" w:rsidP="00DF05D1">
      <w:pPr>
        <w:pStyle w:val="H23G"/>
      </w:pPr>
      <w:r>
        <w:tab/>
        <w:t>1.</w:t>
      </w:r>
      <w:r>
        <w:tab/>
      </w:r>
      <w:r>
        <w:tab/>
        <w:t>Samos’ MPRIC layout</w:t>
      </w:r>
    </w:p>
    <w:p w14:paraId="682DDB0A" w14:textId="645387C6" w:rsidR="0011247C" w:rsidRPr="0011247C" w:rsidRDefault="0011247C" w:rsidP="0011247C">
      <w:r>
        <w:rPr>
          <w:noProof/>
          <w:lang w:eastAsia="en-GB"/>
        </w:rPr>
        <w:drawing>
          <wp:inline distT="0" distB="0" distL="0" distR="0" wp14:anchorId="386D5893" wp14:editId="0EAED5FA">
            <wp:extent cx="5742940" cy="2666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2666365"/>
                    </a:xfrm>
                    <a:prstGeom prst="rect">
                      <a:avLst/>
                    </a:prstGeom>
                    <a:noFill/>
                  </pic:spPr>
                </pic:pic>
              </a:graphicData>
            </a:graphic>
          </wp:inline>
        </w:drawing>
      </w:r>
    </w:p>
    <w:p w14:paraId="773FD001" w14:textId="2B458DA7" w:rsidR="0011247C" w:rsidRDefault="0011247C" w:rsidP="00DF05D1">
      <w:pPr>
        <w:pStyle w:val="H23G"/>
        <w:rPr>
          <w:lang w:val="fr-FR"/>
        </w:rPr>
      </w:pPr>
      <w:r>
        <w:rPr>
          <w:lang w:val="fr-FR"/>
        </w:rPr>
        <w:tab/>
        <w:t>2.</w:t>
      </w:r>
      <w:r>
        <w:rPr>
          <w:lang w:val="fr-FR"/>
        </w:rPr>
        <w:tab/>
      </w:r>
      <w:r w:rsidRPr="0011247C">
        <w:rPr>
          <w:lang w:val="fr-FR"/>
        </w:rPr>
        <w:t>Wash</w:t>
      </w:r>
      <w:r w:rsidR="00DB5991">
        <w:rPr>
          <w:lang w:val="fr-FR"/>
        </w:rPr>
        <w:t xml:space="preserve"> </w:t>
      </w:r>
      <w:r w:rsidRPr="0011247C">
        <w:rPr>
          <w:lang w:val="fr-FR"/>
        </w:rPr>
        <w:t>reception conditions in Lesvos RIC; toilets</w:t>
      </w:r>
    </w:p>
    <w:p w14:paraId="1A06470D" w14:textId="592F0A0C" w:rsidR="00DB5991" w:rsidRDefault="00DB5991" w:rsidP="00DB5991">
      <w:pPr>
        <w:rPr>
          <w:lang w:val="fr-FR"/>
        </w:rPr>
      </w:pPr>
      <w:r>
        <w:rPr>
          <w:noProof/>
          <w:lang w:eastAsia="en-GB"/>
        </w:rPr>
        <w:drawing>
          <wp:inline distT="0" distB="0" distL="0" distR="0" wp14:anchorId="5F22EE41" wp14:editId="536AFA64">
            <wp:extent cx="5257165" cy="31426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165" cy="3142615"/>
                    </a:xfrm>
                    <a:prstGeom prst="rect">
                      <a:avLst/>
                    </a:prstGeom>
                    <a:noFill/>
                  </pic:spPr>
                </pic:pic>
              </a:graphicData>
            </a:graphic>
          </wp:inline>
        </w:drawing>
      </w:r>
    </w:p>
    <w:tbl>
      <w:tblPr>
        <w:tblW w:w="8272" w:type="dxa"/>
        <w:tblInd w:w="-10" w:type="dxa"/>
        <w:tblCellMar>
          <w:left w:w="0" w:type="dxa"/>
          <w:right w:w="0" w:type="dxa"/>
        </w:tblCellMar>
        <w:tblLook w:val="0420" w:firstRow="1" w:lastRow="0" w:firstColumn="0" w:lastColumn="0" w:noHBand="0" w:noVBand="1"/>
      </w:tblPr>
      <w:tblGrid>
        <w:gridCol w:w="709"/>
        <w:gridCol w:w="992"/>
        <w:gridCol w:w="851"/>
        <w:gridCol w:w="992"/>
        <w:gridCol w:w="851"/>
        <w:gridCol w:w="850"/>
        <w:gridCol w:w="992"/>
        <w:gridCol w:w="709"/>
        <w:gridCol w:w="709"/>
        <w:gridCol w:w="617"/>
      </w:tblGrid>
      <w:tr w:rsidR="00E91CAA" w:rsidRPr="00DB5991" w14:paraId="2D1B5F63" w14:textId="77777777" w:rsidTr="00E91CAA">
        <w:trPr>
          <w:trHeight w:val="288"/>
        </w:trPr>
        <w:tc>
          <w:tcPr>
            <w:tcW w:w="7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2AE41E18" w14:textId="77777777" w:rsidR="00DB5991" w:rsidRPr="00DB5991" w:rsidRDefault="00DB5991" w:rsidP="00DB5991">
            <w:pPr>
              <w:rPr>
                <w:lang w:val="fr-FR"/>
              </w:rPr>
            </w:pPr>
            <w:r w:rsidRPr="00DB5991">
              <w:rPr>
                <w:b/>
                <w:bCs/>
                <w:lang w:val="el-GR"/>
              </w:rPr>
              <w:t>23</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0C63417C" w14:textId="77777777" w:rsidR="00DB5991" w:rsidRPr="00DB5991" w:rsidRDefault="00DB5991" w:rsidP="00DB5991">
            <w:pPr>
              <w:rPr>
                <w:lang w:val="fr-FR"/>
              </w:rPr>
            </w:pPr>
            <w:r w:rsidRPr="00DB5991">
              <w:rPr>
                <w:b/>
                <w:bCs/>
                <w:lang w:val="el-GR"/>
              </w:rPr>
              <w:t>18,4</w:t>
            </w:r>
          </w:p>
        </w:tc>
        <w:tc>
          <w:tcPr>
            <w:tcW w:w="8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56D3DF74" w14:textId="77777777" w:rsidR="00DB5991" w:rsidRPr="00DB5991" w:rsidRDefault="00DB5991" w:rsidP="00DB5991">
            <w:pPr>
              <w:rPr>
                <w:lang w:val="fr-FR"/>
              </w:rPr>
            </w:pPr>
            <w:r w:rsidRPr="00DB5991">
              <w:rPr>
                <w:b/>
                <w:bCs/>
                <w:lang w:val="el-GR"/>
              </w:rPr>
              <w:t>17,4</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193041D4" w14:textId="77777777" w:rsidR="00DB5991" w:rsidRPr="00DB5991" w:rsidRDefault="00DB5991" w:rsidP="00DB5991">
            <w:pPr>
              <w:rPr>
                <w:lang w:val="fr-FR"/>
              </w:rPr>
            </w:pPr>
            <w:r w:rsidRPr="00DB5991">
              <w:rPr>
                <w:b/>
                <w:bCs/>
                <w:lang w:val="el-GR"/>
              </w:rPr>
              <w:t>17,3</w:t>
            </w:r>
          </w:p>
        </w:tc>
        <w:tc>
          <w:tcPr>
            <w:tcW w:w="8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6B5A2FF0" w14:textId="77777777" w:rsidR="00DB5991" w:rsidRPr="00DB5991" w:rsidRDefault="00DB5991" w:rsidP="00DB5991">
            <w:pPr>
              <w:rPr>
                <w:lang w:val="fr-FR"/>
              </w:rPr>
            </w:pPr>
            <w:r w:rsidRPr="00DB5991">
              <w:rPr>
                <w:b/>
                <w:bCs/>
                <w:lang w:val="el-GR"/>
              </w:rPr>
              <w:t>17,9</w:t>
            </w:r>
          </w:p>
        </w:tc>
        <w:tc>
          <w:tcPr>
            <w:tcW w:w="85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DEE06CA" w14:textId="77777777" w:rsidR="00DB5991" w:rsidRPr="00DB5991" w:rsidRDefault="00DB5991" w:rsidP="00DB5991">
            <w:pPr>
              <w:rPr>
                <w:lang w:val="fr-FR"/>
              </w:rPr>
            </w:pPr>
            <w:r w:rsidRPr="00DB5991">
              <w:rPr>
                <w:b/>
                <w:bCs/>
                <w:lang w:val="el-GR"/>
              </w:rPr>
              <w:t>21</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2F877649" w14:textId="77777777" w:rsidR="00DB5991" w:rsidRPr="00DB5991" w:rsidRDefault="00DB5991" w:rsidP="00DB5991">
            <w:pPr>
              <w:rPr>
                <w:lang w:val="fr-FR"/>
              </w:rPr>
            </w:pPr>
            <w:r w:rsidRPr="00DB5991">
              <w:rPr>
                <w:b/>
                <w:bCs/>
                <w:lang w:val="el-GR"/>
              </w:rPr>
              <w:t>17,1</w:t>
            </w:r>
          </w:p>
        </w:tc>
        <w:tc>
          <w:tcPr>
            <w:tcW w:w="7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AD18E94" w14:textId="77777777" w:rsidR="00DB5991" w:rsidRPr="00DB5991" w:rsidRDefault="00DB5991" w:rsidP="00DB5991">
            <w:pPr>
              <w:rPr>
                <w:lang w:val="fr-FR"/>
              </w:rPr>
            </w:pPr>
            <w:r w:rsidRPr="00DB5991">
              <w:rPr>
                <w:b/>
                <w:bCs/>
                <w:lang w:val="el-GR"/>
              </w:rPr>
              <w:t>17,3</w:t>
            </w:r>
          </w:p>
        </w:tc>
        <w:tc>
          <w:tcPr>
            <w:tcW w:w="7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5457CF95" w14:textId="77777777" w:rsidR="00DB5991" w:rsidRPr="00DB5991" w:rsidRDefault="00DB5991" w:rsidP="00DB5991">
            <w:pPr>
              <w:rPr>
                <w:lang w:val="fr-FR"/>
              </w:rPr>
            </w:pPr>
            <w:r w:rsidRPr="00DB5991">
              <w:rPr>
                <w:b/>
                <w:bCs/>
                <w:lang w:val="el-GR"/>
              </w:rPr>
              <w:t>15,8</w:t>
            </w:r>
          </w:p>
        </w:tc>
        <w:tc>
          <w:tcPr>
            <w:tcW w:w="6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47C35EDF" w14:textId="77777777" w:rsidR="00DB5991" w:rsidRPr="00DB5991" w:rsidRDefault="00DB5991" w:rsidP="00DB5991">
            <w:pPr>
              <w:rPr>
                <w:lang w:val="fr-FR"/>
              </w:rPr>
            </w:pPr>
            <w:r w:rsidRPr="00DB5991">
              <w:rPr>
                <w:b/>
                <w:bCs/>
                <w:lang w:val="el-GR"/>
              </w:rPr>
              <w:t>11,3</w:t>
            </w:r>
          </w:p>
        </w:tc>
      </w:tr>
    </w:tbl>
    <w:p w14:paraId="71464F1C" w14:textId="21C521F6" w:rsidR="00DB5991" w:rsidRDefault="00DB5991" w:rsidP="00DF05D1">
      <w:pPr>
        <w:pStyle w:val="H23G"/>
      </w:pPr>
      <w:r>
        <w:tab/>
      </w:r>
      <w:r w:rsidRPr="00DB5991">
        <w:t>3.</w:t>
      </w:r>
      <w:r w:rsidRPr="00DB5991">
        <w:tab/>
        <w:t>Wash reception conditions in Lesvos RIC; showers</w:t>
      </w:r>
    </w:p>
    <w:p w14:paraId="22B494BD" w14:textId="034E58F2" w:rsidR="00DB5991" w:rsidRDefault="00DB5991" w:rsidP="00DB5991">
      <w:r>
        <w:rPr>
          <w:noProof/>
          <w:lang w:eastAsia="en-GB"/>
        </w:rPr>
        <w:drawing>
          <wp:inline distT="0" distB="0" distL="0" distR="0" wp14:anchorId="1E661564" wp14:editId="67ED8404">
            <wp:extent cx="5257165" cy="31902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165" cy="3190240"/>
                    </a:xfrm>
                    <a:prstGeom prst="rect">
                      <a:avLst/>
                    </a:prstGeom>
                    <a:noFill/>
                  </pic:spPr>
                </pic:pic>
              </a:graphicData>
            </a:graphic>
          </wp:inline>
        </w:drawing>
      </w:r>
    </w:p>
    <w:tbl>
      <w:tblPr>
        <w:tblW w:w="8364" w:type="dxa"/>
        <w:tblInd w:w="-10" w:type="dxa"/>
        <w:tblCellMar>
          <w:left w:w="0" w:type="dxa"/>
          <w:right w:w="0" w:type="dxa"/>
        </w:tblCellMar>
        <w:tblLook w:val="0420" w:firstRow="1" w:lastRow="0" w:firstColumn="0" w:lastColumn="0" w:noHBand="0" w:noVBand="1"/>
      </w:tblPr>
      <w:tblGrid>
        <w:gridCol w:w="851"/>
        <w:gridCol w:w="992"/>
        <w:gridCol w:w="851"/>
        <w:gridCol w:w="850"/>
        <w:gridCol w:w="851"/>
        <w:gridCol w:w="708"/>
        <w:gridCol w:w="851"/>
        <w:gridCol w:w="850"/>
        <w:gridCol w:w="851"/>
        <w:gridCol w:w="709"/>
      </w:tblGrid>
      <w:tr w:rsidR="00DB5991" w:rsidRPr="00DB5991" w14:paraId="3A478714" w14:textId="77777777" w:rsidTr="00E91CAA">
        <w:trPr>
          <w:trHeight w:val="324"/>
        </w:trPr>
        <w:tc>
          <w:tcPr>
            <w:tcW w:w="8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F759E8B" w14:textId="77777777" w:rsidR="00DB5991" w:rsidRPr="00DB5991" w:rsidRDefault="00DB5991" w:rsidP="00DB5991">
            <w:pPr>
              <w:rPr>
                <w:lang w:val="fr-FR"/>
              </w:rPr>
            </w:pPr>
            <w:r w:rsidRPr="00DB5991">
              <w:rPr>
                <w:b/>
                <w:bCs/>
                <w:lang w:val="el-GR"/>
              </w:rPr>
              <w:t>7600</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5E502A4A" w14:textId="77777777" w:rsidR="00DB5991" w:rsidRPr="00DB5991" w:rsidRDefault="00DB5991" w:rsidP="00DB5991">
            <w:pPr>
              <w:rPr>
                <w:lang w:val="fr-FR"/>
              </w:rPr>
            </w:pPr>
            <w:r w:rsidRPr="00DB5991">
              <w:rPr>
                <w:b/>
                <w:bCs/>
                <w:lang w:val="el-GR"/>
              </w:rPr>
              <w:t>7300</w:t>
            </w:r>
          </w:p>
        </w:tc>
        <w:tc>
          <w:tcPr>
            <w:tcW w:w="8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44734168" w14:textId="77777777" w:rsidR="00DB5991" w:rsidRPr="00DB5991" w:rsidRDefault="00DB5991" w:rsidP="00DB5991">
            <w:pPr>
              <w:rPr>
                <w:lang w:val="fr-FR"/>
              </w:rPr>
            </w:pPr>
            <w:r w:rsidRPr="00DB5991">
              <w:rPr>
                <w:b/>
                <w:bCs/>
                <w:lang w:val="el-GR"/>
              </w:rPr>
              <w:t>7300</w:t>
            </w:r>
          </w:p>
        </w:tc>
        <w:tc>
          <w:tcPr>
            <w:tcW w:w="85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14A11B89" w14:textId="77777777" w:rsidR="00DB5991" w:rsidRPr="00DB5991" w:rsidRDefault="00DB5991" w:rsidP="00DB5991">
            <w:pPr>
              <w:rPr>
                <w:lang w:val="fr-FR"/>
              </w:rPr>
            </w:pPr>
            <w:r w:rsidRPr="00DB5991">
              <w:rPr>
                <w:b/>
                <w:bCs/>
                <w:lang w:val="el-GR"/>
              </w:rPr>
              <w:t>7300</w:t>
            </w:r>
          </w:p>
        </w:tc>
        <w:tc>
          <w:tcPr>
            <w:tcW w:w="8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03AA07B4" w14:textId="77777777" w:rsidR="00DB5991" w:rsidRPr="00DB5991" w:rsidRDefault="00DB5991" w:rsidP="00DB5991">
            <w:pPr>
              <w:rPr>
                <w:lang w:val="fr-FR"/>
              </w:rPr>
            </w:pPr>
            <w:r w:rsidRPr="00DB5991">
              <w:rPr>
                <w:b/>
                <w:bCs/>
                <w:lang w:val="el-GR"/>
              </w:rPr>
              <w:t>102</w:t>
            </w:r>
          </w:p>
        </w:tc>
        <w:tc>
          <w:tcPr>
            <w:tcW w:w="70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2CF628F5" w14:textId="77777777" w:rsidR="00DB5991" w:rsidRPr="00DB5991" w:rsidRDefault="00DB5991" w:rsidP="00DB5991">
            <w:pPr>
              <w:rPr>
                <w:lang w:val="fr-FR"/>
              </w:rPr>
            </w:pPr>
            <w:r w:rsidRPr="00DB5991">
              <w:rPr>
                <w:b/>
                <w:bCs/>
                <w:lang w:val="el-GR"/>
              </w:rPr>
              <w:t>47</w:t>
            </w:r>
          </w:p>
        </w:tc>
        <w:tc>
          <w:tcPr>
            <w:tcW w:w="8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A8E0B0E" w14:textId="77777777" w:rsidR="00DB5991" w:rsidRPr="00DB5991" w:rsidRDefault="00DB5991" w:rsidP="00DB5991">
            <w:pPr>
              <w:rPr>
                <w:lang w:val="fr-FR"/>
              </w:rPr>
            </w:pPr>
            <w:r w:rsidRPr="00DB5991">
              <w:rPr>
                <w:b/>
                <w:bCs/>
                <w:lang w:val="el-GR"/>
              </w:rPr>
              <w:t>36</w:t>
            </w:r>
          </w:p>
        </w:tc>
        <w:tc>
          <w:tcPr>
            <w:tcW w:w="85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364AFFF0" w14:textId="77777777" w:rsidR="00DB5991" w:rsidRPr="00DB5991" w:rsidRDefault="00DB5991" w:rsidP="00DB5991">
            <w:pPr>
              <w:rPr>
                <w:lang w:val="fr-FR"/>
              </w:rPr>
            </w:pPr>
            <w:r w:rsidRPr="00DB5991">
              <w:rPr>
                <w:b/>
                <w:bCs/>
                <w:lang w:val="el-GR"/>
              </w:rPr>
              <w:t>41</w:t>
            </w:r>
          </w:p>
        </w:tc>
        <w:tc>
          <w:tcPr>
            <w:tcW w:w="85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6496ABC" w14:textId="77777777" w:rsidR="00DB5991" w:rsidRPr="00DB5991" w:rsidRDefault="00DB5991" w:rsidP="00DB5991">
            <w:pPr>
              <w:rPr>
                <w:lang w:val="fr-FR"/>
              </w:rPr>
            </w:pPr>
            <w:r w:rsidRPr="00DB5991">
              <w:rPr>
                <w:b/>
                <w:bCs/>
                <w:lang w:val="el-GR"/>
              </w:rPr>
              <w:t>37</w:t>
            </w:r>
          </w:p>
        </w:tc>
        <w:tc>
          <w:tcPr>
            <w:tcW w:w="70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990923F" w14:textId="77777777" w:rsidR="00DB5991" w:rsidRPr="00DB5991" w:rsidRDefault="00DB5991" w:rsidP="00DB5991">
            <w:pPr>
              <w:rPr>
                <w:lang w:val="fr-FR"/>
              </w:rPr>
            </w:pPr>
            <w:r w:rsidRPr="00DB5991">
              <w:rPr>
                <w:b/>
                <w:bCs/>
                <w:lang w:val="el-GR"/>
              </w:rPr>
              <w:t>27</w:t>
            </w:r>
          </w:p>
        </w:tc>
      </w:tr>
    </w:tbl>
    <w:p w14:paraId="4719F654" w14:textId="08D67B04" w:rsidR="00DB5991" w:rsidRPr="00DB5991" w:rsidRDefault="00DB5991" w:rsidP="00DF05D1">
      <w:pPr>
        <w:pStyle w:val="H1G"/>
      </w:pPr>
      <w:r>
        <w:tab/>
      </w:r>
      <w:r>
        <w:tab/>
      </w:r>
      <w:r w:rsidRPr="00DB5991">
        <w:t>A</w:t>
      </w:r>
      <w:r w:rsidR="00E91CAA" w:rsidRPr="00DB5991">
        <w:t>sylum</w:t>
      </w:r>
      <w:r w:rsidRPr="00DB5991">
        <w:t xml:space="preserve"> </w:t>
      </w:r>
      <w:r w:rsidR="00E91CAA" w:rsidRPr="00DB5991">
        <w:t xml:space="preserve">process </w:t>
      </w:r>
    </w:p>
    <w:p w14:paraId="77FC8AB2" w14:textId="7631541B" w:rsidR="00DB5991" w:rsidRDefault="00DB5991" w:rsidP="00DF05D1">
      <w:pPr>
        <w:pStyle w:val="H23G"/>
      </w:pPr>
      <w:r>
        <w:tab/>
        <w:t>1.</w:t>
      </w:r>
      <w:r>
        <w:tab/>
      </w:r>
      <w:r w:rsidRPr="00DB5991">
        <w:t>Greek Asylum Service: backlog</w:t>
      </w:r>
    </w:p>
    <w:tbl>
      <w:tblPr>
        <w:tblW w:w="6803"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992"/>
        <w:gridCol w:w="992"/>
        <w:gridCol w:w="992"/>
        <w:gridCol w:w="992"/>
        <w:gridCol w:w="992"/>
        <w:gridCol w:w="992"/>
      </w:tblGrid>
      <w:tr w:rsidR="00C571A0" w:rsidRPr="006A3CD2" w14:paraId="22104833" w14:textId="77777777" w:rsidTr="00AD1EBE">
        <w:trPr>
          <w:cantSplit/>
          <w:tblHeader/>
        </w:trPr>
        <w:tc>
          <w:tcPr>
            <w:tcW w:w="6803" w:type="dxa"/>
            <w:gridSpan w:val="7"/>
            <w:tcBorders>
              <w:top w:val="single" w:sz="4" w:space="0" w:color="auto"/>
              <w:bottom w:val="single" w:sz="12" w:space="0" w:color="auto"/>
            </w:tcBorders>
            <w:shd w:val="clear" w:color="auto" w:fill="auto"/>
            <w:vAlign w:val="bottom"/>
          </w:tcPr>
          <w:p w14:paraId="337B73A5" w14:textId="1B464F46" w:rsidR="00C571A0" w:rsidRPr="00DF05D1" w:rsidRDefault="00C571A0" w:rsidP="00C571A0">
            <w:pPr>
              <w:spacing w:before="80" w:after="80" w:line="200" w:lineRule="exact"/>
              <w:ind w:right="113"/>
              <w:jc w:val="center"/>
              <w:rPr>
                <w:i/>
                <w:sz w:val="16"/>
                <w:szCs w:val="18"/>
              </w:rPr>
            </w:pPr>
            <w:r w:rsidRPr="00DF05D1">
              <w:rPr>
                <w:bCs/>
                <w:i/>
                <w:sz w:val="16"/>
                <w:szCs w:val="18"/>
                <w:lang w:val="en-US"/>
              </w:rPr>
              <w:t>ASYLUM SERVICE: PENDING AND DECISION MAKING</w:t>
            </w:r>
          </w:p>
        </w:tc>
      </w:tr>
      <w:tr w:rsidR="00C571A0" w:rsidRPr="006A3CD2" w14:paraId="41E65A91" w14:textId="6479166C" w:rsidTr="00E21E6B">
        <w:trPr>
          <w:cantSplit/>
          <w:tblHeader/>
        </w:trPr>
        <w:tc>
          <w:tcPr>
            <w:tcW w:w="851" w:type="dxa"/>
            <w:tcBorders>
              <w:top w:val="single" w:sz="4" w:space="0" w:color="auto"/>
              <w:bottom w:val="single" w:sz="12" w:space="0" w:color="auto"/>
            </w:tcBorders>
            <w:shd w:val="clear" w:color="auto" w:fill="auto"/>
            <w:vAlign w:val="center"/>
            <w:hideMark/>
          </w:tcPr>
          <w:p w14:paraId="2B6D1026" w14:textId="33F4E35D" w:rsidR="00C571A0" w:rsidRPr="006A3CD2" w:rsidRDefault="00C571A0" w:rsidP="00977B3B">
            <w:pPr>
              <w:spacing w:before="80" w:after="80" w:line="200" w:lineRule="exact"/>
              <w:ind w:right="113"/>
              <w:rPr>
                <w:i/>
                <w:sz w:val="16"/>
                <w:szCs w:val="18"/>
              </w:rPr>
            </w:pPr>
            <w:r>
              <w:rPr>
                <w:i/>
                <w:sz w:val="16"/>
                <w:szCs w:val="18"/>
              </w:rPr>
              <w:t>Month</w:t>
            </w:r>
          </w:p>
        </w:tc>
        <w:tc>
          <w:tcPr>
            <w:tcW w:w="992" w:type="dxa"/>
            <w:tcBorders>
              <w:top w:val="single" w:sz="4" w:space="0" w:color="auto"/>
              <w:bottom w:val="single" w:sz="12" w:space="0" w:color="auto"/>
            </w:tcBorders>
            <w:shd w:val="clear" w:color="auto" w:fill="auto"/>
            <w:vAlign w:val="center"/>
            <w:hideMark/>
          </w:tcPr>
          <w:p w14:paraId="12115CEC" w14:textId="1EA48889" w:rsidR="00C571A0" w:rsidRPr="006A3CD2" w:rsidRDefault="00C571A0" w:rsidP="00C571A0">
            <w:pPr>
              <w:spacing w:before="80" w:after="80" w:line="200" w:lineRule="exact"/>
              <w:ind w:right="113"/>
              <w:rPr>
                <w:i/>
                <w:sz w:val="16"/>
                <w:szCs w:val="18"/>
              </w:rPr>
            </w:pPr>
            <w:r w:rsidRPr="00C571A0">
              <w:rPr>
                <w:i/>
                <w:sz w:val="16"/>
                <w:szCs w:val="18"/>
              </w:rPr>
              <w:t xml:space="preserve">Pending </w:t>
            </w:r>
            <w:r>
              <w:rPr>
                <w:i/>
                <w:sz w:val="16"/>
                <w:szCs w:val="18"/>
              </w:rPr>
              <w:t>d</w:t>
            </w:r>
            <w:r w:rsidRPr="00C571A0">
              <w:rPr>
                <w:i/>
                <w:sz w:val="16"/>
                <w:szCs w:val="18"/>
              </w:rPr>
              <w:t>ecisions 1</w:t>
            </w:r>
            <w:r w:rsidRPr="00C571A0">
              <w:rPr>
                <w:i/>
                <w:sz w:val="16"/>
                <w:szCs w:val="18"/>
                <w:vertAlign w:val="superscript"/>
              </w:rPr>
              <w:t>st</w:t>
            </w:r>
            <w:r w:rsidRPr="00C571A0">
              <w:rPr>
                <w:i/>
                <w:sz w:val="16"/>
                <w:szCs w:val="18"/>
              </w:rPr>
              <w:t xml:space="preserve"> Instance</w:t>
            </w:r>
          </w:p>
        </w:tc>
        <w:tc>
          <w:tcPr>
            <w:tcW w:w="992" w:type="dxa"/>
            <w:tcBorders>
              <w:top w:val="single" w:sz="4" w:space="0" w:color="auto"/>
              <w:bottom w:val="single" w:sz="12" w:space="0" w:color="auto"/>
            </w:tcBorders>
            <w:shd w:val="clear" w:color="auto" w:fill="auto"/>
            <w:vAlign w:val="center"/>
            <w:hideMark/>
          </w:tcPr>
          <w:p w14:paraId="3F26786A" w14:textId="00E25B0C" w:rsidR="00C571A0" w:rsidRPr="006A3CD2" w:rsidRDefault="00C571A0" w:rsidP="00C571A0">
            <w:pPr>
              <w:spacing w:before="80" w:after="80" w:line="200" w:lineRule="exact"/>
              <w:ind w:right="113"/>
              <w:rPr>
                <w:i/>
                <w:sz w:val="16"/>
                <w:szCs w:val="18"/>
              </w:rPr>
            </w:pPr>
            <w:r w:rsidRPr="00C571A0">
              <w:rPr>
                <w:i/>
                <w:sz w:val="16"/>
                <w:szCs w:val="18"/>
              </w:rPr>
              <w:t xml:space="preserve">Pending </w:t>
            </w:r>
            <w:r>
              <w:rPr>
                <w:i/>
                <w:sz w:val="16"/>
                <w:szCs w:val="18"/>
              </w:rPr>
              <w:t>d</w:t>
            </w:r>
            <w:r w:rsidRPr="00C571A0">
              <w:rPr>
                <w:i/>
                <w:sz w:val="16"/>
                <w:szCs w:val="18"/>
              </w:rPr>
              <w:t xml:space="preserve">ecisions </w:t>
            </w:r>
            <w:r>
              <w:rPr>
                <w:i/>
                <w:sz w:val="16"/>
                <w:szCs w:val="18"/>
              </w:rPr>
              <w:t>2</w:t>
            </w:r>
            <w:r w:rsidRPr="00C571A0">
              <w:rPr>
                <w:i/>
                <w:sz w:val="16"/>
                <w:szCs w:val="18"/>
                <w:vertAlign w:val="superscript"/>
              </w:rPr>
              <w:t>nd</w:t>
            </w:r>
            <w:r>
              <w:rPr>
                <w:i/>
                <w:sz w:val="16"/>
                <w:szCs w:val="18"/>
              </w:rPr>
              <w:t xml:space="preserve"> </w:t>
            </w:r>
            <w:r w:rsidRPr="00C571A0">
              <w:rPr>
                <w:i/>
                <w:sz w:val="16"/>
                <w:szCs w:val="18"/>
              </w:rPr>
              <w:t>Instance</w:t>
            </w:r>
          </w:p>
        </w:tc>
        <w:tc>
          <w:tcPr>
            <w:tcW w:w="992" w:type="dxa"/>
            <w:tcBorders>
              <w:top w:val="single" w:sz="4" w:space="0" w:color="auto"/>
              <w:bottom w:val="single" w:sz="12" w:space="0" w:color="auto"/>
            </w:tcBorders>
            <w:vAlign w:val="center"/>
          </w:tcPr>
          <w:p w14:paraId="4DA5F2CB" w14:textId="67C13B54" w:rsidR="00C571A0" w:rsidRPr="006A3CD2" w:rsidRDefault="00C571A0" w:rsidP="00977B3B">
            <w:pPr>
              <w:spacing w:before="80" w:after="80" w:line="200" w:lineRule="exact"/>
              <w:ind w:right="113"/>
              <w:rPr>
                <w:i/>
                <w:sz w:val="16"/>
                <w:szCs w:val="18"/>
              </w:rPr>
            </w:pPr>
            <w:r>
              <w:rPr>
                <w:i/>
                <w:sz w:val="16"/>
                <w:szCs w:val="18"/>
              </w:rPr>
              <w:t>Total of pending decisions</w:t>
            </w:r>
          </w:p>
        </w:tc>
        <w:tc>
          <w:tcPr>
            <w:tcW w:w="992" w:type="dxa"/>
            <w:tcBorders>
              <w:top w:val="single" w:sz="4" w:space="0" w:color="auto"/>
              <w:bottom w:val="single" w:sz="12" w:space="0" w:color="auto"/>
            </w:tcBorders>
            <w:vAlign w:val="center"/>
          </w:tcPr>
          <w:p w14:paraId="5E3FB2DC" w14:textId="47216372" w:rsidR="00C571A0" w:rsidRPr="00C571A0" w:rsidRDefault="00C571A0" w:rsidP="00977B3B">
            <w:pPr>
              <w:spacing w:before="80" w:after="80" w:line="200" w:lineRule="exact"/>
              <w:ind w:right="113"/>
              <w:rPr>
                <w:i/>
                <w:sz w:val="16"/>
                <w:szCs w:val="18"/>
              </w:rPr>
            </w:pPr>
            <w:r w:rsidRPr="00C571A0">
              <w:rPr>
                <w:bCs/>
                <w:i/>
                <w:sz w:val="16"/>
                <w:szCs w:val="18"/>
                <w:lang w:val="fr-FR"/>
              </w:rPr>
              <w:t>Percent Variance</w:t>
            </w:r>
            <w:r w:rsidRPr="00C571A0">
              <w:rPr>
                <w:bCs/>
                <w:i/>
                <w:sz w:val="16"/>
                <w:szCs w:val="18"/>
                <w:lang w:val="el-GR"/>
              </w:rPr>
              <w:t xml:space="preserve"> (%)</w:t>
            </w:r>
          </w:p>
        </w:tc>
        <w:tc>
          <w:tcPr>
            <w:tcW w:w="992" w:type="dxa"/>
            <w:tcBorders>
              <w:top w:val="single" w:sz="4" w:space="0" w:color="auto"/>
              <w:bottom w:val="single" w:sz="12" w:space="0" w:color="auto"/>
            </w:tcBorders>
            <w:vAlign w:val="center"/>
          </w:tcPr>
          <w:p w14:paraId="662D3AC2" w14:textId="467C9133" w:rsidR="00C571A0" w:rsidRPr="006A3CD2" w:rsidRDefault="00C571A0" w:rsidP="00977B3B">
            <w:pPr>
              <w:spacing w:before="80" w:after="80" w:line="200" w:lineRule="exact"/>
              <w:ind w:right="113"/>
              <w:rPr>
                <w:i/>
                <w:sz w:val="16"/>
                <w:szCs w:val="18"/>
              </w:rPr>
            </w:pPr>
            <w:r w:rsidRPr="00C571A0">
              <w:rPr>
                <w:i/>
                <w:sz w:val="16"/>
                <w:szCs w:val="18"/>
              </w:rPr>
              <w:t>Decisions 1</w:t>
            </w:r>
            <w:r w:rsidRPr="00C571A0">
              <w:rPr>
                <w:sz w:val="16"/>
                <w:szCs w:val="18"/>
                <w:vertAlign w:val="superscript"/>
              </w:rPr>
              <w:t>st</w:t>
            </w:r>
            <w:r w:rsidRPr="00C571A0">
              <w:rPr>
                <w:i/>
                <w:sz w:val="16"/>
                <w:szCs w:val="18"/>
              </w:rPr>
              <w:t xml:space="preserve"> Instance</w:t>
            </w:r>
          </w:p>
        </w:tc>
        <w:tc>
          <w:tcPr>
            <w:tcW w:w="992" w:type="dxa"/>
            <w:tcBorders>
              <w:top w:val="single" w:sz="4" w:space="0" w:color="auto"/>
              <w:bottom w:val="single" w:sz="12" w:space="0" w:color="auto"/>
            </w:tcBorders>
            <w:vAlign w:val="center"/>
          </w:tcPr>
          <w:p w14:paraId="145E1D8E" w14:textId="41D76E94" w:rsidR="00C571A0" w:rsidRPr="00C571A0" w:rsidRDefault="00C571A0" w:rsidP="00C571A0">
            <w:pPr>
              <w:spacing w:before="80" w:after="80" w:line="200" w:lineRule="exact"/>
              <w:ind w:right="113"/>
              <w:rPr>
                <w:bCs/>
                <w:i/>
                <w:sz w:val="16"/>
                <w:szCs w:val="18"/>
                <w:lang w:val="fr-FR"/>
              </w:rPr>
            </w:pPr>
            <w:r w:rsidRPr="00C571A0">
              <w:rPr>
                <w:bCs/>
                <w:i/>
                <w:sz w:val="16"/>
                <w:szCs w:val="18"/>
                <w:lang w:val="fr-FR"/>
              </w:rPr>
              <w:t>Decisions2</w:t>
            </w:r>
            <w:r w:rsidRPr="00C571A0">
              <w:rPr>
                <w:bCs/>
                <w:i/>
                <w:sz w:val="16"/>
                <w:szCs w:val="18"/>
                <w:vertAlign w:val="superscript"/>
                <w:lang w:val="fr-FR"/>
              </w:rPr>
              <w:t>nd</w:t>
            </w:r>
            <w:r>
              <w:rPr>
                <w:bCs/>
                <w:i/>
                <w:sz w:val="16"/>
                <w:szCs w:val="18"/>
                <w:vertAlign w:val="superscript"/>
                <w:lang w:val="fr-FR"/>
              </w:rPr>
              <w:t xml:space="preserve"> </w:t>
            </w:r>
            <w:r>
              <w:rPr>
                <w:bCs/>
                <w:i/>
                <w:sz w:val="16"/>
                <w:szCs w:val="18"/>
                <w:lang w:val="fr-FR"/>
              </w:rPr>
              <w:t>Instance</w:t>
            </w:r>
          </w:p>
        </w:tc>
      </w:tr>
      <w:tr w:rsidR="00C571A0" w:rsidRPr="006A3CD2" w14:paraId="4F14CDFC" w14:textId="79A08EC6" w:rsidTr="00C571A0">
        <w:trPr>
          <w:cantSplit/>
          <w:trHeight w:hRule="exact" w:val="113"/>
          <w:tblHeader/>
        </w:trPr>
        <w:tc>
          <w:tcPr>
            <w:tcW w:w="851" w:type="dxa"/>
            <w:tcBorders>
              <w:top w:val="single" w:sz="12" w:space="0" w:color="auto"/>
            </w:tcBorders>
            <w:shd w:val="clear" w:color="auto" w:fill="auto"/>
          </w:tcPr>
          <w:p w14:paraId="3D2D4145" w14:textId="77777777" w:rsidR="00C571A0" w:rsidRPr="006A3CD2" w:rsidRDefault="00C571A0" w:rsidP="00977B3B">
            <w:pPr>
              <w:spacing w:before="40" w:after="120" w:line="220" w:lineRule="exact"/>
              <w:ind w:right="113"/>
              <w:rPr>
                <w:szCs w:val="18"/>
              </w:rPr>
            </w:pPr>
          </w:p>
        </w:tc>
        <w:tc>
          <w:tcPr>
            <w:tcW w:w="992" w:type="dxa"/>
            <w:tcBorders>
              <w:top w:val="single" w:sz="12" w:space="0" w:color="auto"/>
            </w:tcBorders>
            <w:shd w:val="clear" w:color="auto" w:fill="auto"/>
          </w:tcPr>
          <w:p w14:paraId="0C2DD0AE" w14:textId="77777777" w:rsidR="00C571A0" w:rsidRPr="006A3CD2" w:rsidRDefault="00C571A0" w:rsidP="00977B3B">
            <w:pPr>
              <w:spacing w:before="40" w:after="120" w:line="220" w:lineRule="exact"/>
              <w:ind w:right="113"/>
              <w:rPr>
                <w:szCs w:val="18"/>
              </w:rPr>
            </w:pPr>
          </w:p>
        </w:tc>
        <w:tc>
          <w:tcPr>
            <w:tcW w:w="992" w:type="dxa"/>
            <w:tcBorders>
              <w:top w:val="single" w:sz="12" w:space="0" w:color="auto"/>
            </w:tcBorders>
            <w:shd w:val="clear" w:color="auto" w:fill="auto"/>
          </w:tcPr>
          <w:p w14:paraId="54AB6A2B" w14:textId="77777777" w:rsidR="00C571A0" w:rsidRPr="006A3CD2" w:rsidRDefault="00C571A0" w:rsidP="00977B3B">
            <w:pPr>
              <w:spacing w:before="40" w:after="120" w:line="220" w:lineRule="exact"/>
              <w:ind w:right="113"/>
              <w:rPr>
                <w:szCs w:val="18"/>
              </w:rPr>
            </w:pPr>
          </w:p>
        </w:tc>
        <w:tc>
          <w:tcPr>
            <w:tcW w:w="992" w:type="dxa"/>
            <w:tcBorders>
              <w:top w:val="single" w:sz="12" w:space="0" w:color="auto"/>
            </w:tcBorders>
          </w:tcPr>
          <w:p w14:paraId="7044D132" w14:textId="77777777" w:rsidR="00C571A0" w:rsidRPr="006A3CD2" w:rsidRDefault="00C571A0" w:rsidP="00977B3B">
            <w:pPr>
              <w:spacing w:before="40" w:after="120" w:line="220" w:lineRule="exact"/>
              <w:ind w:right="113"/>
              <w:rPr>
                <w:szCs w:val="18"/>
              </w:rPr>
            </w:pPr>
          </w:p>
        </w:tc>
        <w:tc>
          <w:tcPr>
            <w:tcW w:w="992" w:type="dxa"/>
            <w:tcBorders>
              <w:top w:val="single" w:sz="12" w:space="0" w:color="auto"/>
            </w:tcBorders>
          </w:tcPr>
          <w:p w14:paraId="1EF95A38" w14:textId="77777777" w:rsidR="00C571A0" w:rsidRPr="006A3CD2" w:rsidRDefault="00C571A0" w:rsidP="00977B3B">
            <w:pPr>
              <w:spacing w:before="40" w:after="120" w:line="220" w:lineRule="exact"/>
              <w:ind w:right="113"/>
              <w:rPr>
                <w:szCs w:val="18"/>
              </w:rPr>
            </w:pPr>
          </w:p>
        </w:tc>
        <w:tc>
          <w:tcPr>
            <w:tcW w:w="992" w:type="dxa"/>
            <w:tcBorders>
              <w:top w:val="single" w:sz="12" w:space="0" w:color="auto"/>
            </w:tcBorders>
          </w:tcPr>
          <w:p w14:paraId="1784C605" w14:textId="77777777" w:rsidR="00C571A0" w:rsidRPr="006A3CD2" w:rsidRDefault="00C571A0" w:rsidP="00977B3B">
            <w:pPr>
              <w:spacing w:before="40" w:after="120" w:line="220" w:lineRule="exact"/>
              <w:ind w:right="113"/>
              <w:rPr>
                <w:szCs w:val="18"/>
              </w:rPr>
            </w:pPr>
          </w:p>
        </w:tc>
        <w:tc>
          <w:tcPr>
            <w:tcW w:w="992" w:type="dxa"/>
            <w:tcBorders>
              <w:top w:val="single" w:sz="12" w:space="0" w:color="auto"/>
            </w:tcBorders>
          </w:tcPr>
          <w:p w14:paraId="1F9238FE" w14:textId="77777777" w:rsidR="00C571A0" w:rsidRPr="006A3CD2" w:rsidRDefault="00C571A0" w:rsidP="00977B3B">
            <w:pPr>
              <w:spacing w:before="40" w:after="120" w:line="220" w:lineRule="exact"/>
              <w:ind w:right="113"/>
              <w:rPr>
                <w:szCs w:val="18"/>
              </w:rPr>
            </w:pPr>
          </w:p>
        </w:tc>
      </w:tr>
      <w:tr w:rsidR="002E0E4D" w:rsidRPr="006A3CD2" w14:paraId="3720699E" w14:textId="47A133E0" w:rsidTr="00C571A0">
        <w:trPr>
          <w:cantSplit/>
        </w:trPr>
        <w:tc>
          <w:tcPr>
            <w:tcW w:w="851" w:type="dxa"/>
            <w:shd w:val="clear" w:color="auto" w:fill="auto"/>
          </w:tcPr>
          <w:p w14:paraId="6C2F18A2" w14:textId="05C5A27D" w:rsidR="002E0E4D" w:rsidRPr="006A3CD2" w:rsidRDefault="002E0E4D" w:rsidP="002E0E4D">
            <w:pPr>
              <w:spacing w:before="40" w:after="120" w:line="220" w:lineRule="exact"/>
              <w:ind w:right="113"/>
            </w:pPr>
            <w:r w:rsidRPr="0099666F">
              <w:t>Dec-19</w:t>
            </w:r>
          </w:p>
        </w:tc>
        <w:tc>
          <w:tcPr>
            <w:tcW w:w="992" w:type="dxa"/>
            <w:shd w:val="clear" w:color="auto" w:fill="auto"/>
          </w:tcPr>
          <w:p w14:paraId="65D0E1C1" w14:textId="0672E4B0" w:rsidR="002E0E4D" w:rsidRPr="006A3CD2" w:rsidRDefault="002E0E4D" w:rsidP="002E0E4D">
            <w:pPr>
              <w:spacing w:before="40" w:after="120" w:line="220" w:lineRule="exact"/>
              <w:ind w:right="227"/>
            </w:pPr>
            <w:r w:rsidRPr="00FF60AB">
              <w:t>123.515</w:t>
            </w:r>
          </w:p>
        </w:tc>
        <w:tc>
          <w:tcPr>
            <w:tcW w:w="992" w:type="dxa"/>
            <w:shd w:val="clear" w:color="auto" w:fill="auto"/>
          </w:tcPr>
          <w:p w14:paraId="1971A054" w14:textId="4C30A47B" w:rsidR="002E0E4D" w:rsidRPr="006A3CD2" w:rsidRDefault="002E0E4D" w:rsidP="002E0E4D">
            <w:r w:rsidRPr="00E310B3">
              <w:t>15.635</w:t>
            </w:r>
          </w:p>
        </w:tc>
        <w:tc>
          <w:tcPr>
            <w:tcW w:w="992" w:type="dxa"/>
          </w:tcPr>
          <w:p w14:paraId="5C14EF3E" w14:textId="6597D9EB" w:rsidR="002E0E4D" w:rsidRPr="006A3CD2" w:rsidRDefault="002E0E4D" w:rsidP="002E0E4D">
            <w:r w:rsidRPr="00672CB2">
              <w:t>139.150</w:t>
            </w:r>
          </w:p>
        </w:tc>
        <w:tc>
          <w:tcPr>
            <w:tcW w:w="992" w:type="dxa"/>
          </w:tcPr>
          <w:p w14:paraId="226DCF7B" w14:textId="77777777" w:rsidR="002E0E4D" w:rsidRPr="006A3CD2" w:rsidRDefault="002E0E4D" w:rsidP="002E0E4D"/>
        </w:tc>
        <w:tc>
          <w:tcPr>
            <w:tcW w:w="992" w:type="dxa"/>
          </w:tcPr>
          <w:p w14:paraId="283D6C1B" w14:textId="77777777" w:rsidR="002E0E4D" w:rsidRPr="006A3CD2" w:rsidRDefault="002E0E4D" w:rsidP="002E0E4D"/>
        </w:tc>
        <w:tc>
          <w:tcPr>
            <w:tcW w:w="992" w:type="dxa"/>
          </w:tcPr>
          <w:p w14:paraId="0E4FFCC8" w14:textId="77777777" w:rsidR="002E0E4D" w:rsidRPr="006A3CD2" w:rsidRDefault="002E0E4D" w:rsidP="002E0E4D"/>
        </w:tc>
      </w:tr>
      <w:tr w:rsidR="002E0E4D" w:rsidRPr="006A3CD2" w14:paraId="1A0BD44C" w14:textId="2DA1476B" w:rsidTr="00C571A0">
        <w:trPr>
          <w:cantSplit/>
        </w:trPr>
        <w:tc>
          <w:tcPr>
            <w:tcW w:w="851" w:type="dxa"/>
            <w:shd w:val="clear" w:color="auto" w:fill="auto"/>
          </w:tcPr>
          <w:p w14:paraId="7180A797" w14:textId="09F7509B" w:rsidR="002E0E4D" w:rsidRPr="006A3CD2" w:rsidRDefault="002E0E4D" w:rsidP="002E0E4D">
            <w:pPr>
              <w:spacing w:before="40" w:after="120" w:line="220" w:lineRule="exact"/>
              <w:ind w:right="113"/>
            </w:pPr>
            <w:r w:rsidRPr="0099666F">
              <w:t>Jan-20</w:t>
            </w:r>
          </w:p>
        </w:tc>
        <w:tc>
          <w:tcPr>
            <w:tcW w:w="992" w:type="dxa"/>
            <w:shd w:val="clear" w:color="auto" w:fill="auto"/>
          </w:tcPr>
          <w:p w14:paraId="6FAA39D9" w14:textId="00BBEE63" w:rsidR="002E0E4D" w:rsidRPr="006A3CD2" w:rsidRDefault="002E0E4D" w:rsidP="002E0E4D">
            <w:pPr>
              <w:spacing w:before="40" w:after="120" w:line="220" w:lineRule="exact"/>
              <w:ind w:right="227"/>
            </w:pPr>
            <w:r w:rsidRPr="00FF60AB">
              <w:t>126.181</w:t>
            </w:r>
          </w:p>
        </w:tc>
        <w:tc>
          <w:tcPr>
            <w:tcW w:w="992" w:type="dxa"/>
            <w:shd w:val="clear" w:color="auto" w:fill="auto"/>
          </w:tcPr>
          <w:p w14:paraId="707A2C8B" w14:textId="0122E85E" w:rsidR="002E0E4D" w:rsidRPr="006A3CD2" w:rsidRDefault="002E0E4D" w:rsidP="002E0E4D">
            <w:r w:rsidRPr="00E310B3">
              <w:t>14.376</w:t>
            </w:r>
          </w:p>
        </w:tc>
        <w:tc>
          <w:tcPr>
            <w:tcW w:w="992" w:type="dxa"/>
          </w:tcPr>
          <w:p w14:paraId="51516F10" w14:textId="0D8FF007" w:rsidR="002E0E4D" w:rsidRPr="006A3CD2" w:rsidRDefault="002E0E4D" w:rsidP="002E0E4D">
            <w:r w:rsidRPr="00672CB2">
              <w:t>140.557</w:t>
            </w:r>
          </w:p>
        </w:tc>
        <w:tc>
          <w:tcPr>
            <w:tcW w:w="992" w:type="dxa"/>
          </w:tcPr>
          <w:p w14:paraId="21DFFBE5" w14:textId="78F11D9D" w:rsidR="002E0E4D" w:rsidRPr="006A3CD2" w:rsidRDefault="002E0E4D" w:rsidP="002E0E4D">
            <w:r w:rsidRPr="00E06451">
              <w:t>1,0%</w:t>
            </w:r>
          </w:p>
        </w:tc>
        <w:tc>
          <w:tcPr>
            <w:tcW w:w="992" w:type="dxa"/>
          </w:tcPr>
          <w:p w14:paraId="74B8CBF1" w14:textId="3EB3C4F2" w:rsidR="002E0E4D" w:rsidRPr="006A3CD2" w:rsidRDefault="002E0E4D" w:rsidP="002E0E4D">
            <w:r w:rsidRPr="00DC309D">
              <w:t>3.783</w:t>
            </w:r>
          </w:p>
        </w:tc>
        <w:tc>
          <w:tcPr>
            <w:tcW w:w="992" w:type="dxa"/>
          </w:tcPr>
          <w:p w14:paraId="1F3DA7A5" w14:textId="4B3FF6D8" w:rsidR="002E0E4D" w:rsidRPr="006A3CD2" w:rsidRDefault="002E0E4D" w:rsidP="002E0E4D">
            <w:r w:rsidRPr="00031F22">
              <w:t>1.862</w:t>
            </w:r>
          </w:p>
        </w:tc>
      </w:tr>
      <w:tr w:rsidR="002E0E4D" w:rsidRPr="006A3CD2" w14:paraId="1E4667C0" w14:textId="1B551B44" w:rsidTr="00C571A0">
        <w:trPr>
          <w:cantSplit/>
        </w:trPr>
        <w:tc>
          <w:tcPr>
            <w:tcW w:w="851" w:type="dxa"/>
            <w:shd w:val="clear" w:color="auto" w:fill="auto"/>
          </w:tcPr>
          <w:p w14:paraId="52DC2E91" w14:textId="6FDC10D0" w:rsidR="002E0E4D" w:rsidRPr="006A3CD2" w:rsidRDefault="002E0E4D" w:rsidP="002E0E4D">
            <w:pPr>
              <w:spacing w:before="40" w:after="120" w:line="220" w:lineRule="exact"/>
              <w:ind w:right="113"/>
            </w:pPr>
            <w:r w:rsidRPr="0099666F">
              <w:t>Feb-20</w:t>
            </w:r>
          </w:p>
        </w:tc>
        <w:tc>
          <w:tcPr>
            <w:tcW w:w="992" w:type="dxa"/>
            <w:shd w:val="clear" w:color="auto" w:fill="auto"/>
          </w:tcPr>
          <w:p w14:paraId="63F34B0A" w14:textId="44B4F327" w:rsidR="002E0E4D" w:rsidRPr="006A3CD2" w:rsidRDefault="002E0E4D" w:rsidP="002E0E4D">
            <w:pPr>
              <w:spacing w:before="40" w:after="120" w:line="220" w:lineRule="exact"/>
              <w:ind w:right="227"/>
            </w:pPr>
            <w:r w:rsidRPr="00FF60AB">
              <w:t>126.083</w:t>
            </w:r>
          </w:p>
        </w:tc>
        <w:tc>
          <w:tcPr>
            <w:tcW w:w="992" w:type="dxa"/>
            <w:shd w:val="clear" w:color="auto" w:fill="auto"/>
          </w:tcPr>
          <w:p w14:paraId="07929AB9" w14:textId="3338FDEB" w:rsidR="002E0E4D" w:rsidRPr="006A3CD2" w:rsidRDefault="002E0E4D" w:rsidP="002E0E4D">
            <w:r w:rsidRPr="00E310B3">
              <w:t>12.334</w:t>
            </w:r>
          </w:p>
        </w:tc>
        <w:tc>
          <w:tcPr>
            <w:tcW w:w="992" w:type="dxa"/>
          </w:tcPr>
          <w:p w14:paraId="7D8DAF96" w14:textId="65F80658" w:rsidR="002E0E4D" w:rsidRPr="006A3CD2" w:rsidRDefault="002E0E4D" w:rsidP="002E0E4D">
            <w:r w:rsidRPr="00672CB2">
              <w:t>138.417</w:t>
            </w:r>
          </w:p>
        </w:tc>
        <w:tc>
          <w:tcPr>
            <w:tcW w:w="992" w:type="dxa"/>
          </w:tcPr>
          <w:p w14:paraId="2FFDF8CB" w14:textId="7C1B3CFA" w:rsidR="002E0E4D" w:rsidRPr="006A3CD2" w:rsidRDefault="002E0E4D" w:rsidP="002E0E4D">
            <w:r w:rsidRPr="00E06451">
              <w:t>-1,5%</w:t>
            </w:r>
          </w:p>
        </w:tc>
        <w:tc>
          <w:tcPr>
            <w:tcW w:w="992" w:type="dxa"/>
          </w:tcPr>
          <w:p w14:paraId="4E90667F" w14:textId="1197452B" w:rsidR="002E0E4D" w:rsidRPr="006A3CD2" w:rsidRDefault="002E0E4D" w:rsidP="002E0E4D">
            <w:r w:rsidRPr="00DC309D">
              <w:t>5.273</w:t>
            </w:r>
          </w:p>
        </w:tc>
        <w:tc>
          <w:tcPr>
            <w:tcW w:w="992" w:type="dxa"/>
          </w:tcPr>
          <w:p w14:paraId="2B03CDA1" w14:textId="6FED8B97" w:rsidR="002E0E4D" w:rsidRPr="006A3CD2" w:rsidRDefault="002E0E4D" w:rsidP="002E0E4D">
            <w:r w:rsidRPr="00031F22">
              <w:t>3.619</w:t>
            </w:r>
          </w:p>
        </w:tc>
      </w:tr>
      <w:tr w:rsidR="002E0E4D" w:rsidRPr="006A3CD2" w14:paraId="5F45D037" w14:textId="4BF46FBB" w:rsidTr="00C571A0">
        <w:trPr>
          <w:cantSplit/>
        </w:trPr>
        <w:tc>
          <w:tcPr>
            <w:tcW w:w="851" w:type="dxa"/>
            <w:shd w:val="clear" w:color="auto" w:fill="auto"/>
          </w:tcPr>
          <w:p w14:paraId="0E07019A" w14:textId="687DF8D7" w:rsidR="002E0E4D" w:rsidRPr="006A3CD2" w:rsidRDefault="002E0E4D" w:rsidP="002E0E4D">
            <w:pPr>
              <w:spacing w:before="40" w:after="120" w:line="220" w:lineRule="exact"/>
              <w:ind w:right="113"/>
            </w:pPr>
            <w:r w:rsidRPr="0099666F">
              <w:t>Mar-20</w:t>
            </w:r>
          </w:p>
        </w:tc>
        <w:tc>
          <w:tcPr>
            <w:tcW w:w="992" w:type="dxa"/>
            <w:shd w:val="clear" w:color="auto" w:fill="auto"/>
          </w:tcPr>
          <w:p w14:paraId="3DD5240C" w14:textId="6CE0F8EE" w:rsidR="002E0E4D" w:rsidRPr="006A3CD2" w:rsidRDefault="002E0E4D" w:rsidP="002E0E4D">
            <w:pPr>
              <w:spacing w:before="40" w:after="120" w:line="220" w:lineRule="exact"/>
              <w:ind w:right="227"/>
            </w:pPr>
            <w:r w:rsidRPr="00FF60AB">
              <w:t>120.165</w:t>
            </w:r>
          </w:p>
        </w:tc>
        <w:tc>
          <w:tcPr>
            <w:tcW w:w="992" w:type="dxa"/>
            <w:shd w:val="clear" w:color="auto" w:fill="auto"/>
          </w:tcPr>
          <w:p w14:paraId="34D4B58E" w14:textId="2C71FAD0" w:rsidR="002E0E4D" w:rsidRPr="006A3CD2" w:rsidRDefault="002E0E4D" w:rsidP="002E0E4D">
            <w:r w:rsidRPr="00E310B3">
              <w:t>11.599</w:t>
            </w:r>
          </w:p>
        </w:tc>
        <w:tc>
          <w:tcPr>
            <w:tcW w:w="992" w:type="dxa"/>
          </w:tcPr>
          <w:p w14:paraId="7736FE69" w14:textId="77185AF2" w:rsidR="002E0E4D" w:rsidRPr="006A3CD2" w:rsidRDefault="002E0E4D" w:rsidP="002E0E4D">
            <w:r w:rsidRPr="00672CB2">
              <w:t>131.764</w:t>
            </w:r>
          </w:p>
        </w:tc>
        <w:tc>
          <w:tcPr>
            <w:tcW w:w="992" w:type="dxa"/>
          </w:tcPr>
          <w:p w14:paraId="1C87D5F1" w14:textId="4BFA20A5" w:rsidR="002E0E4D" w:rsidRPr="006A3CD2" w:rsidRDefault="002E0E4D" w:rsidP="002E0E4D">
            <w:r w:rsidRPr="00E06451">
              <w:t>-4,8%</w:t>
            </w:r>
          </w:p>
        </w:tc>
        <w:tc>
          <w:tcPr>
            <w:tcW w:w="992" w:type="dxa"/>
          </w:tcPr>
          <w:p w14:paraId="1808C268" w14:textId="73454BF9" w:rsidR="002E0E4D" w:rsidRPr="006A3CD2" w:rsidRDefault="002E0E4D" w:rsidP="002E0E4D">
            <w:r w:rsidRPr="00DC309D">
              <w:t>6.904</w:t>
            </w:r>
          </w:p>
        </w:tc>
        <w:tc>
          <w:tcPr>
            <w:tcW w:w="992" w:type="dxa"/>
          </w:tcPr>
          <w:p w14:paraId="7B6F3564" w14:textId="071118DE" w:rsidR="002E0E4D" w:rsidRPr="006A3CD2" w:rsidRDefault="002E0E4D" w:rsidP="002E0E4D">
            <w:r w:rsidRPr="00031F22">
              <w:t>1.443</w:t>
            </w:r>
          </w:p>
        </w:tc>
      </w:tr>
      <w:tr w:rsidR="002E0E4D" w:rsidRPr="006A3CD2" w14:paraId="77EF9604" w14:textId="74604312" w:rsidTr="00C571A0">
        <w:trPr>
          <w:cantSplit/>
        </w:trPr>
        <w:tc>
          <w:tcPr>
            <w:tcW w:w="851" w:type="dxa"/>
            <w:shd w:val="clear" w:color="auto" w:fill="auto"/>
          </w:tcPr>
          <w:p w14:paraId="1451C0B3" w14:textId="43C044EB" w:rsidR="002E0E4D" w:rsidRPr="006A3CD2" w:rsidRDefault="002E0E4D" w:rsidP="002E0E4D">
            <w:pPr>
              <w:spacing w:before="40" w:after="120" w:line="220" w:lineRule="exact"/>
              <w:ind w:right="113"/>
            </w:pPr>
            <w:r w:rsidRPr="0099666F">
              <w:t>Apr-20</w:t>
            </w:r>
          </w:p>
        </w:tc>
        <w:tc>
          <w:tcPr>
            <w:tcW w:w="992" w:type="dxa"/>
            <w:shd w:val="clear" w:color="auto" w:fill="auto"/>
          </w:tcPr>
          <w:p w14:paraId="1F5A4A07" w14:textId="0DBABEFF" w:rsidR="002E0E4D" w:rsidRPr="006A3CD2" w:rsidRDefault="002E0E4D" w:rsidP="002E0E4D">
            <w:pPr>
              <w:spacing w:before="40" w:after="120" w:line="220" w:lineRule="exact"/>
              <w:ind w:right="227"/>
            </w:pPr>
            <w:r w:rsidRPr="00FF60AB">
              <w:t>105.501</w:t>
            </w:r>
          </w:p>
        </w:tc>
        <w:tc>
          <w:tcPr>
            <w:tcW w:w="992" w:type="dxa"/>
            <w:shd w:val="clear" w:color="auto" w:fill="auto"/>
          </w:tcPr>
          <w:p w14:paraId="65D6AE74" w14:textId="2BAFC5C2" w:rsidR="002E0E4D" w:rsidRPr="006A3CD2" w:rsidRDefault="002E0E4D" w:rsidP="002E0E4D">
            <w:r w:rsidRPr="00E310B3">
              <w:t>9.061</w:t>
            </w:r>
          </w:p>
        </w:tc>
        <w:tc>
          <w:tcPr>
            <w:tcW w:w="992" w:type="dxa"/>
          </w:tcPr>
          <w:p w14:paraId="6C5716F9" w14:textId="7C65F537" w:rsidR="002E0E4D" w:rsidRPr="006A3CD2" w:rsidRDefault="002E0E4D" w:rsidP="002E0E4D">
            <w:r w:rsidRPr="00672CB2">
              <w:t>114.562</w:t>
            </w:r>
          </w:p>
        </w:tc>
        <w:tc>
          <w:tcPr>
            <w:tcW w:w="992" w:type="dxa"/>
          </w:tcPr>
          <w:p w14:paraId="585A5E50" w14:textId="3F1BD502" w:rsidR="002E0E4D" w:rsidRPr="006A3CD2" w:rsidRDefault="002E0E4D" w:rsidP="002E0E4D">
            <w:r w:rsidRPr="00E06451">
              <w:t>-13,1%</w:t>
            </w:r>
          </w:p>
        </w:tc>
        <w:tc>
          <w:tcPr>
            <w:tcW w:w="992" w:type="dxa"/>
          </w:tcPr>
          <w:p w14:paraId="3C2802D2" w14:textId="448088FE" w:rsidR="002E0E4D" w:rsidRPr="006A3CD2" w:rsidRDefault="002E0E4D" w:rsidP="002E0E4D">
            <w:r w:rsidRPr="00DC309D">
              <w:t>15.853</w:t>
            </w:r>
          </w:p>
        </w:tc>
        <w:tc>
          <w:tcPr>
            <w:tcW w:w="992" w:type="dxa"/>
          </w:tcPr>
          <w:p w14:paraId="2BFA1296" w14:textId="35F3BD9D" w:rsidR="002E0E4D" w:rsidRPr="006A3CD2" w:rsidRDefault="002E0E4D" w:rsidP="002E0E4D">
            <w:r w:rsidRPr="00031F22">
              <w:t>2.541</w:t>
            </w:r>
          </w:p>
        </w:tc>
      </w:tr>
      <w:tr w:rsidR="002E0E4D" w:rsidRPr="006A3CD2" w14:paraId="09076C26" w14:textId="33A7C083" w:rsidTr="00C571A0">
        <w:trPr>
          <w:cantSplit/>
        </w:trPr>
        <w:tc>
          <w:tcPr>
            <w:tcW w:w="851" w:type="dxa"/>
            <w:shd w:val="clear" w:color="auto" w:fill="auto"/>
          </w:tcPr>
          <w:p w14:paraId="3D5B1DA6" w14:textId="4220CC07" w:rsidR="002E0E4D" w:rsidRPr="006A3CD2" w:rsidRDefault="002E0E4D" w:rsidP="002E0E4D">
            <w:pPr>
              <w:spacing w:before="40" w:after="120" w:line="220" w:lineRule="exact"/>
              <w:ind w:right="113"/>
            </w:pPr>
            <w:r w:rsidRPr="0099666F">
              <w:t>May-20</w:t>
            </w:r>
          </w:p>
        </w:tc>
        <w:tc>
          <w:tcPr>
            <w:tcW w:w="992" w:type="dxa"/>
            <w:shd w:val="clear" w:color="auto" w:fill="auto"/>
          </w:tcPr>
          <w:p w14:paraId="6B8D4F6E" w14:textId="503DEBEA" w:rsidR="002E0E4D" w:rsidRPr="006A3CD2" w:rsidRDefault="002E0E4D" w:rsidP="002E0E4D">
            <w:pPr>
              <w:spacing w:before="40" w:after="120" w:line="220" w:lineRule="exact"/>
              <w:ind w:right="227"/>
            </w:pPr>
            <w:r w:rsidRPr="00FF60AB">
              <w:t>99.936</w:t>
            </w:r>
          </w:p>
        </w:tc>
        <w:tc>
          <w:tcPr>
            <w:tcW w:w="992" w:type="dxa"/>
            <w:shd w:val="clear" w:color="auto" w:fill="auto"/>
          </w:tcPr>
          <w:p w14:paraId="272D1EE8" w14:textId="11426A8D" w:rsidR="002E0E4D" w:rsidRPr="006A3CD2" w:rsidRDefault="002E0E4D" w:rsidP="002E0E4D">
            <w:r w:rsidRPr="00E310B3">
              <w:t>8.485</w:t>
            </w:r>
          </w:p>
        </w:tc>
        <w:tc>
          <w:tcPr>
            <w:tcW w:w="992" w:type="dxa"/>
          </w:tcPr>
          <w:p w14:paraId="37E332A0" w14:textId="6E7D3032" w:rsidR="002E0E4D" w:rsidRPr="006A3CD2" w:rsidRDefault="002E0E4D" w:rsidP="002E0E4D">
            <w:r w:rsidRPr="00672CB2">
              <w:t>108.421</w:t>
            </w:r>
          </w:p>
        </w:tc>
        <w:tc>
          <w:tcPr>
            <w:tcW w:w="992" w:type="dxa"/>
          </w:tcPr>
          <w:p w14:paraId="5C612F6F" w14:textId="63921AE9" w:rsidR="002E0E4D" w:rsidRPr="006A3CD2" w:rsidRDefault="002E0E4D" w:rsidP="002E0E4D">
            <w:r w:rsidRPr="00E06451">
              <w:t>-5,4%</w:t>
            </w:r>
          </w:p>
        </w:tc>
        <w:tc>
          <w:tcPr>
            <w:tcW w:w="992" w:type="dxa"/>
          </w:tcPr>
          <w:p w14:paraId="50386B4C" w14:textId="121443BB" w:rsidR="002E0E4D" w:rsidRPr="006A3CD2" w:rsidRDefault="002E0E4D" w:rsidP="002E0E4D">
            <w:r w:rsidRPr="00DC309D">
              <w:t>6.026</w:t>
            </w:r>
          </w:p>
        </w:tc>
        <w:tc>
          <w:tcPr>
            <w:tcW w:w="992" w:type="dxa"/>
          </w:tcPr>
          <w:p w14:paraId="45912806" w14:textId="62BDF604" w:rsidR="002E0E4D" w:rsidRPr="006A3CD2" w:rsidRDefault="002E0E4D" w:rsidP="002E0E4D">
            <w:r w:rsidRPr="00031F22">
              <w:t>1.926</w:t>
            </w:r>
          </w:p>
        </w:tc>
      </w:tr>
      <w:tr w:rsidR="002E0E4D" w:rsidRPr="006A3CD2" w14:paraId="37F54ECD" w14:textId="6CB93E20" w:rsidTr="00C571A0">
        <w:trPr>
          <w:cantSplit/>
        </w:trPr>
        <w:tc>
          <w:tcPr>
            <w:tcW w:w="851" w:type="dxa"/>
            <w:shd w:val="clear" w:color="auto" w:fill="auto"/>
          </w:tcPr>
          <w:p w14:paraId="7CCC9450" w14:textId="7F400E84" w:rsidR="002E0E4D" w:rsidRPr="006A3CD2" w:rsidRDefault="002E0E4D" w:rsidP="002E0E4D">
            <w:pPr>
              <w:spacing w:before="40" w:after="120" w:line="220" w:lineRule="exact"/>
              <w:ind w:right="113"/>
            </w:pPr>
            <w:r w:rsidRPr="0099666F">
              <w:t>Jun-20</w:t>
            </w:r>
          </w:p>
        </w:tc>
        <w:tc>
          <w:tcPr>
            <w:tcW w:w="992" w:type="dxa"/>
            <w:shd w:val="clear" w:color="auto" w:fill="auto"/>
          </w:tcPr>
          <w:p w14:paraId="4F62CF33" w14:textId="72906172" w:rsidR="002E0E4D" w:rsidRPr="006A3CD2" w:rsidRDefault="002E0E4D" w:rsidP="002E0E4D">
            <w:pPr>
              <w:spacing w:before="40" w:after="120" w:line="220" w:lineRule="exact"/>
              <w:ind w:right="227"/>
            </w:pPr>
            <w:r w:rsidRPr="00FF60AB">
              <w:t>94.829</w:t>
            </w:r>
          </w:p>
        </w:tc>
        <w:tc>
          <w:tcPr>
            <w:tcW w:w="992" w:type="dxa"/>
            <w:shd w:val="clear" w:color="auto" w:fill="auto"/>
          </w:tcPr>
          <w:p w14:paraId="1CB3C766" w14:textId="3BFE4E7F" w:rsidR="002E0E4D" w:rsidRPr="006A3CD2" w:rsidRDefault="002E0E4D" w:rsidP="002E0E4D">
            <w:r w:rsidRPr="00E310B3">
              <w:t>7.900</w:t>
            </w:r>
          </w:p>
        </w:tc>
        <w:tc>
          <w:tcPr>
            <w:tcW w:w="992" w:type="dxa"/>
          </w:tcPr>
          <w:p w14:paraId="5902EBFB" w14:textId="53AED9AF" w:rsidR="002E0E4D" w:rsidRPr="006A3CD2" w:rsidRDefault="002E0E4D" w:rsidP="002E0E4D">
            <w:r w:rsidRPr="00672CB2">
              <w:t>102.729</w:t>
            </w:r>
          </w:p>
        </w:tc>
        <w:tc>
          <w:tcPr>
            <w:tcW w:w="992" w:type="dxa"/>
          </w:tcPr>
          <w:p w14:paraId="2D91172C" w14:textId="068501AD" w:rsidR="002E0E4D" w:rsidRPr="006A3CD2" w:rsidRDefault="002E0E4D" w:rsidP="002E0E4D">
            <w:r w:rsidRPr="00E06451">
              <w:t>-5,2%</w:t>
            </w:r>
          </w:p>
        </w:tc>
        <w:tc>
          <w:tcPr>
            <w:tcW w:w="992" w:type="dxa"/>
          </w:tcPr>
          <w:p w14:paraId="080B0E00" w14:textId="2E770D0A" w:rsidR="002E0E4D" w:rsidRPr="006A3CD2" w:rsidRDefault="002E0E4D" w:rsidP="002E0E4D">
            <w:r w:rsidRPr="00DC309D">
              <w:t>8.715</w:t>
            </w:r>
          </w:p>
        </w:tc>
        <w:tc>
          <w:tcPr>
            <w:tcW w:w="992" w:type="dxa"/>
          </w:tcPr>
          <w:p w14:paraId="19914A90" w14:textId="2C93EA52" w:rsidR="002E0E4D" w:rsidRPr="006A3CD2" w:rsidRDefault="002E0E4D" w:rsidP="002E0E4D">
            <w:r w:rsidRPr="00031F22">
              <w:t>2.018</w:t>
            </w:r>
          </w:p>
        </w:tc>
      </w:tr>
      <w:tr w:rsidR="002E0E4D" w:rsidRPr="006A3CD2" w14:paraId="774D0785" w14:textId="75E63061" w:rsidTr="00C571A0">
        <w:trPr>
          <w:cantSplit/>
        </w:trPr>
        <w:tc>
          <w:tcPr>
            <w:tcW w:w="851" w:type="dxa"/>
            <w:shd w:val="clear" w:color="auto" w:fill="auto"/>
          </w:tcPr>
          <w:p w14:paraId="58DCD188" w14:textId="5779E652" w:rsidR="002E0E4D" w:rsidRPr="006A3CD2" w:rsidRDefault="002E0E4D" w:rsidP="002E0E4D">
            <w:pPr>
              <w:spacing w:before="40" w:after="120" w:line="220" w:lineRule="exact"/>
              <w:ind w:right="113"/>
            </w:pPr>
            <w:r w:rsidRPr="0099666F">
              <w:t>Jul-20</w:t>
            </w:r>
          </w:p>
        </w:tc>
        <w:tc>
          <w:tcPr>
            <w:tcW w:w="992" w:type="dxa"/>
            <w:shd w:val="clear" w:color="auto" w:fill="auto"/>
          </w:tcPr>
          <w:p w14:paraId="2A5F3E0D" w14:textId="27F752C5" w:rsidR="002E0E4D" w:rsidRPr="006A3CD2" w:rsidRDefault="002E0E4D" w:rsidP="002E0E4D">
            <w:pPr>
              <w:spacing w:before="40" w:after="120" w:line="220" w:lineRule="exact"/>
              <w:ind w:right="227"/>
            </w:pPr>
            <w:r w:rsidRPr="00FF60AB">
              <w:t>91.383</w:t>
            </w:r>
          </w:p>
        </w:tc>
        <w:tc>
          <w:tcPr>
            <w:tcW w:w="992" w:type="dxa"/>
            <w:shd w:val="clear" w:color="auto" w:fill="auto"/>
          </w:tcPr>
          <w:p w14:paraId="22DC44ED" w14:textId="261620DD" w:rsidR="002E0E4D" w:rsidRPr="006A3CD2" w:rsidRDefault="002E0E4D" w:rsidP="002E0E4D">
            <w:r w:rsidRPr="00E310B3">
              <w:t>7.637</w:t>
            </w:r>
          </w:p>
        </w:tc>
        <w:tc>
          <w:tcPr>
            <w:tcW w:w="992" w:type="dxa"/>
          </w:tcPr>
          <w:p w14:paraId="5B604422" w14:textId="75E20196" w:rsidR="002E0E4D" w:rsidRPr="006A3CD2" w:rsidRDefault="002E0E4D" w:rsidP="002E0E4D">
            <w:r w:rsidRPr="00672CB2">
              <w:t>99.020</w:t>
            </w:r>
          </w:p>
        </w:tc>
        <w:tc>
          <w:tcPr>
            <w:tcW w:w="992" w:type="dxa"/>
          </w:tcPr>
          <w:p w14:paraId="61EE4C10" w14:textId="4259F2D8" w:rsidR="002E0E4D" w:rsidRPr="006A3CD2" w:rsidRDefault="002E0E4D" w:rsidP="002E0E4D">
            <w:r w:rsidRPr="00E06451">
              <w:t>-3,6%</w:t>
            </w:r>
          </w:p>
        </w:tc>
        <w:tc>
          <w:tcPr>
            <w:tcW w:w="992" w:type="dxa"/>
          </w:tcPr>
          <w:p w14:paraId="3CB6E5FA" w14:textId="283C03A3" w:rsidR="002E0E4D" w:rsidRPr="006A3CD2" w:rsidRDefault="002E0E4D" w:rsidP="002E0E4D">
            <w:r w:rsidRPr="00DC309D">
              <w:t>7.071</w:t>
            </w:r>
          </w:p>
        </w:tc>
        <w:tc>
          <w:tcPr>
            <w:tcW w:w="992" w:type="dxa"/>
          </w:tcPr>
          <w:p w14:paraId="1ADAF0AD" w14:textId="419110B9" w:rsidR="002E0E4D" w:rsidRPr="006A3CD2" w:rsidRDefault="002E0E4D" w:rsidP="002E0E4D">
            <w:r w:rsidRPr="00031F22">
              <w:t>1.935</w:t>
            </w:r>
          </w:p>
        </w:tc>
      </w:tr>
      <w:tr w:rsidR="002E0E4D" w:rsidRPr="006A3CD2" w14:paraId="1368FD3D" w14:textId="5C4FE501" w:rsidTr="00C571A0">
        <w:trPr>
          <w:cantSplit/>
        </w:trPr>
        <w:tc>
          <w:tcPr>
            <w:tcW w:w="851" w:type="dxa"/>
            <w:shd w:val="clear" w:color="auto" w:fill="auto"/>
          </w:tcPr>
          <w:p w14:paraId="612667D5" w14:textId="7A85C81A" w:rsidR="002E0E4D" w:rsidRPr="006A3CD2" w:rsidRDefault="002E0E4D" w:rsidP="002E0E4D">
            <w:pPr>
              <w:spacing w:before="40" w:after="120" w:line="220" w:lineRule="exact"/>
              <w:ind w:right="113"/>
            </w:pPr>
            <w:r w:rsidRPr="0099666F">
              <w:t>Aug-20</w:t>
            </w:r>
          </w:p>
        </w:tc>
        <w:tc>
          <w:tcPr>
            <w:tcW w:w="992" w:type="dxa"/>
            <w:shd w:val="clear" w:color="auto" w:fill="auto"/>
          </w:tcPr>
          <w:p w14:paraId="196A5396" w14:textId="562F08E3" w:rsidR="002E0E4D" w:rsidRPr="006A3CD2" w:rsidRDefault="002E0E4D" w:rsidP="002E0E4D">
            <w:pPr>
              <w:spacing w:before="40" w:after="120" w:line="220" w:lineRule="exact"/>
              <w:ind w:right="227"/>
            </w:pPr>
            <w:r w:rsidRPr="00FF60AB">
              <w:t>88.286</w:t>
            </w:r>
          </w:p>
        </w:tc>
        <w:tc>
          <w:tcPr>
            <w:tcW w:w="992" w:type="dxa"/>
            <w:shd w:val="clear" w:color="auto" w:fill="auto"/>
          </w:tcPr>
          <w:p w14:paraId="1F1568FA" w14:textId="39F77B6D" w:rsidR="002E0E4D" w:rsidRPr="006A3CD2" w:rsidRDefault="002E0E4D" w:rsidP="002E0E4D">
            <w:r w:rsidRPr="00E310B3">
              <w:t>7.664</w:t>
            </w:r>
          </w:p>
        </w:tc>
        <w:tc>
          <w:tcPr>
            <w:tcW w:w="992" w:type="dxa"/>
          </w:tcPr>
          <w:p w14:paraId="28DE0580" w14:textId="7A63D0B9" w:rsidR="002E0E4D" w:rsidRPr="006A3CD2" w:rsidRDefault="002E0E4D" w:rsidP="002E0E4D">
            <w:r w:rsidRPr="00672CB2">
              <w:t>95.950</w:t>
            </w:r>
          </w:p>
        </w:tc>
        <w:tc>
          <w:tcPr>
            <w:tcW w:w="992" w:type="dxa"/>
          </w:tcPr>
          <w:p w14:paraId="3DB1B421" w14:textId="3D1999A6" w:rsidR="002E0E4D" w:rsidRPr="006A3CD2" w:rsidRDefault="002E0E4D" w:rsidP="002E0E4D">
            <w:r w:rsidRPr="00E06451">
              <w:t>-3,1%</w:t>
            </w:r>
          </w:p>
        </w:tc>
        <w:tc>
          <w:tcPr>
            <w:tcW w:w="992" w:type="dxa"/>
          </w:tcPr>
          <w:p w14:paraId="00C1900A" w14:textId="2164573D" w:rsidR="002E0E4D" w:rsidRPr="006A3CD2" w:rsidRDefault="002E0E4D" w:rsidP="002E0E4D">
            <w:r w:rsidRPr="00DC309D">
              <w:t>5.551</w:t>
            </w:r>
          </w:p>
        </w:tc>
        <w:tc>
          <w:tcPr>
            <w:tcW w:w="992" w:type="dxa"/>
          </w:tcPr>
          <w:p w14:paraId="00112E22" w14:textId="753B673D" w:rsidR="002E0E4D" w:rsidRPr="006A3CD2" w:rsidRDefault="002E0E4D" w:rsidP="002E0E4D">
            <w:r w:rsidRPr="00031F22">
              <w:t>1.517</w:t>
            </w:r>
          </w:p>
        </w:tc>
      </w:tr>
      <w:tr w:rsidR="002E0E4D" w:rsidRPr="006A3CD2" w14:paraId="09B9869F" w14:textId="2E238EDE" w:rsidTr="00C571A0">
        <w:trPr>
          <w:cantSplit/>
        </w:trPr>
        <w:tc>
          <w:tcPr>
            <w:tcW w:w="851" w:type="dxa"/>
            <w:shd w:val="clear" w:color="auto" w:fill="auto"/>
          </w:tcPr>
          <w:p w14:paraId="3DC7CC66" w14:textId="795A985C" w:rsidR="002E0E4D" w:rsidRPr="006A3CD2" w:rsidRDefault="002E0E4D" w:rsidP="002E0E4D">
            <w:pPr>
              <w:spacing w:before="40" w:after="120" w:line="220" w:lineRule="exact"/>
              <w:ind w:right="113"/>
            </w:pPr>
            <w:r w:rsidRPr="0099666F">
              <w:t>Sep-20</w:t>
            </w:r>
          </w:p>
        </w:tc>
        <w:tc>
          <w:tcPr>
            <w:tcW w:w="992" w:type="dxa"/>
            <w:shd w:val="clear" w:color="auto" w:fill="auto"/>
          </w:tcPr>
          <w:p w14:paraId="34F94A95" w14:textId="6574C494" w:rsidR="002E0E4D" w:rsidRPr="006A3CD2" w:rsidRDefault="002E0E4D" w:rsidP="002E0E4D">
            <w:pPr>
              <w:spacing w:before="40" w:after="120" w:line="220" w:lineRule="exact"/>
              <w:ind w:right="227"/>
            </w:pPr>
            <w:r w:rsidRPr="00FF60AB">
              <w:t>84.212</w:t>
            </w:r>
          </w:p>
        </w:tc>
        <w:tc>
          <w:tcPr>
            <w:tcW w:w="992" w:type="dxa"/>
            <w:shd w:val="clear" w:color="auto" w:fill="auto"/>
          </w:tcPr>
          <w:p w14:paraId="5AAF14B0" w14:textId="6646E6D4" w:rsidR="002E0E4D" w:rsidRPr="006A3CD2" w:rsidRDefault="002E0E4D" w:rsidP="002E0E4D">
            <w:r w:rsidRPr="00E310B3">
              <w:t>6.373</w:t>
            </w:r>
          </w:p>
        </w:tc>
        <w:tc>
          <w:tcPr>
            <w:tcW w:w="992" w:type="dxa"/>
          </w:tcPr>
          <w:p w14:paraId="6C834EBD" w14:textId="624B4583" w:rsidR="002E0E4D" w:rsidRPr="006A3CD2" w:rsidRDefault="002E0E4D" w:rsidP="002E0E4D">
            <w:r w:rsidRPr="00672CB2">
              <w:t>90.585</w:t>
            </w:r>
          </w:p>
        </w:tc>
        <w:tc>
          <w:tcPr>
            <w:tcW w:w="992" w:type="dxa"/>
          </w:tcPr>
          <w:p w14:paraId="00050E29" w14:textId="194E3AA6" w:rsidR="002E0E4D" w:rsidRPr="006A3CD2" w:rsidRDefault="002E0E4D" w:rsidP="002E0E4D">
            <w:r w:rsidRPr="00E06451">
              <w:t>-5,6%</w:t>
            </w:r>
          </w:p>
        </w:tc>
        <w:tc>
          <w:tcPr>
            <w:tcW w:w="992" w:type="dxa"/>
          </w:tcPr>
          <w:p w14:paraId="77B9F600" w14:textId="21737C87" w:rsidR="002E0E4D" w:rsidRPr="006A3CD2" w:rsidRDefault="002E0E4D" w:rsidP="002E0E4D">
            <w:r w:rsidRPr="00DC309D">
              <w:t>7.045</w:t>
            </w:r>
          </w:p>
        </w:tc>
        <w:tc>
          <w:tcPr>
            <w:tcW w:w="992" w:type="dxa"/>
          </w:tcPr>
          <w:p w14:paraId="252C9D30" w14:textId="02F48DCB" w:rsidR="002E0E4D" w:rsidRPr="006A3CD2" w:rsidRDefault="002E0E4D" w:rsidP="002E0E4D">
            <w:r w:rsidRPr="00031F22">
              <w:t>2.552</w:t>
            </w:r>
          </w:p>
        </w:tc>
      </w:tr>
      <w:tr w:rsidR="002E0E4D" w:rsidRPr="006A3CD2" w14:paraId="04E254DC" w14:textId="3B9706F1" w:rsidTr="00C571A0">
        <w:trPr>
          <w:cantSplit/>
        </w:trPr>
        <w:tc>
          <w:tcPr>
            <w:tcW w:w="851" w:type="dxa"/>
            <w:shd w:val="clear" w:color="auto" w:fill="auto"/>
          </w:tcPr>
          <w:p w14:paraId="2D6E3DB5" w14:textId="2393F8A3" w:rsidR="002E0E4D" w:rsidRPr="006A3CD2" w:rsidRDefault="002E0E4D" w:rsidP="002E0E4D">
            <w:pPr>
              <w:spacing w:before="40" w:after="120" w:line="220" w:lineRule="exact"/>
              <w:ind w:right="113"/>
            </w:pPr>
            <w:r w:rsidRPr="0099666F">
              <w:t>Oct-20</w:t>
            </w:r>
          </w:p>
        </w:tc>
        <w:tc>
          <w:tcPr>
            <w:tcW w:w="992" w:type="dxa"/>
            <w:shd w:val="clear" w:color="auto" w:fill="auto"/>
          </w:tcPr>
          <w:p w14:paraId="79420837" w14:textId="4BA652FB" w:rsidR="002E0E4D" w:rsidRPr="006A3CD2" w:rsidRDefault="002E0E4D" w:rsidP="002E0E4D">
            <w:pPr>
              <w:spacing w:before="40" w:after="120" w:line="220" w:lineRule="exact"/>
              <w:ind w:right="227"/>
            </w:pPr>
            <w:r w:rsidRPr="00FF60AB">
              <w:t>82.646</w:t>
            </w:r>
          </w:p>
        </w:tc>
        <w:tc>
          <w:tcPr>
            <w:tcW w:w="992" w:type="dxa"/>
            <w:shd w:val="clear" w:color="auto" w:fill="auto"/>
          </w:tcPr>
          <w:p w14:paraId="75422069" w14:textId="491231E0" w:rsidR="002E0E4D" w:rsidRPr="006A3CD2" w:rsidRDefault="002E0E4D" w:rsidP="002E0E4D">
            <w:r w:rsidRPr="00E310B3">
              <w:t>5.182</w:t>
            </w:r>
          </w:p>
        </w:tc>
        <w:tc>
          <w:tcPr>
            <w:tcW w:w="992" w:type="dxa"/>
          </w:tcPr>
          <w:p w14:paraId="70502083" w14:textId="7CB6999D" w:rsidR="002E0E4D" w:rsidRPr="006A3CD2" w:rsidRDefault="002E0E4D" w:rsidP="002E0E4D">
            <w:r w:rsidRPr="00672CB2">
              <w:t>87.828</w:t>
            </w:r>
          </w:p>
        </w:tc>
        <w:tc>
          <w:tcPr>
            <w:tcW w:w="992" w:type="dxa"/>
          </w:tcPr>
          <w:p w14:paraId="6FEF718F" w14:textId="71C6B0FB" w:rsidR="002E0E4D" w:rsidRPr="006A3CD2" w:rsidRDefault="002E0E4D" w:rsidP="002E0E4D">
            <w:r w:rsidRPr="00E06451">
              <w:t>-3,0%</w:t>
            </w:r>
          </w:p>
        </w:tc>
        <w:tc>
          <w:tcPr>
            <w:tcW w:w="992" w:type="dxa"/>
          </w:tcPr>
          <w:p w14:paraId="318C1CD4" w14:textId="667D17D0" w:rsidR="002E0E4D" w:rsidRPr="006A3CD2" w:rsidRDefault="002E0E4D" w:rsidP="002E0E4D">
            <w:r w:rsidRPr="00DC309D">
              <w:t>4.198</w:t>
            </w:r>
          </w:p>
        </w:tc>
        <w:tc>
          <w:tcPr>
            <w:tcW w:w="992" w:type="dxa"/>
          </w:tcPr>
          <w:p w14:paraId="2BF2107D" w14:textId="7AF05752" w:rsidR="002E0E4D" w:rsidRPr="006A3CD2" w:rsidRDefault="002E0E4D" w:rsidP="002E0E4D">
            <w:r w:rsidRPr="00031F22">
              <w:t>2.247</w:t>
            </w:r>
          </w:p>
        </w:tc>
      </w:tr>
      <w:tr w:rsidR="002E0E4D" w:rsidRPr="006A3CD2" w14:paraId="2C677167" w14:textId="006F4316" w:rsidTr="00C571A0">
        <w:trPr>
          <w:cantSplit/>
        </w:trPr>
        <w:tc>
          <w:tcPr>
            <w:tcW w:w="851" w:type="dxa"/>
            <w:shd w:val="clear" w:color="auto" w:fill="auto"/>
          </w:tcPr>
          <w:p w14:paraId="79DE2102" w14:textId="15CEDA49" w:rsidR="002E0E4D" w:rsidRPr="006A3CD2" w:rsidRDefault="002E0E4D" w:rsidP="002E0E4D">
            <w:pPr>
              <w:spacing w:before="40" w:after="120" w:line="220" w:lineRule="exact"/>
              <w:ind w:right="113"/>
            </w:pPr>
            <w:r>
              <w:t>Nov-20</w:t>
            </w:r>
          </w:p>
        </w:tc>
        <w:tc>
          <w:tcPr>
            <w:tcW w:w="992" w:type="dxa"/>
            <w:shd w:val="clear" w:color="auto" w:fill="auto"/>
          </w:tcPr>
          <w:p w14:paraId="59A5468E" w14:textId="46CA52A1" w:rsidR="002E0E4D" w:rsidRPr="006A3CD2" w:rsidRDefault="002E0E4D" w:rsidP="002E0E4D">
            <w:pPr>
              <w:spacing w:before="40" w:after="120" w:line="220" w:lineRule="exact"/>
              <w:ind w:right="227"/>
            </w:pPr>
            <w:r w:rsidRPr="00FF60AB">
              <w:t>79.353</w:t>
            </w:r>
          </w:p>
        </w:tc>
        <w:tc>
          <w:tcPr>
            <w:tcW w:w="992" w:type="dxa"/>
            <w:shd w:val="clear" w:color="auto" w:fill="auto"/>
          </w:tcPr>
          <w:p w14:paraId="3490A71A" w14:textId="5A103690" w:rsidR="002E0E4D" w:rsidRPr="006A3CD2" w:rsidRDefault="002E0E4D" w:rsidP="002E0E4D">
            <w:r w:rsidRPr="00E310B3">
              <w:t>3.851</w:t>
            </w:r>
          </w:p>
        </w:tc>
        <w:tc>
          <w:tcPr>
            <w:tcW w:w="992" w:type="dxa"/>
          </w:tcPr>
          <w:p w14:paraId="00A0A6AC" w14:textId="043012E0" w:rsidR="002E0E4D" w:rsidRPr="006A3CD2" w:rsidRDefault="002E0E4D" w:rsidP="002E0E4D">
            <w:r w:rsidRPr="00672CB2">
              <w:t>83.204</w:t>
            </w:r>
          </w:p>
        </w:tc>
        <w:tc>
          <w:tcPr>
            <w:tcW w:w="992" w:type="dxa"/>
          </w:tcPr>
          <w:p w14:paraId="0AA600E2" w14:textId="5141C8CD" w:rsidR="002E0E4D" w:rsidRPr="006A3CD2" w:rsidRDefault="002E0E4D" w:rsidP="002E0E4D">
            <w:r w:rsidRPr="00E06451">
              <w:t>-5,3%</w:t>
            </w:r>
          </w:p>
        </w:tc>
        <w:tc>
          <w:tcPr>
            <w:tcW w:w="992" w:type="dxa"/>
          </w:tcPr>
          <w:p w14:paraId="53C1B989" w14:textId="68077F6B" w:rsidR="002E0E4D" w:rsidRPr="006A3CD2" w:rsidRDefault="002E0E4D" w:rsidP="002E0E4D">
            <w:r w:rsidRPr="00DC309D">
              <w:t>5.835</w:t>
            </w:r>
          </w:p>
        </w:tc>
        <w:tc>
          <w:tcPr>
            <w:tcW w:w="992" w:type="dxa"/>
          </w:tcPr>
          <w:p w14:paraId="476D54E5" w14:textId="7152D5EE" w:rsidR="002E0E4D" w:rsidRPr="006A3CD2" w:rsidRDefault="002E0E4D" w:rsidP="002E0E4D">
            <w:r w:rsidRPr="00031F22">
              <w:t>2.179</w:t>
            </w:r>
          </w:p>
        </w:tc>
      </w:tr>
      <w:tr w:rsidR="002E0E4D" w:rsidRPr="006A3CD2" w14:paraId="37D55F5A" w14:textId="485EADFB" w:rsidTr="00C571A0">
        <w:trPr>
          <w:cantSplit/>
        </w:trPr>
        <w:tc>
          <w:tcPr>
            <w:tcW w:w="851" w:type="dxa"/>
            <w:shd w:val="clear" w:color="auto" w:fill="auto"/>
          </w:tcPr>
          <w:p w14:paraId="177657E9" w14:textId="3B1BBAA7" w:rsidR="002E0E4D" w:rsidRPr="006A3CD2" w:rsidRDefault="002E0E4D" w:rsidP="002E0E4D">
            <w:pPr>
              <w:spacing w:before="40" w:after="120" w:line="220" w:lineRule="exact"/>
              <w:ind w:right="113"/>
            </w:pPr>
            <w:r>
              <w:t>Dec-20</w:t>
            </w:r>
          </w:p>
        </w:tc>
        <w:tc>
          <w:tcPr>
            <w:tcW w:w="992" w:type="dxa"/>
            <w:shd w:val="clear" w:color="auto" w:fill="auto"/>
          </w:tcPr>
          <w:p w14:paraId="321730CE" w14:textId="5AD0D675" w:rsidR="002E0E4D" w:rsidRPr="006A3CD2" w:rsidRDefault="002E0E4D" w:rsidP="002E0E4D">
            <w:pPr>
              <w:spacing w:before="40" w:after="120" w:line="220" w:lineRule="exact"/>
              <w:ind w:right="227"/>
            </w:pPr>
            <w:r w:rsidRPr="00FF60AB">
              <w:t>76.335</w:t>
            </w:r>
          </w:p>
        </w:tc>
        <w:tc>
          <w:tcPr>
            <w:tcW w:w="992" w:type="dxa"/>
            <w:shd w:val="clear" w:color="auto" w:fill="auto"/>
          </w:tcPr>
          <w:p w14:paraId="3EB81A4A" w14:textId="3B0A2A80" w:rsidR="002E0E4D" w:rsidRPr="006A3CD2" w:rsidRDefault="002E0E4D" w:rsidP="002E0E4D">
            <w:r w:rsidRPr="00E310B3">
              <w:t>3.553</w:t>
            </w:r>
          </w:p>
        </w:tc>
        <w:tc>
          <w:tcPr>
            <w:tcW w:w="992" w:type="dxa"/>
          </w:tcPr>
          <w:p w14:paraId="20B81B35" w14:textId="4350D226" w:rsidR="002E0E4D" w:rsidRPr="006A3CD2" w:rsidRDefault="002E0E4D" w:rsidP="002E0E4D">
            <w:r w:rsidRPr="00672CB2">
              <w:t>79.888</w:t>
            </w:r>
          </w:p>
        </w:tc>
        <w:tc>
          <w:tcPr>
            <w:tcW w:w="992" w:type="dxa"/>
          </w:tcPr>
          <w:p w14:paraId="4E5CD2C6" w14:textId="099E8171" w:rsidR="002E0E4D" w:rsidRPr="006A3CD2" w:rsidRDefault="002E0E4D" w:rsidP="002E0E4D">
            <w:r w:rsidRPr="00E06451">
              <w:t>-4,0%</w:t>
            </w:r>
          </w:p>
        </w:tc>
        <w:tc>
          <w:tcPr>
            <w:tcW w:w="992" w:type="dxa"/>
          </w:tcPr>
          <w:p w14:paraId="39821A0B" w14:textId="02B02B8E" w:rsidR="002E0E4D" w:rsidRPr="006A3CD2" w:rsidRDefault="002E0E4D" w:rsidP="002E0E4D">
            <w:r w:rsidRPr="00DC309D">
              <w:t>4.798</w:t>
            </w:r>
          </w:p>
        </w:tc>
        <w:tc>
          <w:tcPr>
            <w:tcW w:w="992" w:type="dxa"/>
          </w:tcPr>
          <w:p w14:paraId="734564DA" w14:textId="11E60705" w:rsidR="002E0E4D" w:rsidRPr="006A3CD2" w:rsidRDefault="002E0E4D" w:rsidP="002E0E4D">
            <w:r w:rsidRPr="00031F22">
              <w:t>1.174</w:t>
            </w:r>
          </w:p>
        </w:tc>
      </w:tr>
      <w:tr w:rsidR="00C571A0" w:rsidRPr="006A3CD2" w14:paraId="68B5A16C" w14:textId="0A08B2EC" w:rsidTr="00C571A0">
        <w:trPr>
          <w:cantSplit/>
          <w:trHeight w:hRule="exact" w:val="113"/>
          <w:tblHeader/>
        </w:trPr>
        <w:tc>
          <w:tcPr>
            <w:tcW w:w="851" w:type="dxa"/>
            <w:tcBorders>
              <w:top w:val="nil"/>
            </w:tcBorders>
            <w:shd w:val="clear" w:color="auto" w:fill="auto"/>
          </w:tcPr>
          <w:p w14:paraId="6A7E7DFE" w14:textId="77777777" w:rsidR="00C571A0" w:rsidRPr="006A3CD2" w:rsidRDefault="00C571A0" w:rsidP="00977B3B">
            <w:pPr>
              <w:spacing w:before="40" w:after="120" w:line="220" w:lineRule="exact"/>
              <w:ind w:right="113"/>
              <w:rPr>
                <w:szCs w:val="18"/>
              </w:rPr>
            </w:pPr>
          </w:p>
        </w:tc>
        <w:tc>
          <w:tcPr>
            <w:tcW w:w="992" w:type="dxa"/>
            <w:tcBorders>
              <w:top w:val="nil"/>
            </w:tcBorders>
            <w:shd w:val="clear" w:color="auto" w:fill="auto"/>
          </w:tcPr>
          <w:p w14:paraId="11B47429" w14:textId="77777777" w:rsidR="00C571A0" w:rsidRPr="006A3CD2" w:rsidRDefault="00C571A0" w:rsidP="00977B3B">
            <w:pPr>
              <w:spacing w:before="40" w:after="120" w:line="220" w:lineRule="exact"/>
              <w:ind w:right="113"/>
              <w:rPr>
                <w:szCs w:val="18"/>
              </w:rPr>
            </w:pPr>
          </w:p>
        </w:tc>
        <w:tc>
          <w:tcPr>
            <w:tcW w:w="992" w:type="dxa"/>
            <w:tcBorders>
              <w:top w:val="nil"/>
            </w:tcBorders>
            <w:shd w:val="clear" w:color="auto" w:fill="auto"/>
          </w:tcPr>
          <w:p w14:paraId="52D8F82C" w14:textId="77777777" w:rsidR="00C571A0" w:rsidRPr="006A3CD2" w:rsidRDefault="00C571A0" w:rsidP="00977B3B">
            <w:pPr>
              <w:spacing w:before="40" w:after="120" w:line="220" w:lineRule="exact"/>
              <w:ind w:right="113"/>
              <w:rPr>
                <w:szCs w:val="18"/>
              </w:rPr>
            </w:pPr>
          </w:p>
        </w:tc>
        <w:tc>
          <w:tcPr>
            <w:tcW w:w="992" w:type="dxa"/>
            <w:tcBorders>
              <w:top w:val="nil"/>
            </w:tcBorders>
          </w:tcPr>
          <w:p w14:paraId="37BA02C1" w14:textId="77777777" w:rsidR="00C571A0" w:rsidRPr="006A3CD2" w:rsidRDefault="00C571A0" w:rsidP="00977B3B">
            <w:pPr>
              <w:spacing w:before="40" w:after="120" w:line="220" w:lineRule="exact"/>
              <w:ind w:right="113"/>
              <w:rPr>
                <w:szCs w:val="18"/>
              </w:rPr>
            </w:pPr>
          </w:p>
        </w:tc>
        <w:tc>
          <w:tcPr>
            <w:tcW w:w="992" w:type="dxa"/>
            <w:tcBorders>
              <w:top w:val="nil"/>
            </w:tcBorders>
          </w:tcPr>
          <w:p w14:paraId="4122B3E8" w14:textId="77777777" w:rsidR="00C571A0" w:rsidRPr="006A3CD2" w:rsidRDefault="00C571A0" w:rsidP="00977B3B">
            <w:pPr>
              <w:spacing w:before="40" w:after="120" w:line="220" w:lineRule="exact"/>
              <w:ind w:right="113"/>
              <w:rPr>
                <w:szCs w:val="18"/>
              </w:rPr>
            </w:pPr>
          </w:p>
        </w:tc>
        <w:tc>
          <w:tcPr>
            <w:tcW w:w="992" w:type="dxa"/>
            <w:tcBorders>
              <w:top w:val="nil"/>
            </w:tcBorders>
          </w:tcPr>
          <w:p w14:paraId="2BBAFA0D" w14:textId="77777777" w:rsidR="00C571A0" w:rsidRPr="006A3CD2" w:rsidRDefault="00C571A0" w:rsidP="00977B3B">
            <w:pPr>
              <w:spacing w:before="40" w:after="120" w:line="220" w:lineRule="exact"/>
              <w:ind w:right="113"/>
              <w:rPr>
                <w:szCs w:val="18"/>
              </w:rPr>
            </w:pPr>
          </w:p>
        </w:tc>
        <w:tc>
          <w:tcPr>
            <w:tcW w:w="992" w:type="dxa"/>
            <w:tcBorders>
              <w:top w:val="nil"/>
            </w:tcBorders>
          </w:tcPr>
          <w:p w14:paraId="0AC4CFE5" w14:textId="77777777" w:rsidR="00C571A0" w:rsidRPr="006A3CD2" w:rsidRDefault="00C571A0" w:rsidP="00977B3B">
            <w:pPr>
              <w:spacing w:before="40" w:after="120" w:line="220" w:lineRule="exact"/>
              <w:ind w:right="113"/>
              <w:rPr>
                <w:szCs w:val="18"/>
              </w:rPr>
            </w:pPr>
          </w:p>
        </w:tc>
      </w:tr>
    </w:tbl>
    <w:p w14:paraId="5D4B18DE" w14:textId="77777777" w:rsidR="002E0E4D" w:rsidRDefault="002E0E4D">
      <w:pPr>
        <w:suppressAutoHyphens w:val="0"/>
        <w:spacing w:line="240" w:lineRule="auto"/>
      </w:pPr>
      <w:r>
        <w:br w:type="page"/>
      </w:r>
    </w:p>
    <w:p w14:paraId="1BD2CDE4" w14:textId="3F1FB248" w:rsidR="00DB5991" w:rsidRDefault="002E0E4D" w:rsidP="00DF05D1">
      <w:pPr>
        <w:pStyle w:val="H23G"/>
        <w:rPr>
          <w:lang w:val="fr-FR"/>
        </w:rPr>
      </w:pPr>
      <w:r>
        <w:rPr>
          <w:lang w:val="fr-FR"/>
        </w:rPr>
        <w:tab/>
        <w:t>2.</w:t>
      </w:r>
      <w:r>
        <w:rPr>
          <w:lang w:val="fr-FR"/>
        </w:rPr>
        <w:tab/>
        <w:t>Greek Asylum Service: decisions</w:t>
      </w:r>
    </w:p>
    <w:tbl>
      <w:tblPr>
        <w:tblW w:w="58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850"/>
        <w:gridCol w:w="992"/>
        <w:gridCol w:w="992"/>
        <w:gridCol w:w="992"/>
        <w:gridCol w:w="993"/>
      </w:tblGrid>
      <w:tr w:rsidR="002E0E4D" w:rsidRPr="006A3CD2" w14:paraId="16387561" w14:textId="77777777" w:rsidTr="00E21E6B">
        <w:trPr>
          <w:cantSplit/>
          <w:tblHeader/>
        </w:trPr>
        <w:tc>
          <w:tcPr>
            <w:tcW w:w="5812" w:type="dxa"/>
            <w:gridSpan w:val="6"/>
            <w:tcBorders>
              <w:top w:val="single" w:sz="4" w:space="0" w:color="auto"/>
              <w:bottom w:val="single" w:sz="12" w:space="0" w:color="auto"/>
            </w:tcBorders>
            <w:shd w:val="clear" w:color="auto" w:fill="auto"/>
            <w:vAlign w:val="bottom"/>
          </w:tcPr>
          <w:p w14:paraId="606ED043" w14:textId="70EC7B04" w:rsidR="002E0E4D" w:rsidRPr="00DF05D1" w:rsidRDefault="002E0E4D" w:rsidP="00977B3B">
            <w:pPr>
              <w:spacing w:before="80" w:after="80" w:line="200" w:lineRule="exact"/>
              <w:ind w:right="113"/>
              <w:jc w:val="center"/>
              <w:rPr>
                <w:i/>
                <w:sz w:val="16"/>
                <w:szCs w:val="18"/>
              </w:rPr>
            </w:pPr>
            <w:r w:rsidRPr="00DF05D1">
              <w:rPr>
                <w:bCs/>
                <w:i/>
                <w:sz w:val="16"/>
                <w:szCs w:val="18"/>
                <w:lang w:val="fr-FR"/>
              </w:rPr>
              <w:t>1st INSTANCE DECISIONS</w:t>
            </w:r>
          </w:p>
        </w:tc>
      </w:tr>
      <w:tr w:rsidR="00E21E6B" w:rsidRPr="006A3CD2" w14:paraId="08AB5267" w14:textId="77777777" w:rsidTr="00C161FD">
        <w:trPr>
          <w:cantSplit/>
          <w:tblHeader/>
        </w:trPr>
        <w:tc>
          <w:tcPr>
            <w:tcW w:w="993" w:type="dxa"/>
            <w:tcBorders>
              <w:top w:val="single" w:sz="4" w:space="0" w:color="auto"/>
              <w:bottom w:val="single" w:sz="12" w:space="0" w:color="auto"/>
            </w:tcBorders>
            <w:shd w:val="clear" w:color="auto" w:fill="auto"/>
            <w:vAlign w:val="center"/>
            <w:hideMark/>
          </w:tcPr>
          <w:p w14:paraId="0EFBD851" w14:textId="1502CF51" w:rsidR="00E21E6B" w:rsidRPr="006A3CD2" w:rsidRDefault="00E21E6B" w:rsidP="00977B3B">
            <w:pPr>
              <w:spacing w:before="80" w:after="80" w:line="200" w:lineRule="exact"/>
              <w:ind w:right="113"/>
              <w:rPr>
                <w:i/>
                <w:sz w:val="16"/>
                <w:szCs w:val="18"/>
              </w:rPr>
            </w:pPr>
          </w:p>
        </w:tc>
        <w:tc>
          <w:tcPr>
            <w:tcW w:w="850" w:type="dxa"/>
            <w:tcBorders>
              <w:top w:val="single" w:sz="4" w:space="0" w:color="auto"/>
              <w:bottom w:val="single" w:sz="12" w:space="0" w:color="auto"/>
            </w:tcBorders>
            <w:shd w:val="clear" w:color="auto" w:fill="auto"/>
            <w:vAlign w:val="center"/>
            <w:hideMark/>
          </w:tcPr>
          <w:p w14:paraId="6EA6593D" w14:textId="5CB95688" w:rsidR="00E21E6B" w:rsidRPr="006A3CD2" w:rsidRDefault="00E21E6B" w:rsidP="00977B3B">
            <w:pPr>
              <w:spacing w:before="80" w:after="80" w:line="200" w:lineRule="exact"/>
              <w:ind w:right="113"/>
              <w:rPr>
                <w:i/>
                <w:sz w:val="16"/>
                <w:szCs w:val="18"/>
              </w:rPr>
            </w:pPr>
            <w:r w:rsidRPr="00E21E6B">
              <w:rPr>
                <w:i/>
                <w:sz w:val="16"/>
                <w:szCs w:val="18"/>
              </w:rPr>
              <w:t>YtD 2019</w:t>
            </w:r>
          </w:p>
        </w:tc>
        <w:tc>
          <w:tcPr>
            <w:tcW w:w="992" w:type="dxa"/>
            <w:tcBorders>
              <w:top w:val="single" w:sz="4" w:space="0" w:color="auto"/>
              <w:bottom w:val="single" w:sz="12" w:space="0" w:color="auto"/>
            </w:tcBorders>
            <w:shd w:val="clear" w:color="auto" w:fill="auto"/>
            <w:vAlign w:val="center"/>
            <w:hideMark/>
          </w:tcPr>
          <w:p w14:paraId="7EBA73BD" w14:textId="0CB16628" w:rsidR="00E21E6B" w:rsidRPr="006A3CD2" w:rsidRDefault="00E21E6B" w:rsidP="00E21E6B">
            <w:pPr>
              <w:spacing w:before="80" w:after="80" w:line="200" w:lineRule="exact"/>
              <w:ind w:right="113"/>
              <w:rPr>
                <w:i/>
                <w:sz w:val="16"/>
                <w:szCs w:val="18"/>
              </w:rPr>
            </w:pPr>
            <w:r w:rsidRPr="00E21E6B">
              <w:rPr>
                <w:i/>
                <w:sz w:val="16"/>
                <w:szCs w:val="18"/>
              </w:rPr>
              <w:t>Monthly</w:t>
            </w:r>
            <w:r>
              <w:rPr>
                <w:i/>
                <w:sz w:val="16"/>
                <w:szCs w:val="18"/>
              </w:rPr>
              <w:br/>
            </w:r>
            <w:r w:rsidRPr="00E21E6B">
              <w:rPr>
                <w:i/>
                <w:sz w:val="16"/>
                <w:szCs w:val="18"/>
              </w:rPr>
              <w:t>Percent Variance (%)</w:t>
            </w:r>
          </w:p>
        </w:tc>
        <w:tc>
          <w:tcPr>
            <w:tcW w:w="992" w:type="dxa"/>
            <w:tcBorders>
              <w:top w:val="single" w:sz="4" w:space="0" w:color="auto"/>
              <w:bottom w:val="single" w:sz="12" w:space="0" w:color="auto"/>
            </w:tcBorders>
            <w:vAlign w:val="center"/>
          </w:tcPr>
          <w:p w14:paraId="51F72028" w14:textId="0C13A7D8" w:rsidR="00E21E6B" w:rsidRPr="006A3CD2" w:rsidRDefault="00E21E6B" w:rsidP="00977B3B">
            <w:pPr>
              <w:spacing w:before="80" w:after="80" w:line="200" w:lineRule="exact"/>
              <w:ind w:right="113"/>
              <w:rPr>
                <w:i/>
                <w:sz w:val="16"/>
                <w:szCs w:val="18"/>
              </w:rPr>
            </w:pPr>
            <w:r w:rsidRPr="00E21E6B">
              <w:rPr>
                <w:i/>
                <w:sz w:val="16"/>
                <w:szCs w:val="18"/>
              </w:rPr>
              <w:t>YtD 2020</w:t>
            </w:r>
          </w:p>
        </w:tc>
        <w:tc>
          <w:tcPr>
            <w:tcW w:w="992" w:type="dxa"/>
            <w:tcBorders>
              <w:top w:val="single" w:sz="4" w:space="0" w:color="auto"/>
              <w:bottom w:val="single" w:sz="12" w:space="0" w:color="auto"/>
            </w:tcBorders>
            <w:vAlign w:val="center"/>
          </w:tcPr>
          <w:p w14:paraId="10997A2C" w14:textId="7E67B6E4" w:rsidR="00E21E6B" w:rsidRPr="00C571A0" w:rsidRDefault="00E21E6B" w:rsidP="00E21E6B">
            <w:pPr>
              <w:spacing w:before="80" w:after="80" w:line="200" w:lineRule="exact"/>
              <w:ind w:right="113"/>
              <w:rPr>
                <w:i/>
                <w:sz w:val="16"/>
                <w:szCs w:val="18"/>
              </w:rPr>
            </w:pPr>
            <w:r w:rsidRPr="00E21E6B">
              <w:rPr>
                <w:bCs/>
                <w:i/>
                <w:sz w:val="16"/>
                <w:szCs w:val="18"/>
              </w:rPr>
              <w:t>Monthly</w:t>
            </w:r>
            <w:r>
              <w:rPr>
                <w:bCs/>
                <w:i/>
                <w:sz w:val="16"/>
                <w:szCs w:val="18"/>
              </w:rPr>
              <w:br/>
            </w:r>
            <w:r w:rsidRPr="00E21E6B">
              <w:rPr>
                <w:bCs/>
                <w:i/>
                <w:sz w:val="16"/>
                <w:szCs w:val="18"/>
              </w:rPr>
              <w:t>Percent Variance (%)</w:t>
            </w:r>
          </w:p>
        </w:tc>
        <w:tc>
          <w:tcPr>
            <w:tcW w:w="993" w:type="dxa"/>
            <w:tcBorders>
              <w:top w:val="single" w:sz="4" w:space="0" w:color="auto"/>
              <w:bottom w:val="single" w:sz="12" w:space="0" w:color="auto"/>
            </w:tcBorders>
            <w:vAlign w:val="center"/>
          </w:tcPr>
          <w:p w14:paraId="6AF0A314" w14:textId="0DDED02D" w:rsidR="00E21E6B" w:rsidRPr="006A3CD2" w:rsidRDefault="00E21E6B" w:rsidP="00977B3B">
            <w:pPr>
              <w:spacing w:before="80" w:after="80" w:line="200" w:lineRule="exact"/>
              <w:ind w:right="113"/>
              <w:rPr>
                <w:i/>
                <w:sz w:val="16"/>
                <w:szCs w:val="18"/>
              </w:rPr>
            </w:pPr>
            <w:r w:rsidRPr="00E21E6B">
              <w:rPr>
                <w:i/>
                <w:sz w:val="16"/>
                <w:szCs w:val="18"/>
              </w:rPr>
              <w:t>Percent Variance 2019-2020 %</w:t>
            </w:r>
          </w:p>
        </w:tc>
      </w:tr>
      <w:tr w:rsidR="00E21E6B" w:rsidRPr="006A3CD2" w14:paraId="0B42DB7F" w14:textId="77777777" w:rsidTr="00C161FD">
        <w:trPr>
          <w:cantSplit/>
          <w:trHeight w:hRule="exact" w:val="113"/>
          <w:tblHeader/>
        </w:trPr>
        <w:tc>
          <w:tcPr>
            <w:tcW w:w="993" w:type="dxa"/>
            <w:tcBorders>
              <w:top w:val="single" w:sz="12" w:space="0" w:color="auto"/>
            </w:tcBorders>
            <w:shd w:val="clear" w:color="auto" w:fill="auto"/>
          </w:tcPr>
          <w:p w14:paraId="2F84DDFC" w14:textId="77777777" w:rsidR="00E21E6B" w:rsidRPr="006A3CD2" w:rsidRDefault="00E21E6B" w:rsidP="00977B3B">
            <w:pPr>
              <w:spacing w:before="40" w:after="120" w:line="220" w:lineRule="exact"/>
              <w:ind w:right="113"/>
              <w:rPr>
                <w:szCs w:val="18"/>
              </w:rPr>
            </w:pPr>
          </w:p>
        </w:tc>
        <w:tc>
          <w:tcPr>
            <w:tcW w:w="850" w:type="dxa"/>
            <w:tcBorders>
              <w:top w:val="single" w:sz="12" w:space="0" w:color="auto"/>
            </w:tcBorders>
            <w:shd w:val="clear" w:color="auto" w:fill="auto"/>
          </w:tcPr>
          <w:p w14:paraId="1744D89A" w14:textId="77777777" w:rsidR="00E21E6B" w:rsidRPr="006A3CD2" w:rsidRDefault="00E21E6B" w:rsidP="00977B3B">
            <w:pPr>
              <w:spacing w:before="40" w:after="120" w:line="220" w:lineRule="exact"/>
              <w:ind w:right="113"/>
              <w:rPr>
                <w:szCs w:val="18"/>
              </w:rPr>
            </w:pPr>
          </w:p>
        </w:tc>
        <w:tc>
          <w:tcPr>
            <w:tcW w:w="992" w:type="dxa"/>
            <w:tcBorders>
              <w:top w:val="single" w:sz="12" w:space="0" w:color="auto"/>
            </w:tcBorders>
            <w:shd w:val="clear" w:color="auto" w:fill="auto"/>
          </w:tcPr>
          <w:p w14:paraId="47364D6F" w14:textId="77777777" w:rsidR="00E21E6B" w:rsidRPr="006A3CD2" w:rsidRDefault="00E21E6B" w:rsidP="00977B3B">
            <w:pPr>
              <w:spacing w:before="40" w:after="120" w:line="220" w:lineRule="exact"/>
              <w:ind w:right="113"/>
              <w:rPr>
                <w:szCs w:val="18"/>
              </w:rPr>
            </w:pPr>
          </w:p>
        </w:tc>
        <w:tc>
          <w:tcPr>
            <w:tcW w:w="992" w:type="dxa"/>
            <w:tcBorders>
              <w:top w:val="single" w:sz="12" w:space="0" w:color="auto"/>
            </w:tcBorders>
          </w:tcPr>
          <w:p w14:paraId="09456BBA" w14:textId="77777777" w:rsidR="00E21E6B" w:rsidRPr="006A3CD2" w:rsidRDefault="00E21E6B" w:rsidP="00977B3B">
            <w:pPr>
              <w:spacing w:before="40" w:after="120" w:line="220" w:lineRule="exact"/>
              <w:ind w:right="113"/>
              <w:rPr>
                <w:szCs w:val="18"/>
              </w:rPr>
            </w:pPr>
          </w:p>
        </w:tc>
        <w:tc>
          <w:tcPr>
            <w:tcW w:w="992" w:type="dxa"/>
            <w:tcBorders>
              <w:top w:val="single" w:sz="12" w:space="0" w:color="auto"/>
            </w:tcBorders>
          </w:tcPr>
          <w:p w14:paraId="47426E39" w14:textId="77777777" w:rsidR="00E21E6B" w:rsidRPr="006A3CD2" w:rsidRDefault="00E21E6B" w:rsidP="00977B3B">
            <w:pPr>
              <w:spacing w:before="40" w:after="120" w:line="220" w:lineRule="exact"/>
              <w:ind w:right="113"/>
              <w:rPr>
                <w:szCs w:val="18"/>
              </w:rPr>
            </w:pPr>
          </w:p>
        </w:tc>
        <w:tc>
          <w:tcPr>
            <w:tcW w:w="993" w:type="dxa"/>
            <w:tcBorders>
              <w:top w:val="single" w:sz="12" w:space="0" w:color="auto"/>
            </w:tcBorders>
          </w:tcPr>
          <w:p w14:paraId="5A8B6EA0" w14:textId="77777777" w:rsidR="00E21E6B" w:rsidRPr="006A3CD2" w:rsidRDefault="00E21E6B" w:rsidP="00977B3B">
            <w:pPr>
              <w:spacing w:before="40" w:after="120" w:line="220" w:lineRule="exact"/>
              <w:ind w:right="113"/>
              <w:rPr>
                <w:szCs w:val="18"/>
              </w:rPr>
            </w:pPr>
          </w:p>
        </w:tc>
      </w:tr>
      <w:tr w:rsidR="00C161FD" w:rsidRPr="006A3CD2" w14:paraId="279F7FE8" w14:textId="77777777" w:rsidTr="00C161FD">
        <w:trPr>
          <w:cantSplit/>
        </w:trPr>
        <w:tc>
          <w:tcPr>
            <w:tcW w:w="993" w:type="dxa"/>
            <w:shd w:val="clear" w:color="auto" w:fill="auto"/>
          </w:tcPr>
          <w:p w14:paraId="1EEB56AE" w14:textId="281621C4" w:rsidR="00C161FD" w:rsidRPr="006A3CD2" w:rsidRDefault="00C161FD" w:rsidP="00C161FD">
            <w:pPr>
              <w:spacing w:before="40" w:after="120" w:line="220" w:lineRule="exact"/>
              <w:ind w:right="113"/>
            </w:pPr>
            <w:r w:rsidRPr="0098312B">
              <w:t>January</w:t>
            </w:r>
          </w:p>
        </w:tc>
        <w:tc>
          <w:tcPr>
            <w:tcW w:w="850" w:type="dxa"/>
            <w:shd w:val="clear" w:color="auto" w:fill="auto"/>
          </w:tcPr>
          <w:p w14:paraId="456905E3" w14:textId="6323A553" w:rsidR="00C161FD" w:rsidRPr="006A3CD2" w:rsidRDefault="00C161FD" w:rsidP="00C161FD">
            <w:pPr>
              <w:spacing w:before="40" w:after="120" w:line="220" w:lineRule="exact"/>
              <w:ind w:right="227"/>
            </w:pPr>
            <w:r w:rsidRPr="00BF3975">
              <w:t>3.807</w:t>
            </w:r>
          </w:p>
        </w:tc>
        <w:tc>
          <w:tcPr>
            <w:tcW w:w="992" w:type="dxa"/>
            <w:shd w:val="clear" w:color="auto" w:fill="auto"/>
          </w:tcPr>
          <w:p w14:paraId="6913A38A" w14:textId="7D38AFE7" w:rsidR="00C161FD" w:rsidRPr="006A3CD2" w:rsidRDefault="00C161FD" w:rsidP="00C161FD"/>
        </w:tc>
        <w:tc>
          <w:tcPr>
            <w:tcW w:w="992" w:type="dxa"/>
          </w:tcPr>
          <w:p w14:paraId="3175C950" w14:textId="3EE37F79" w:rsidR="00C161FD" w:rsidRPr="006A3CD2" w:rsidRDefault="00C161FD" w:rsidP="00C161FD">
            <w:r w:rsidRPr="00FC2D04">
              <w:t>3.783</w:t>
            </w:r>
          </w:p>
        </w:tc>
        <w:tc>
          <w:tcPr>
            <w:tcW w:w="992" w:type="dxa"/>
          </w:tcPr>
          <w:p w14:paraId="0EB8D649" w14:textId="77777777" w:rsidR="00C161FD" w:rsidRPr="006A3CD2" w:rsidRDefault="00C161FD" w:rsidP="00C161FD"/>
        </w:tc>
        <w:tc>
          <w:tcPr>
            <w:tcW w:w="993" w:type="dxa"/>
          </w:tcPr>
          <w:p w14:paraId="6401684A" w14:textId="4FBB757D" w:rsidR="00C161FD" w:rsidRPr="006A3CD2" w:rsidRDefault="00C161FD" w:rsidP="00C161FD">
            <w:r w:rsidRPr="005176A8">
              <w:t>-1%</w:t>
            </w:r>
          </w:p>
        </w:tc>
      </w:tr>
      <w:tr w:rsidR="00C161FD" w:rsidRPr="006A3CD2" w14:paraId="067D9DE4" w14:textId="77777777" w:rsidTr="00C161FD">
        <w:trPr>
          <w:cantSplit/>
        </w:trPr>
        <w:tc>
          <w:tcPr>
            <w:tcW w:w="993" w:type="dxa"/>
            <w:shd w:val="clear" w:color="auto" w:fill="auto"/>
          </w:tcPr>
          <w:p w14:paraId="2CFAAE9D" w14:textId="2C13DB9E" w:rsidR="00C161FD" w:rsidRPr="006A3CD2" w:rsidRDefault="00C161FD" w:rsidP="00C161FD">
            <w:pPr>
              <w:spacing w:before="40" w:after="120" w:line="220" w:lineRule="exact"/>
              <w:ind w:right="113"/>
            </w:pPr>
            <w:r w:rsidRPr="0098312B">
              <w:t>February</w:t>
            </w:r>
          </w:p>
        </w:tc>
        <w:tc>
          <w:tcPr>
            <w:tcW w:w="850" w:type="dxa"/>
            <w:shd w:val="clear" w:color="auto" w:fill="auto"/>
          </w:tcPr>
          <w:p w14:paraId="280993E1" w14:textId="7A786C3D" w:rsidR="00C161FD" w:rsidRPr="006A3CD2" w:rsidRDefault="00C161FD" w:rsidP="00C161FD">
            <w:pPr>
              <w:spacing w:before="40" w:after="120" w:line="220" w:lineRule="exact"/>
              <w:ind w:right="227"/>
            </w:pPr>
            <w:r w:rsidRPr="00BF3975">
              <w:t>8.393</w:t>
            </w:r>
          </w:p>
        </w:tc>
        <w:tc>
          <w:tcPr>
            <w:tcW w:w="992" w:type="dxa"/>
            <w:shd w:val="clear" w:color="auto" w:fill="auto"/>
          </w:tcPr>
          <w:p w14:paraId="127AE639" w14:textId="55D7D69F" w:rsidR="00C161FD" w:rsidRPr="006A3CD2" w:rsidRDefault="00C161FD" w:rsidP="00C161FD">
            <w:r w:rsidRPr="002913F9">
              <w:t>120%</w:t>
            </w:r>
          </w:p>
        </w:tc>
        <w:tc>
          <w:tcPr>
            <w:tcW w:w="992" w:type="dxa"/>
          </w:tcPr>
          <w:p w14:paraId="0FDED720" w14:textId="2213AC2F" w:rsidR="00C161FD" w:rsidRPr="006A3CD2" w:rsidRDefault="00C161FD" w:rsidP="00C161FD">
            <w:r w:rsidRPr="00FC2D04">
              <w:t>9.056</w:t>
            </w:r>
          </w:p>
        </w:tc>
        <w:tc>
          <w:tcPr>
            <w:tcW w:w="992" w:type="dxa"/>
          </w:tcPr>
          <w:p w14:paraId="72EFA5DD" w14:textId="4AFFCAFA" w:rsidR="00C161FD" w:rsidRPr="006A3CD2" w:rsidRDefault="00C161FD" w:rsidP="00C161FD">
            <w:r w:rsidRPr="00C365FF">
              <w:t>139%</w:t>
            </w:r>
          </w:p>
        </w:tc>
        <w:tc>
          <w:tcPr>
            <w:tcW w:w="993" w:type="dxa"/>
          </w:tcPr>
          <w:p w14:paraId="6EBAF4CF" w14:textId="707F83F2" w:rsidR="00C161FD" w:rsidRPr="006A3CD2" w:rsidRDefault="00C161FD" w:rsidP="00C161FD">
            <w:r w:rsidRPr="005176A8">
              <w:t>8%</w:t>
            </w:r>
          </w:p>
        </w:tc>
      </w:tr>
      <w:tr w:rsidR="00C161FD" w:rsidRPr="006A3CD2" w14:paraId="1D193832" w14:textId="77777777" w:rsidTr="00C161FD">
        <w:trPr>
          <w:cantSplit/>
        </w:trPr>
        <w:tc>
          <w:tcPr>
            <w:tcW w:w="993" w:type="dxa"/>
            <w:shd w:val="clear" w:color="auto" w:fill="auto"/>
          </w:tcPr>
          <w:p w14:paraId="1C1EF29F" w14:textId="0C43787E" w:rsidR="00C161FD" w:rsidRPr="006A3CD2" w:rsidRDefault="00C161FD" w:rsidP="00C161FD">
            <w:pPr>
              <w:spacing w:before="40" w:after="120" w:line="220" w:lineRule="exact"/>
              <w:ind w:right="113"/>
            </w:pPr>
            <w:r w:rsidRPr="0098312B">
              <w:t>March</w:t>
            </w:r>
          </w:p>
        </w:tc>
        <w:tc>
          <w:tcPr>
            <w:tcW w:w="850" w:type="dxa"/>
            <w:shd w:val="clear" w:color="auto" w:fill="auto"/>
          </w:tcPr>
          <w:p w14:paraId="6A4E797A" w14:textId="5FD500CF" w:rsidR="00C161FD" w:rsidRPr="006A3CD2" w:rsidRDefault="00C161FD" w:rsidP="00C161FD">
            <w:pPr>
              <w:spacing w:before="40" w:after="120" w:line="220" w:lineRule="exact"/>
              <w:ind w:right="227"/>
            </w:pPr>
            <w:r w:rsidRPr="00BF3975">
              <w:t>13.184</w:t>
            </w:r>
          </w:p>
        </w:tc>
        <w:tc>
          <w:tcPr>
            <w:tcW w:w="992" w:type="dxa"/>
            <w:shd w:val="clear" w:color="auto" w:fill="auto"/>
          </w:tcPr>
          <w:p w14:paraId="5F97349B" w14:textId="53491CBA" w:rsidR="00C161FD" w:rsidRPr="006A3CD2" w:rsidRDefault="00C161FD" w:rsidP="00C161FD">
            <w:r w:rsidRPr="002913F9">
              <w:t>57%</w:t>
            </w:r>
          </w:p>
        </w:tc>
        <w:tc>
          <w:tcPr>
            <w:tcW w:w="992" w:type="dxa"/>
          </w:tcPr>
          <w:p w14:paraId="46C9FEBE" w14:textId="7E2BDFA5" w:rsidR="00C161FD" w:rsidRPr="006A3CD2" w:rsidRDefault="00C161FD" w:rsidP="00C161FD">
            <w:r w:rsidRPr="00FC2D04">
              <w:t>15.960</w:t>
            </w:r>
          </w:p>
        </w:tc>
        <w:tc>
          <w:tcPr>
            <w:tcW w:w="992" w:type="dxa"/>
          </w:tcPr>
          <w:p w14:paraId="4E3E9018" w14:textId="66B4BE83" w:rsidR="00C161FD" w:rsidRPr="006A3CD2" w:rsidRDefault="00C161FD" w:rsidP="00C161FD">
            <w:r w:rsidRPr="00C365FF">
              <w:t>76%</w:t>
            </w:r>
          </w:p>
        </w:tc>
        <w:tc>
          <w:tcPr>
            <w:tcW w:w="993" w:type="dxa"/>
          </w:tcPr>
          <w:p w14:paraId="512AD716" w14:textId="7E1DDF83" w:rsidR="00C161FD" w:rsidRPr="006A3CD2" w:rsidRDefault="00C161FD" w:rsidP="00C161FD">
            <w:r w:rsidRPr="005176A8">
              <w:t>21%</w:t>
            </w:r>
          </w:p>
        </w:tc>
      </w:tr>
      <w:tr w:rsidR="00C161FD" w:rsidRPr="006A3CD2" w14:paraId="4C944AE8" w14:textId="77777777" w:rsidTr="00C161FD">
        <w:trPr>
          <w:cantSplit/>
        </w:trPr>
        <w:tc>
          <w:tcPr>
            <w:tcW w:w="993" w:type="dxa"/>
            <w:shd w:val="clear" w:color="auto" w:fill="auto"/>
          </w:tcPr>
          <w:p w14:paraId="6B8D9806" w14:textId="1D6A0B7F" w:rsidR="00C161FD" w:rsidRPr="006A3CD2" w:rsidRDefault="00C161FD" w:rsidP="00C161FD">
            <w:pPr>
              <w:spacing w:before="40" w:after="120" w:line="220" w:lineRule="exact"/>
              <w:ind w:right="113"/>
            </w:pPr>
            <w:r w:rsidRPr="0098312B">
              <w:t>April</w:t>
            </w:r>
          </w:p>
        </w:tc>
        <w:tc>
          <w:tcPr>
            <w:tcW w:w="850" w:type="dxa"/>
            <w:shd w:val="clear" w:color="auto" w:fill="auto"/>
          </w:tcPr>
          <w:p w14:paraId="320E116C" w14:textId="7EF0364C" w:rsidR="00C161FD" w:rsidRPr="006A3CD2" w:rsidRDefault="00C161FD" w:rsidP="00C161FD">
            <w:pPr>
              <w:spacing w:before="40" w:after="120" w:line="220" w:lineRule="exact"/>
              <w:ind w:right="227"/>
            </w:pPr>
            <w:r w:rsidRPr="00BF3975">
              <w:t>18.033</w:t>
            </w:r>
          </w:p>
        </w:tc>
        <w:tc>
          <w:tcPr>
            <w:tcW w:w="992" w:type="dxa"/>
            <w:shd w:val="clear" w:color="auto" w:fill="auto"/>
          </w:tcPr>
          <w:p w14:paraId="60BF1DCC" w14:textId="48F1C1FA" w:rsidR="00C161FD" w:rsidRPr="006A3CD2" w:rsidRDefault="00C161FD" w:rsidP="00C161FD">
            <w:r w:rsidRPr="002913F9">
              <w:t>37%</w:t>
            </w:r>
          </w:p>
        </w:tc>
        <w:tc>
          <w:tcPr>
            <w:tcW w:w="992" w:type="dxa"/>
          </w:tcPr>
          <w:p w14:paraId="1EE6F27A" w14:textId="66C2C2D3" w:rsidR="00C161FD" w:rsidRPr="006A3CD2" w:rsidRDefault="00C161FD" w:rsidP="00C161FD">
            <w:r w:rsidRPr="00FC2D04">
              <w:t>31.813</w:t>
            </w:r>
          </w:p>
        </w:tc>
        <w:tc>
          <w:tcPr>
            <w:tcW w:w="992" w:type="dxa"/>
          </w:tcPr>
          <w:p w14:paraId="1CF10438" w14:textId="1FB9DADB" w:rsidR="00C161FD" w:rsidRPr="006A3CD2" w:rsidRDefault="00C161FD" w:rsidP="00C161FD">
            <w:r w:rsidRPr="00C365FF">
              <w:t>99%</w:t>
            </w:r>
          </w:p>
        </w:tc>
        <w:tc>
          <w:tcPr>
            <w:tcW w:w="993" w:type="dxa"/>
          </w:tcPr>
          <w:p w14:paraId="653BA046" w14:textId="3F429141" w:rsidR="00C161FD" w:rsidRPr="006A3CD2" w:rsidRDefault="00C161FD" w:rsidP="00C161FD">
            <w:r w:rsidRPr="005176A8">
              <w:t>76%</w:t>
            </w:r>
          </w:p>
        </w:tc>
      </w:tr>
      <w:tr w:rsidR="00C161FD" w:rsidRPr="006A3CD2" w14:paraId="5839E4A5" w14:textId="77777777" w:rsidTr="00C161FD">
        <w:trPr>
          <w:cantSplit/>
        </w:trPr>
        <w:tc>
          <w:tcPr>
            <w:tcW w:w="993" w:type="dxa"/>
            <w:shd w:val="clear" w:color="auto" w:fill="auto"/>
          </w:tcPr>
          <w:p w14:paraId="700A8E0E" w14:textId="4272EED8" w:rsidR="00C161FD" w:rsidRPr="006A3CD2" w:rsidRDefault="00C161FD" w:rsidP="00C161FD">
            <w:pPr>
              <w:spacing w:before="40" w:after="120" w:line="220" w:lineRule="exact"/>
              <w:ind w:right="113"/>
            </w:pPr>
            <w:r w:rsidRPr="0098312B">
              <w:t>May</w:t>
            </w:r>
          </w:p>
        </w:tc>
        <w:tc>
          <w:tcPr>
            <w:tcW w:w="850" w:type="dxa"/>
            <w:shd w:val="clear" w:color="auto" w:fill="auto"/>
          </w:tcPr>
          <w:p w14:paraId="5FF89EE1" w14:textId="5E9415E9" w:rsidR="00C161FD" w:rsidRPr="006A3CD2" w:rsidRDefault="00C161FD" w:rsidP="00C161FD">
            <w:pPr>
              <w:spacing w:before="40" w:after="120" w:line="220" w:lineRule="exact"/>
              <w:ind w:right="227"/>
            </w:pPr>
            <w:r w:rsidRPr="00BF3975">
              <w:t>21.730</w:t>
            </w:r>
          </w:p>
        </w:tc>
        <w:tc>
          <w:tcPr>
            <w:tcW w:w="992" w:type="dxa"/>
            <w:shd w:val="clear" w:color="auto" w:fill="auto"/>
          </w:tcPr>
          <w:p w14:paraId="5FF3F7E0" w14:textId="34CB9BDE" w:rsidR="00C161FD" w:rsidRPr="006A3CD2" w:rsidRDefault="00C161FD" w:rsidP="00C161FD">
            <w:r w:rsidRPr="002913F9">
              <w:t>21%</w:t>
            </w:r>
          </w:p>
        </w:tc>
        <w:tc>
          <w:tcPr>
            <w:tcW w:w="992" w:type="dxa"/>
          </w:tcPr>
          <w:p w14:paraId="2D7939EC" w14:textId="4C69445B" w:rsidR="00C161FD" w:rsidRPr="006A3CD2" w:rsidRDefault="00C161FD" w:rsidP="00C161FD">
            <w:r w:rsidRPr="00FC2D04">
              <w:t>37.839</w:t>
            </w:r>
          </w:p>
        </w:tc>
        <w:tc>
          <w:tcPr>
            <w:tcW w:w="992" w:type="dxa"/>
          </w:tcPr>
          <w:p w14:paraId="1EAFDBA4" w14:textId="0646EB7D" w:rsidR="00C161FD" w:rsidRPr="006A3CD2" w:rsidRDefault="00C161FD" w:rsidP="00C161FD">
            <w:r w:rsidRPr="00C365FF">
              <w:t>19%</w:t>
            </w:r>
          </w:p>
        </w:tc>
        <w:tc>
          <w:tcPr>
            <w:tcW w:w="993" w:type="dxa"/>
          </w:tcPr>
          <w:p w14:paraId="5B89F24D" w14:textId="4A281DAB" w:rsidR="00C161FD" w:rsidRPr="006A3CD2" w:rsidRDefault="00C161FD" w:rsidP="00C161FD">
            <w:r w:rsidRPr="005176A8">
              <w:t>74%</w:t>
            </w:r>
          </w:p>
        </w:tc>
      </w:tr>
      <w:tr w:rsidR="00C161FD" w:rsidRPr="006A3CD2" w14:paraId="19E2144D" w14:textId="77777777" w:rsidTr="00C161FD">
        <w:trPr>
          <w:cantSplit/>
        </w:trPr>
        <w:tc>
          <w:tcPr>
            <w:tcW w:w="993" w:type="dxa"/>
            <w:shd w:val="clear" w:color="auto" w:fill="auto"/>
          </w:tcPr>
          <w:p w14:paraId="40057651" w14:textId="4B3B822D" w:rsidR="00C161FD" w:rsidRPr="006A3CD2" w:rsidRDefault="00C161FD" w:rsidP="00C161FD">
            <w:pPr>
              <w:spacing w:before="40" w:after="120" w:line="220" w:lineRule="exact"/>
              <w:ind w:right="113"/>
            </w:pPr>
            <w:r w:rsidRPr="0098312B">
              <w:t>June</w:t>
            </w:r>
          </w:p>
        </w:tc>
        <w:tc>
          <w:tcPr>
            <w:tcW w:w="850" w:type="dxa"/>
            <w:shd w:val="clear" w:color="auto" w:fill="auto"/>
          </w:tcPr>
          <w:p w14:paraId="2C98DC3E" w14:textId="5650D572" w:rsidR="00C161FD" w:rsidRPr="006A3CD2" w:rsidRDefault="00C161FD" w:rsidP="00C161FD">
            <w:pPr>
              <w:spacing w:before="40" w:after="120" w:line="220" w:lineRule="exact"/>
              <w:ind w:right="227"/>
            </w:pPr>
            <w:r w:rsidRPr="00BF3975">
              <w:t>24.701</w:t>
            </w:r>
          </w:p>
        </w:tc>
        <w:tc>
          <w:tcPr>
            <w:tcW w:w="992" w:type="dxa"/>
            <w:shd w:val="clear" w:color="auto" w:fill="auto"/>
          </w:tcPr>
          <w:p w14:paraId="7F45EFB1" w14:textId="3E919B38" w:rsidR="00C161FD" w:rsidRPr="006A3CD2" w:rsidRDefault="00C161FD" w:rsidP="00C161FD">
            <w:r w:rsidRPr="002913F9">
              <w:t>14%</w:t>
            </w:r>
          </w:p>
        </w:tc>
        <w:tc>
          <w:tcPr>
            <w:tcW w:w="992" w:type="dxa"/>
          </w:tcPr>
          <w:p w14:paraId="390949D8" w14:textId="54EB2F66" w:rsidR="00C161FD" w:rsidRPr="006A3CD2" w:rsidRDefault="00C161FD" w:rsidP="00C161FD">
            <w:r w:rsidRPr="00FC2D04">
              <w:t>46.554</w:t>
            </w:r>
          </w:p>
        </w:tc>
        <w:tc>
          <w:tcPr>
            <w:tcW w:w="992" w:type="dxa"/>
          </w:tcPr>
          <w:p w14:paraId="3462B6B7" w14:textId="4099726D" w:rsidR="00C161FD" w:rsidRPr="006A3CD2" w:rsidRDefault="00C161FD" w:rsidP="00C161FD">
            <w:r w:rsidRPr="00C365FF">
              <w:t>23%</w:t>
            </w:r>
          </w:p>
        </w:tc>
        <w:tc>
          <w:tcPr>
            <w:tcW w:w="993" w:type="dxa"/>
          </w:tcPr>
          <w:p w14:paraId="4A085CC0" w14:textId="28DE1F78" w:rsidR="00C161FD" w:rsidRPr="006A3CD2" w:rsidRDefault="00C161FD" w:rsidP="00C161FD">
            <w:r w:rsidRPr="005176A8">
              <w:t>88%</w:t>
            </w:r>
          </w:p>
        </w:tc>
      </w:tr>
      <w:tr w:rsidR="00C161FD" w:rsidRPr="006A3CD2" w14:paraId="272D2549" w14:textId="77777777" w:rsidTr="00C161FD">
        <w:trPr>
          <w:cantSplit/>
        </w:trPr>
        <w:tc>
          <w:tcPr>
            <w:tcW w:w="993" w:type="dxa"/>
            <w:shd w:val="clear" w:color="auto" w:fill="auto"/>
          </w:tcPr>
          <w:p w14:paraId="11319CBA" w14:textId="5BBCA758" w:rsidR="00C161FD" w:rsidRPr="006A3CD2" w:rsidRDefault="00C161FD" w:rsidP="00C161FD">
            <w:pPr>
              <w:spacing w:before="40" w:after="120" w:line="220" w:lineRule="exact"/>
              <w:ind w:right="113"/>
            </w:pPr>
            <w:r w:rsidRPr="0098312B">
              <w:t>July</w:t>
            </w:r>
          </w:p>
        </w:tc>
        <w:tc>
          <w:tcPr>
            <w:tcW w:w="850" w:type="dxa"/>
            <w:shd w:val="clear" w:color="auto" w:fill="auto"/>
          </w:tcPr>
          <w:p w14:paraId="37563B60" w14:textId="472AFCA0" w:rsidR="00C161FD" w:rsidRPr="006A3CD2" w:rsidRDefault="00C161FD" w:rsidP="00C161FD">
            <w:pPr>
              <w:spacing w:before="40" w:after="120" w:line="220" w:lineRule="exact"/>
              <w:ind w:right="227"/>
            </w:pPr>
            <w:r w:rsidRPr="00BF3975">
              <w:t>28.646</w:t>
            </w:r>
          </w:p>
        </w:tc>
        <w:tc>
          <w:tcPr>
            <w:tcW w:w="992" w:type="dxa"/>
            <w:shd w:val="clear" w:color="auto" w:fill="auto"/>
          </w:tcPr>
          <w:p w14:paraId="0230A75F" w14:textId="5D8D6F13" w:rsidR="00C161FD" w:rsidRPr="006A3CD2" w:rsidRDefault="00C161FD" w:rsidP="00C161FD">
            <w:r w:rsidRPr="002913F9">
              <w:t>16%</w:t>
            </w:r>
          </w:p>
        </w:tc>
        <w:tc>
          <w:tcPr>
            <w:tcW w:w="992" w:type="dxa"/>
          </w:tcPr>
          <w:p w14:paraId="1F91A4A8" w14:textId="7FD16F3E" w:rsidR="00C161FD" w:rsidRPr="006A3CD2" w:rsidRDefault="00C161FD" w:rsidP="00C161FD">
            <w:r w:rsidRPr="00FC2D04">
              <w:t>53.625</w:t>
            </w:r>
          </w:p>
        </w:tc>
        <w:tc>
          <w:tcPr>
            <w:tcW w:w="992" w:type="dxa"/>
          </w:tcPr>
          <w:p w14:paraId="31667CE7" w14:textId="5A25260C" w:rsidR="00C161FD" w:rsidRPr="006A3CD2" w:rsidRDefault="00C161FD" w:rsidP="00C161FD">
            <w:r w:rsidRPr="00C365FF">
              <w:t>15%</w:t>
            </w:r>
          </w:p>
        </w:tc>
        <w:tc>
          <w:tcPr>
            <w:tcW w:w="993" w:type="dxa"/>
          </w:tcPr>
          <w:p w14:paraId="43D2796B" w14:textId="3D71B70C" w:rsidR="00C161FD" w:rsidRPr="006A3CD2" w:rsidRDefault="00C161FD" w:rsidP="00C161FD">
            <w:r w:rsidRPr="005176A8">
              <w:t>87%</w:t>
            </w:r>
          </w:p>
        </w:tc>
      </w:tr>
      <w:tr w:rsidR="00C161FD" w:rsidRPr="006A3CD2" w14:paraId="139E2D7C" w14:textId="77777777" w:rsidTr="00C161FD">
        <w:trPr>
          <w:cantSplit/>
        </w:trPr>
        <w:tc>
          <w:tcPr>
            <w:tcW w:w="993" w:type="dxa"/>
            <w:shd w:val="clear" w:color="auto" w:fill="auto"/>
          </w:tcPr>
          <w:p w14:paraId="09FC227C" w14:textId="3BF351BF" w:rsidR="00C161FD" w:rsidRPr="006A3CD2" w:rsidRDefault="00C161FD" w:rsidP="00C161FD">
            <w:pPr>
              <w:spacing w:before="40" w:after="120" w:line="220" w:lineRule="exact"/>
              <w:ind w:right="113"/>
            </w:pPr>
            <w:r w:rsidRPr="0098312B">
              <w:t>August</w:t>
            </w:r>
          </w:p>
        </w:tc>
        <w:tc>
          <w:tcPr>
            <w:tcW w:w="850" w:type="dxa"/>
            <w:shd w:val="clear" w:color="auto" w:fill="auto"/>
          </w:tcPr>
          <w:p w14:paraId="28C3B508" w14:textId="10DB4AF5" w:rsidR="00C161FD" w:rsidRPr="006A3CD2" w:rsidRDefault="00C161FD" w:rsidP="00C161FD">
            <w:pPr>
              <w:spacing w:before="40" w:after="120" w:line="220" w:lineRule="exact"/>
              <w:ind w:right="227"/>
            </w:pPr>
            <w:r w:rsidRPr="00BF3975">
              <w:t>31.924</w:t>
            </w:r>
          </w:p>
        </w:tc>
        <w:tc>
          <w:tcPr>
            <w:tcW w:w="992" w:type="dxa"/>
            <w:shd w:val="clear" w:color="auto" w:fill="auto"/>
          </w:tcPr>
          <w:p w14:paraId="7704C068" w14:textId="783BEE2B" w:rsidR="00C161FD" w:rsidRPr="006A3CD2" w:rsidRDefault="00C161FD" w:rsidP="00C161FD">
            <w:r w:rsidRPr="002913F9">
              <w:t>11%</w:t>
            </w:r>
          </w:p>
        </w:tc>
        <w:tc>
          <w:tcPr>
            <w:tcW w:w="992" w:type="dxa"/>
          </w:tcPr>
          <w:p w14:paraId="0C564115" w14:textId="096A9F4F" w:rsidR="00C161FD" w:rsidRPr="006A3CD2" w:rsidRDefault="00C161FD" w:rsidP="00C161FD">
            <w:r w:rsidRPr="00FC2D04">
              <w:t>59.176</w:t>
            </w:r>
          </w:p>
        </w:tc>
        <w:tc>
          <w:tcPr>
            <w:tcW w:w="992" w:type="dxa"/>
          </w:tcPr>
          <w:p w14:paraId="640B7A4C" w14:textId="2BB94963" w:rsidR="00C161FD" w:rsidRPr="006A3CD2" w:rsidRDefault="00C161FD" w:rsidP="00C161FD">
            <w:r w:rsidRPr="00C365FF">
              <w:t>10%</w:t>
            </w:r>
          </w:p>
        </w:tc>
        <w:tc>
          <w:tcPr>
            <w:tcW w:w="993" w:type="dxa"/>
          </w:tcPr>
          <w:p w14:paraId="275FB43D" w14:textId="56D8F9EC" w:rsidR="00C161FD" w:rsidRPr="006A3CD2" w:rsidRDefault="00C161FD" w:rsidP="00C161FD">
            <w:r w:rsidRPr="005176A8">
              <w:t>85%</w:t>
            </w:r>
          </w:p>
        </w:tc>
      </w:tr>
      <w:tr w:rsidR="00C161FD" w:rsidRPr="006A3CD2" w14:paraId="48C30005" w14:textId="77777777" w:rsidTr="00C161FD">
        <w:trPr>
          <w:cantSplit/>
        </w:trPr>
        <w:tc>
          <w:tcPr>
            <w:tcW w:w="993" w:type="dxa"/>
            <w:shd w:val="clear" w:color="auto" w:fill="auto"/>
          </w:tcPr>
          <w:p w14:paraId="3643B468" w14:textId="43F71C1F" w:rsidR="00C161FD" w:rsidRPr="006A3CD2" w:rsidRDefault="00C161FD" w:rsidP="00C161FD">
            <w:pPr>
              <w:spacing w:before="40" w:after="120" w:line="220" w:lineRule="exact"/>
              <w:ind w:right="113"/>
            </w:pPr>
            <w:r w:rsidRPr="0098312B">
              <w:t>September</w:t>
            </w:r>
          </w:p>
        </w:tc>
        <w:tc>
          <w:tcPr>
            <w:tcW w:w="850" w:type="dxa"/>
            <w:shd w:val="clear" w:color="auto" w:fill="auto"/>
          </w:tcPr>
          <w:p w14:paraId="5E6CC2C3" w14:textId="288FA884" w:rsidR="00C161FD" w:rsidRPr="006A3CD2" w:rsidRDefault="00C161FD" w:rsidP="00C161FD">
            <w:pPr>
              <w:spacing w:before="40" w:after="120" w:line="220" w:lineRule="exact"/>
              <w:ind w:right="227"/>
            </w:pPr>
            <w:r w:rsidRPr="00BF3975">
              <w:t>36.306</w:t>
            </w:r>
          </w:p>
        </w:tc>
        <w:tc>
          <w:tcPr>
            <w:tcW w:w="992" w:type="dxa"/>
            <w:shd w:val="clear" w:color="auto" w:fill="auto"/>
          </w:tcPr>
          <w:p w14:paraId="0D788989" w14:textId="0CC90FC3" w:rsidR="00C161FD" w:rsidRPr="006A3CD2" w:rsidRDefault="00C161FD" w:rsidP="00C161FD">
            <w:r w:rsidRPr="002913F9">
              <w:t>14%</w:t>
            </w:r>
          </w:p>
        </w:tc>
        <w:tc>
          <w:tcPr>
            <w:tcW w:w="992" w:type="dxa"/>
          </w:tcPr>
          <w:p w14:paraId="64410650" w14:textId="53F57022" w:rsidR="00C161FD" w:rsidRPr="006A3CD2" w:rsidRDefault="00C161FD" w:rsidP="00C161FD">
            <w:r w:rsidRPr="00FC2D04">
              <w:t>66.221</w:t>
            </w:r>
          </w:p>
        </w:tc>
        <w:tc>
          <w:tcPr>
            <w:tcW w:w="992" w:type="dxa"/>
          </w:tcPr>
          <w:p w14:paraId="2D9C1816" w14:textId="26B612F5" w:rsidR="00C161FD" w:rsidRPr="006A3CD2" w:rsidRDefault="00C161FD" w:rsidP="00C161FD">
            <w:r w:rsidRPr="00C365FF">
              <w:t>12%</w:t>
            </w:r>
          </w:p>
        </w:tc>
        <w:tc>
          <w:tcPr>
            <w:tcW w:w="993" w:type="dxa"/>
          </w:tcPr>
          <w:p w14:paraId="5854C27B" w14:textId="4E4E6F0D" w:rsidR="00C161FD" w:rsidRPr="006A3CD2" w:rsidRDefault="00C161FD" w:rsidP="00C161FD">
            <w:r w:rsidRPr="005176A8">
              <w:t>82%</w:t>
            </w:r>
          </w:p>
        </w:tc>
      </w:tr>
      <w:tr w:rsidR="00C161FD" w:rsidRPr="006A3CD2" w14:paraId="4C1214C5" w14:textId="77777777" w:rsidTr="00C161FD">
        <w:trPr>
          <w:cantSplit/>
        </w:trPr>
        <w:tc>
          <w:tcPr>
            <w:tcW w:w="993" w:type="dxa"/>
            <w:shd w:val="clear" w:color="auto" w:fill="auto"/>
          </w:tcPr>
          <w:p w14:paraId="7BE49EBF" w14:textId="3C80845B" w:rsidR="00C161FD" w:rsidRPr="006A3CD2" w:rsidRDefault="00C161FD" w:rsidP="00C161FD">
            <w:pPr>
              <w:spacing w:before="40" w:after="120" w:line="220" w:lineRule="exact"/>
              <w:ind w:right="113"/>
            </w:pPr>
            <w:r w:rsidRPr="0098312B">
              <w:t>October</w:t>
            </w:r>
          </w:p>
        </w:tc>
        <w:tc>
          <w:tcPr>
            <w:tcW w:w="850" w:type="dxa"/>
            <w:shd w:val="clear" w:color="auto" w:fill="auto"/>
          </w:tcPr>
          <w:p w14:paraId="0CAB0AEA" w14:textId="087D5EF2" w:rsidR="00C161FD" w:rsidRPr="006A3CD2" w:rsidRDefault="00C161FD" w:rsidP="00C161FD">
            <w:pPr>
              <w:spacing w:before="40" w:after="120" w:line="220" w:lineRule="exact"/>
              <w:ind w:right="227"/>
            </w:pPr>
            <w:r w:rsidRPr="00BF3975">
              <w:t>40.844</w:t>
            </w:r>
          </w:p>
        </w:tc>
        <w:tc>
          <w:tcPr>
            <w:tcW w:w="992" w:type="dxa"/>
            <w:shd w:val="clear" w:color="auto" w:fill="auto"/>
          </w:tcPr>
          <w:p w14:paraId="18CE5A7F" w14:textId="602E36DC" w:rsidR="00C161FD" w:rsidRPr="006A3CD2" w:rsidRDefault="00C161FD" w:rsidP="00C161FD">
            <w:r w:rsidRPr="002913F9">
              <w:t>12%</w:t>
            </w:r>
          </w:p>
        </w:tc>
        <w:tc>
          <w:tcPr>
            <w:tcW w:w="992" w:type="dxa"/>
          </w:tcPr>
          <w:p w14:paraId="3F728969" w14:textId="4951AA54" w:rsidR="00C161FD" w:rsidRPr="006A3CD2" w:rsidRDefault="00C161FD" w:rsidP="00C161FD">
            <w:r w:rsidRPr="00FC2D04">
              <w:t>70.419</w:t>
            </w:r>
          </w:p>
        </w:tc>
        <w:tc>
          <w:tcPr>
            <w:tcW w:w="992" w:type="dxa"/>
          </w:tcPr>
          <w:p w14:paraId="280E61BB" w14:textId="1417B5CD" w:rsidR="00C161FD" w:rsidRPr="006A3CD2" w:rsidRDefault="00C161FD" w:rsidP="00C161FD">
            <w:r w:rsidRPr="00C365FF">
              <w:t>6%</w:t>
            </w:r>
          </w:p>
        </w:tc>
        <w:tc>
          <w:tcPr>
            <w:tcW w:w="993" w:type="dxa"/>
          </w:tcPr>
          <w:p w14:paraId="4AC7FB94" w14:textId="58A88E15" w:rsidR="00C161FD" w:rsidRPr="006A3CD2" w:rsidRDefault="00C161FD" w:rsidP="00C161FD">
            <w:r w:rsidRPr="005176A8">
              <w:t>72%</w:t>
            </w:r>
          </w:p>
        </w:tc>
      </w:tr>
      <w:tr w:rsidR="00C161FD" w:rsidRPr="006A3CD2" w14:paraId="73408463" w14:textId="77777777" w:rsidTr="00C161FD">
        <w:trPr>
          <w:cantSplit/>
        </w:trPr>
        <w:tc>
          <w:tcPr>
            <w:tcW w:w="993" w:type="dxa"/>
            <w:shd w:val="clear" w:color="auto" w:fill="auto"/>
          </w:tcPr>
          <w:p w14:paraId="6CB3B1CA" w14:textId="3DB7DA13" w:rsidR="00C161FD" w:rsidRPr="006A3CD2" w:rsidRDefault="00C161FD" w:rsidP="00C161FD">
            <w:pPr>
              <w:spacing w:before="40" w:after="120" w:line="220" w:lineRule="exact"/>
              <w:ind w:right="113"/>
            </w:pPr>
            <w:r w:rsidRPr="0098312B">
              <w:t>November</w:t>
            </w:r>
          </w:p>
        </w:tc>
        <w:tc>
          <w:tcPr>
            <w:tcW w:w="850" w:type="dxa"/>
            <w:shd w:val="clear" w:color="auto" w:fill="auto"/>
          </w:tcPr>
          <w:p w14:paraId="44B8859F" w14:textId="1CE585AC" w:rsidR="00C161FD" w:rsidRPr="006A3CD2" w:rsidRDefault="00C161FD" w:rsidP="00C161FD">
            <w:pPr>
              <w:spacing w:before="40" w:after="120" w:line="220" w:lineRule="exact"/>
              <w:ind w:right="227"/>
            </w:pPr>
            <w:r w:rsidRPr="00BF3975">
              <w:t>45.303</w:t>
            </w:r>
          </w:p>
        </w:tc>
        <w:tc>
          <w:tcPr>
            <w:tcW w:w="992" w:type="dxa"/>
            <w:shd w:val="clear" w:color="auto" w:fill="auto"/>
          </w:tcPr>
          <w:p w14:paraId="75EB0CAF" w14:textId="362BE44B" w:rsidR="00C161FD" w:rsidRPr="006A3CD2" w:rsidRDefault="00C161FD" w:rsidP="00C161FD">
            <w:r w:rsidRPr="002913F9">
              <w:t>11%</w:t>
            </w:r>
          </w:p>
        </w:tc>
        <w:tc>
          <w:tcPr>
            <w:tcW w:w="992" w:type="dxa"/>
          </w:tcPr>
          <w:p w14:paraId="5552934E" w14:textId="69C413CF" w:rsidR="00C161FD" w:rsidRPr="006A3CD2" w:rsidRDefault="00C161FD" w:rsidP="00C161FD">
            <w:r w:rsidRPr="00FC2D04">
              <w:t>76.254</w:t>
            </w:r>
          </w:p>
        </w:tc>
        <w:tc>
          <w:tcPr>
            <w:tcW w:w="992" w:type="dxa"/>
          </w:tcPr>
          <w:p w14:paraId="5BE9E962" w14:textId="3FE8E300" w:rsidR="00C161FD" w:rsidRPr="006A3CD2" w:rsidRDefault="00C161FD" w:rsidP="00C161FD">
            <w:r w:rsidRPr="00C365FF">
              <w:t>8%</w:t>
            </w:r>
          </w:p>
        </w:tc>
        <w:tc>
          <w:tcPr>
            <w:tcW w:w="993" w:type="dxa"/>
          </w:tcPr>
          <w:p w14:paraId="37AB2A78" w14:textId="52AA8396" w:rsidR="00C161FD" w:rsidRPr="006A3CD2" w:rsidRDefault="00C161FD" w:rsidP="00C161FD">
            <w:r w:rsidRPr="005176A8">
              <w:t>68%</w:t>
            </w:r>
          </w:p>
        </w:tc>
      </w:tr>
      <w:tr w:rsidR="00C161FD" w:rsidRPr="006A3CD2" w14:paraId="6679ED03" w14:textId="77777777" w:rsidTr="00C161FD">
        <w:trPr>
          <w:cantSplit/>
        </w:trPr>
        <w:tc>
          <w:tcPr>
            <w:tcW w:w="993" w:type="dxa"/>
            <w:shd w:val="clear" w:color="auto" w:fill="auto"/>
          </w:tcPr>
          <w:p w14:paraId="0D23D110" w14:textId="1D278C98" w:rsidR="00C161FD" w:rsidRPr="006A3CD2" w:rsidRDefault="00C161FD" w:rsidP="00C161FD">
            <w:pPr>
              <w:spacing w:before="40" w:after="120" w:line="220" w:lineRule="exact"/>
              <w:ind w:right="113"/>
            </w:pPr>
            <w:r w:rsidRPr="0098312B">
              <w:t>December</w:t>
            </w:r>
          </w:p>
        </w:tc>
        <w:tc>
          <w:tcPr>
            <w:tcW w:w="850" w:type="dxa"/>
            <w:shd w:val="clear" w:color="auto" w:fill="auto"/>
          </w:tcPr>
          <w:p w14:paraId="32181979" w14:textId="0FF1E9BA" w:rsidR="00C161FD" w:rsidRPr="006A3CD2" w:rsidRDefault="00C161FD" w:rsidP="00C161FD">
            <w:pPr>
              <w:spacing w:before="40" w:after="120" w:line="220" w:lineRule="exact"/>
              <w:ind w:right="227"/>
            </w:pPr>
            <w:r w:rsidRPr="00BF3975">
              <w:t>49.974</w:t>
            </w:r>
          </w:p>
        </w:tc>
        <w:tc>
          <w:tcPr>
            <w:tcW w:w="992" w:type="dxa"/>
            <w:shd w:val="clear" w:color="auto" w:fill="auto"/>
          </w:tcPr>
          <w:p w14:paraId="6195F572" w14:textId="1240D9F4" w:rsidR="00C161FD" w:rsidRPr="006A3CD2" w:rsidRDefault="00C161FD" w:rsidP="00C161FD">
            <w:r w:rsidRPr="002913F9">
              <w:t>10%</w:t>
            </w:r>
          </w:p>
        </w:tc>
        <w:tc>
          <w:tcPr>
            <w:tcW w:w="992" w:type="dxa"/>
          </w:tcPr>
          <w:p w14:paraId="50F602FC" w14:textId="79EF3E53" w:rsidR="00C161FD" w:rsidRPr="006A3CD2" w:rsidRDefault="00C161FD" w:rsidP="00C161FD">
            <w:r w:rsidRPr="00FC2D04">
              <w:t>81.052</w:t>
            </w:r>
          </w:p>
        </w:tc>
        <w:tc>
          <w:tcPr>
            <w:tcW w:w="992" w:type="dxa"/>
          </w:tcPr>
          <w:p w14:paraId="08DD5EF5" w14:textId="4F1DB532" w:rsidR="00C161FD" w:rsidRPr="006A3CD2" w:rsidRDefault="00C161FD" w:rsidP="00C161FD">
            <w:r w:rsidRPr="00C365FF">
              <w:t>6%</w:t>
            </w:r>
          </w:p>
        </w:tc>
        <w:tc>
          <w:tcPr>
            <w:tcW w:w="993" w:type="dxa"/>
          </w:tcPr>
          <w:p w14:paraId="2F909593" w14:textId="401849DB" w:rsidR="00C161FD" w:rsidRPr="00E91CAA" w:rsidRDefault="00C161FD" w:rsidP="00C161FD">
            <w:pPr>
              <w:rPr>
                <w:b/>
              </w:rPr>
            </w:pPr>
            <w:r w:rsidRPr="00E91CAA">
              <w:rPr>
                <w:b/>
              </w:rPr>
              <w:t>62%</w:t>
            </w:r>
          </w:p>
        </w:tc>
      </w:tr>
      <w:tr w:rsidR="00E21E6B" w:rsidRPr="006A3CD2" w14:paraId="4E31FD87" w14:textId="77777777" w:rsidTr="00C161FD">
        <w:trPr>
          <w:cantSplit/>
          <w:trHeight w:hRule="exact" w:val="113"/>
          <w:tblHeader/>
        </w:trPr>
        <w:tc>
          <w:tcPr>
            <w:tcW w:w="993" w:type="dxa"/>
            <w:tcBorders>
              <w:top w:val="nil"/>
            </w:tcBorders>
            <w:shd w:val="clear" w:color="auto" w:fill="auto"/>
          </w:tcPr>
          <w:p w14:paraId="2E895FBB" w14:textId="77777777" w:rsidR="00E21E6B" w:rsidRPr="006A3CD2" w:rsidRDefault="00E21E6B" w:rsidP="00977B3B">
            <w:pPr>
              <w:spacing w:before="40" w:after="120" w:line="220" w:lineRule="exact"/>
              <w:ind w:right="113"/>
              <w:rPr>
                <w:szCs w:val="18"/>
              </w:rPr>
            </w:pPr>
          </w:p>
        </w:tc>
        <w:tc>
          <w:tcPr>
            <w:tcW w:w="850" w:type="dxa"/>
            <w:tcBorders>
              <w:top w:val="nil"/>
            </w:tcBorders>
            <w:shd w:val="clear" w:color="auto" w:fill="auto"/>
          </w:tcPr>
          <w:p w14:paraId="672A44A7" w14:textId="77777777" w:rsidR="00E21E6B" w:rsidRPr="006A3CD2" w:rsidRDefault="00E21E6B" w:rsidP="00977B3B">
            <w:pPr>
              <w:spacing w:before="40" w:after="120" w:line="220" w:lineRule="exact"/>
              <w:ind w:right="113"/>
              <w:rPr>
                <w:szCs w:val="18"/>
              </w:rPr>
            </w:pPr>
          </w:p>
        </w:tc>
        <w:tc>
          <w:tcPr>
            <w:tcW w:w="992" w:type="dxa"/>
            <w:tcBorders>
              <w:top w:val="nil"/>
            </w:tcBorders>
            <w:shd w:val="clear" w:color="auto" w:fill="auto"/>
          </w:tcPr>
          <w:p w14:paraId="5B9899FA" w14:textId="77777777" w:rsidR="00E21E6B" w:rsidRPr="006A3CD2" w:rsidRDefault="00E21E6B" w:rsidP="00977B3B">
            <w:pPr>
              <w:spacing w:before="40" w:after="120" w:line="220" w:lineRule="exact"/>
              <w:ind w:right="113"/>
              <w:rPr>
                <w:szCs w:val="18"/>
              </w:rPr>
            </w:pPr>
          </w:p>
        </w:tc>
        <w:tc>
          <w:tcPr>
            <w:tcW w:w="992" w:type="dxa"/>
            <w:tcBorders>
              <w:top w:val="nil"/>
            </w:tcBorders>
          </w:tcPr>
          <w:p w14:paraId="0857E776" w14:textId="77777777" w:rsidR="00E21E6B" w:rsidRPr="006A3CD2" w:rsidRDefault="00E21E6B" w:rsidP="00977B3B">
            <w:pPr>
              <w:spacing w:before="40" w:after="120" w:line="220" w:lineRule="exact"/>
              <w:ind w:right="113"/>
              <w:rPr>
                <w:szCs w:val="18"/>
              </w:rPr>
            </w:pPr>
          </w:p>
        </w:tc>
        <w:tc>
          <w:tcPr>
            <w:tcW w:w="992" w:type="dxa"/>
            <w:tcBorders>
              <w:top w:val="nil"/>
            </w:tcBorders>
          </w:tcPr>
          <w:p w14:paraId="2F5752F7" w14:textId="77777777" w:rsidR="00E21E6B" w:rsidRPr="006A3CD2" w:rsidRDefault="00E21E6B" w:rsidP="00977B3B">
            <w:pPr>
              <w:spacing w:before="40" w:after="120" w:line="220" w:lineRule="exact"/>
              <w:ind w:right="113"/>
              <w:rPr>
                <w:szCs w:val="18"/>
              </w:rPr>
            </w:pPr>
          </w:p>
        </w:tc>
        <w:tc>
          <w:tcPr>
            <w:tcW w:w="993" w:type="dxa"/>
            <w:tcBorders>
              <w:top w:val="nil"/>
            </w:tcBorders>
          </w:tcPr>
          <w:p w14:paraId="441690F1" w14:textId="77777777" w:rsidR="00E21E6B" w:rsidRPr="006A3CD2" w:rsidRDefault="00E21E6B" w:rsidP="00977B3B">
            <w:pPr>
              <w:spacing w:before="40" w:after="120" w:line="220" w:lineRule="exact"/>
              <w:ind w:right="113"/>
              <w:rPr>
                <w:szCs w:val="18"/>
              </w:rPr>
            </w:pPr>
          </w:p>
        </w:tc>
      </w:tr>
    </w:tbl>
    <w:p w14:paraId="3E073AAA" w14:textId="08C7CCA5" w:rsidR="002E0E4D" w:rsidRPr="00DF05D1" w:rsidRDefault="00C161FD" w:rsidP="00DF05D1">
      <w:pPr>
        <w:pStyle w:val="H23G"/>
      </w:pPr>
      <w:r>
        <w:tab/>
        <w:t>3.</w:t>
      </w:r>
      <w:r>
        <w:tab/>
      </w:r>
      <w:r w:rsidRPr="00DF05D1">
        <w:tab/>
        <w:t>Greek Asylum Service: type of decisions</w:t>
      </w:r>
    </w:p>
    <w:tbl>
      <w:tblPr>
        <w:tblW w:w="58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10"/>
        <w:gridCol w:w="1276"/>
        <w:gridCol w:w="2126"/>
      </w:tblGrid>
      <w:tr w:rsidR="00C161FD" w:rsidRPr="006A3CD2" w14:paraId="78DC20A7" w14:textId="77777777" w:rsidTr="00C161FD">
        <w:trPr>
          <w:cantSplit/>
          <w:tblHeader/>
        </w:trPr>
        <w:tc>
          <w:tcPr>
            <w:tcW w:w="2410" w:type="dxa"/>
            <w:tcBorders>
              <w:top w:val="single" w:sz="4" w:space="0" w:color="auto"/>
              <w:bottom w:val="single" w:sz="12" w:space="0" w:color="auto"/>
            </w:tcBorders>
            <w:shd w:val="clear" w:color="auto" w:fill="auto"/>
            <w:vAlign w:val="center"/>
            <w:hideMark/>
          </w:tcPr>
          <w:p w14:paraId="0CF7CBE4" w14:textId="2770D663" w:rsidR="00C161FD" w:rsidRPr="006A3CD2" w:rsidRDefault="00C161FD" w:rsidP="00977B3B">
            <w:pPr>
              <w:spacing w:before="80" w:after="80" w:line="200" w:lineRule="exact"/>
              <w:ind w:right="113"/>
              <w:rPr>
                <w:i/>
                <w:sz w:val="16"/>
                <w:szCs w:val="18"/>
              </w:rPr>
            </w:pPr>
            <w:r>
              <w:rPr>
                <w:i/>
                <w:sz w:val="16"/>
                <w:szCs w:val="18"/>
              </w:rPr>
              <w:t>Type o</w:t>
            </w:r>
            <w:r w:rsidRPr="00C161FD">
              <w:rPr>
                <w:i/>
                <w:sz w:val="16"/>
                <w:szCs w:val="18"/>
              </w:rPr>
              <w:t>f Decision</w:t>
            </w:r>
          </w:p>
        </w:tc>
        <w:tc>
          <w:tcPr>
            <w:tcW w:w="1276" w:type="dxa"/>
            <w:tcBorders>
              <w:top w:val="single" w:sz="4" w:space="0" w:color="auto"/>
              <w:bottom w:val="single" w:sz="12" w:space="0" w:color="auto"/>
            </w:tcBorders>
            <w:shd w:val="clear" w:color="auto" w:fill="auto"/>
            <w:vAlign w:val="center"/>
            <w:hideMark/>
          </w:tcPr>
          <w:p w14:paraId="1955AA92" w14:textId="239C2959" w:rsidR="00C161FD" w:rsidRPr="006A3CD2" w:rsidRDefault="00C161FD" w:rsidP="00977B3B">
            <w:pPr>
              <w:spacing w:before="80" w:after="80" w:line="200" w:lineRule="exact"/>
              <w:ind w:right="113"/>
              <w:rPr>
                <w:i/>
                <w:sz w:val="16"/>
                <w:szCs w:val="18"/>
              </w:rPr>
            </w:pPr>
            <w:r w:rsidRPr="00C161FD">
              <w:rPr>
                <w:i/>
                <w:sz w:val="16"/>
                <w:szCs w:val="18"/>
              </w:rPr>
              <w:t>Number#</w:t>
            </w:r>
          </w:p>
        </w:tc>
        <w:tc>
          <w:tcPr>
            <w:tcW w:w="2126" w:type="dxa"/>
            <w:tcBorders>
              <w:top w:val="single" w:sz="4" w:space="0" w:color="auto"/>
              <w:bottom w:val="single" w:sz="12" w:space="0" w:color="auto"/>
            </w:tcBorders>
            <w:shd w:val="clear" w:color="auto" w:fill="auto"/>
            <w:vAlign w:val="center"/>
            <w:hideMark/>
          </w:tcPr>
          <w:p w14:paraId="067D541F" w14:textId="0B39A77D" w:rsidR="00C161FD" w:rsidRPr="006A3CD2" w:rsidRDefault="00C161FD" w:rsidP="00977B3B">
            <w:pPr>
              <w:spacing w:before="80" w:after="80" w:line="200" w:lineRule="exact"/>
              <w:ind w:right="113"/>
              <w:rPr>
                <w:i/>
                <w:sz w:val="16"/>
                <w:szCs w:val="18"/>
              </w:rPr>
            </w:pPr>
            <w:r w:rsidRPr="00C161FD">
              <w:rPr>
                <w:i/>
                <w:sz w:val="16"/>
                <w:szCs w:val="18"/>
              </w:rPr>
              <w:t>Percentage%</w:t>
            </w:r>
          </w:p>
        </w:tc>
      </w:tr>
      <w:tr w:rsidR="00C161FD" w:rsidRPr="006A3CD2" w14:paraId="529F31A2" w14:textId="77777777" w:rsidTr="00C161FD">
        <w:trPr>
          <w:cantSplit/>
          <w:trHeight w:hRule="exact" w:val="113"/>
          <w:tblHeader/>
        </w:trPr>
        <w:tc>
          <w:tcPr>
            <w:tcW w:w="2410" w:type="dxa"/>
            <w:tcBorders>
              <w:top w:val="single" w:sz="12" w:space="0" w:color="auto"/>
            </w:tcBorders>
            <w:shd w:val="clear" w:color="auto" w:fill="auto"/>
          </w:tcPr>
          <w:p w14:paraId="2FDDA047" w14:textId="77777777" w:rsidR="00C161FD" w:rsidRPr="006A3CD2" w:rsidRDefault="00C161FD" w:rsidP="00977B3B">
            <w:pPr>
              <w:spacing w:before="40" w:after="120" w:line="220" w:lineRule="exact"/>
              <w:ind w:right="113"/>
              <w:rPr>
                <w:szCs w:val="18"/>
              </w:rPr>
            </w:pPr>
          </w:p>
        </w:tc>
        <w:tc>
          <w:tcPr>
            <w:tcW w:w="1276" w:type="dxa"/>
            <w:tcBorders>
              <w:top w:val="single" w:sz="12" w:space="0" w:color="auto"/>
            </w:tcBorders>
            <w:shd w:val="clear" w:color="auto" w:fill="auto"/>
          </w:tcPr>
          <w:p w14:paraId="645A9623" w14:textId="77777777" w:rsidR="00C161FD" w:rsidRPr="006A3CD2" w:rsidRDefault="00C161FD" w:rsidP="00977B3B">
            <w:pPr>
              <w:spacing w:before="40" w:after="120" w:line="220" w:lineRule="exact"/>
              <w:ind w:right="113"/>
              <w:rPr>
                <w:szCs w:val="18"/>
              </w:rPr>
            </w:pPr>
          </w:p>
        </w:tc>
        <w:tc>
          <w:tcPr>
            <w:tcW w:w="2126" w:type="dxa"/>
            <w:tcBorders>
              <w:top w:val="single" w:sz="12" w:space="0" w:color="auto"/>
            </w:tcBorders>
            <w:shd w:val="clear" w:color="auto" w:fill="auto"/>
          </w:tcPr>
          <w:p w14:paraId="023EAE76" w14:textId="77777777" w:rsidR="00C161FD" w:rsidRPr="006A3CD2" w:rsidRDefault="00C161FD" w:rsidP="00977B3B">
            <w:pPr>
              <w:spacing w:before="40" w:after="120" w:line="220" w:lineRule="exact"/>
              <w:ind w:right="113"/>
              <w:rPr>
                <w:szCs w:val="18"/>
              </w:rPr>
            </w:pPr>
          </w:p>
        </w:tc>
      </w:tr>
      <w:tr w:rsidR="00C161FD" w:rsidRPr="006A3CD2" w14:paraId="471E886C" w14:textId="77777777" w:rsidTr="00C161FD">
        <w:trPr>
          <w:cantSplit/>
        </w:trPr>
        <w:tc>
          <w:tcPr>
            <w:tcW w:w="2410" w:type="dxa"/>
            <w:shd w:val="clear" w:color="auto" w:fill="auto"/>
          </w:tcPr>
          <w:p w14:paraId="403FFA0E" w14:textId="47E29DE6" w:rsidR="00C161FD" w:rsidRPr="006A3CD2" w:rsidRDefault="00C161FD" w:rsidP="00C161FD">
            <w:pPr>
              <w:spacing w:before="40" w:after="120" w:line="220" w:lineRule="exact"/>
              <w:ind w:right="113"/>
            </w:pPr>
            <w:r w:rsidRPr="00603553">
              <w:t>Refugee Status</w:t>
            </w:r>
          </w:p>
        </w:tc>
        <w:tc>
          <w:tcPr>
            <w:tcW w:w="1276" w:type="dxa"/>
            <w:shd w:val="clear" w:color="auto" w:fill="auto"/>
          </w:tcPr>
          <w:p w14:paraId="7168BBA2" w14:textId="5697DFF2" w:rsidR="00C161FD" w:rsidRPr="006A3CD2" w:rsidRDefault="00C161FD" w:rsidP="00C161FD">
            <w:pPr>
              <w:spacing w:before="40" w:after="120" w:line="220" w:lineRule="exact"/>
              <w:ind w:right="227"/>
            </w:pPr>
            <w:r w:rsidRPr="00AD3577">
              <w:t>26.371</w:t>
            </w:r>
          </w:p>
        </w:tc>
        <w:tc>
          <w:tcPr>
            <w:tcW w:w="2126" w:type="dxa"/>
            <w:shd w:val="clear" w:color="auto" w:fill="auto"/>
          </w:tcPr>
          <w:p w14:paraId="59F319CE" w14:textId="57D10ED6" w:rsidR="00C161FD" w:rsidRPr="006A3CD2" w:rsidRDefault="00C161FD" w:rsidP="00C161FD">
            <w:r w:rsidRPr="00EF4895">
              <w:t>33%</w:t>
            </w:r>
          </w:p>
        </w:tc>
      </w:tr>
      <w:tr w:rsidR="00C161FD" w:rsidRPr="006A3CD2" w14:paraId="78EA014B" w14:textId="77777777" w:rsidTr="00C161FD">
        <w:trPr>
          <w:cantSplit/>
        </w:trPr>
        <w:tc>
          <w:tcPr>
            <w:tcW w:w="2410" w:type="dxa"/>
            <w:shd w:val="clear" w:color="auto" w:fill="auto"/>
          </w:tcPr>
          <w:p w14:paraId="79646EF9" w14:textId="646A97E0" w:rsidR="00C161FD" w:rsidRPr="006A3CD2" w:rsidRDefault="00C161FD" w:rsidP="00C161FD">
            <w:pPr>
              <w:spacing w:before="40" w:after="120" w:line="220" w:lineRule="exact"/>
              <w:ind w:right="113"/>
            </w:pPr>
            <w:r w:rsidRPr="00603553">
              <w:t>Subsidiary Protection</w:t>
            </w:r>
          </w:p>
        </w:tc>
        <w:tc>
          <w:tcPr>
            <w:tcW w:w="1276" w:type="dxa"/>
            <w:shd w:val="clear" w:color="auto" w:fill="auto"/>
          </w:tcPr>
          <w:p w14:paraId="1D023B33" w14:textId="479FF636" w:rsidR="00C161FD" w:rsidRPr="006A3CD2" w:rsidRDefault="00C161FD" w:rsidP="00C161FD">
            <w:pPr>
              <w:spacing w:before="40" w:after="120" w:line="220" w:lineRule="exact"/>
              <w:ind w:right="227"/>
            </w:pPr>
            <w:r w:rsidRPr="00AD3577">
              <w:t>7.954</w:t>
            </w:r>
          </w:p>
        </w:tc>
        <w:tc>
          <w:tcPr>
            <w:tcW w:w="2126" w:type="dxa"/>
            <w:shd w:val="clear" w:color="auto" w:fill="auto"/>
          </w:tcPr>
          <w:p w14:paraId="79A5C700" w14:textId="63742FEB" w:rsidR="00C161FD" w:rsidRPr="006A3CD2" w:rsidRDefault="00C161FD" w:rsidP="00C161FD">
            <w:r w:rsidRPr="00EF4895">
              <w:t>10%</w:t>
            </w:r>
          </w:p>
        </w:tc>
      </w:tr>
      <w:tr w:rsidR="00C161FD" w:rsidRPr="006A3CD2" w14:paraId="18C7D2DB" w14:textId="77777777" w:rsidTr="00C161FD">
        <w:trPr>
          <w:cantSplit/>
        </w:trPr>
        <w:tc>
          <w:tcPr>
            <w:tcW w:w="2410" w:type="dxa"/>
            <w:shd w:val="clear" w:color="auto" w:fill="auto"/>
          </w:tcPr>
          <w:p w14:paraId="44408D56" w14:textId="167FFE49" w:rsidR="00C161FD" w:rsidRPr="006A3CD2" w:rsidRDefault="00C161FD" w:rsidP="00C161FD">
            <w:pPr>
              <w:spacing w:before="40" w:after="120" w:line="220" w:lineRule="exact"/>
              <w:ind w:right="113"/>
            </w:pPr>
            <w:r w:rsidRPr="00603553">
              <w:t>Rejection(on the substance)</w:t>
            </w:r>
          </w:p>
        </w:tc>
        <w:tc>
          <w:tcPr>
            <w:tcW w:w="1276" w:type="dxa"/>
            <w:shd w:val="clear" w:color="auto" w:fill="auto"/>
          </w:tcPr>
          <w:p w14:paraId="7B7AF614" w14:textId="6D62856A" w:rsidR="00C161FD" w:rsidRPr="006A3CD2" w:rsidRDefault="00C161FD" w:rsidP="00C161FD">
            <w:pPr>
              <w:spacing w:before="40" w:after="120" w:line="220" w:lineRule="exact"/>
              <w:ind w:right="227"/>
            </w:pPr>
            <w:r w:rsidRPr="00AD3577">
              <w:t>22.821</w:t>
            </w:r>
          </w:p>
        </w:tc>
        <w:tc>
          <w:tcPr>
            <w:tcW w:w="2126" w:type="dxa"/>
            <w:shd w:val="clear" w:color="auto" w:fill="auto"/>
          </w:tcPr>
          <w:p w14:paraId="373F554D" w14:textId="0DBD691E" w:rsidR="00C161FD" w:rsidRPr="006A3CD2" w:rsidRDefault="00C161FD" w:rsidP="00C161FD">
            <w:r w:rsidRPr="00EF4895">
              <w:t>28%</w:t>
            </w:r>
          </w:p>
        </w:tc>
      </w:tr>
      <w:tr w:rsidR="00C161FD" w:rsidRPr="006A3CD2" w14:paraId="4B3B9020" w14:textId="77777777" w:rsidTr="00C161FD">
        <w:trPr>
          <w:cantSplit/>
        </w:trPr>
        <w:tc>
          <w:tcPr>
            <w:tcW w:w="2410" w:type="dxa"/>
            <w:shd w:val="clear" w:color="auto" w:fill="auto"/>
          </w:tcPr>
          <w:p w14:paraId="44F0CF09" w14:textId="22051608" w:rsidR="00C161FD" w:rsidRPr="006A3CD2" w:rsidRDefault="00C161FD" w:rsidP="00C161FD">
            <w:pPr>
              <w:spacing w:before="40" w:after="120" w:line="220" w:lineRule="exact"/>
              <w:ind w:right="113"/>
            </w:pPr>
            <w:r w:rsidRPr="00603553">
              <w:t>Rejection (as unfounded)</w:t>
            </w:r>
          </w:p>
        </w:tc>
        <w:tc>
          <w:tcPr>
            <w:tcW w:w="1276" w:type="dxa"/>
            <w:shd w:val="clear" w:color="auto" w:fill="auto"/>
          </w:tcPr>
          <w:p w14:paraId="65435DF0" w14:textId="151CFD21" w:rsidR="00C161FD" w:rsidRPr="006A3CD2" w:rsidRDefault="00C161FD" w:rsidP="00C161FD">
            <w:pPr>
              <w:spacing w:before="40" w:after="120" w:line="220" w:lineRule="exact"/>
              <w:ind w:right="227"/>
            </w:pPr>
            <w:r w:rsidRPr="00AD3577">
              <w:t>9.484</w:t>
            </w:r>
          </w:p>
        </w:tc>
        <w:tc>
          <w:tcPr>
            <w:tcW w:w="2126" w:type="dxa"/>
            <w:shd w:val="clear" w:color="auto" w:fill="auto"/>
          </w:tcPr>
          <w:p w14:paraId="6477BFF0" w14:textId="765BC006" w:rsidR="00C161FD" w:rsidRPr="006A3CD2" w:rsidRDefault="00C161FD" w:rsidP="00C161FD">
            <w:r w:rsidRPr="00EF4895">
              <w:t>12%</w:t>
            </w:r>
          </w:p>
        </w:tc>
      </w:tr>
      <w:tr w:rsidR="00C161FD" w:rsidRPr="006A3CD2" w14:paraId="4AA7CFCA" w14:textId="77777777" w:rsidTr="00C161FD">
        <w:trPr>
          <w:cantSplit/>
        </w:trPr>
        <w:tc>
          <w:tcPr>
            <w:tcW w:w="2410" w:type="dxa"/>
            <w:shd w:val="clear" w:color="auto" w:fill="auto"/>
          </w:tcPr>
          <w:p w14:paraId="4714F025" w14:textId="64486A14" w:rsidR="00C161FD" w:rsidRPr="006A3CD2" w:rsidRDefault="00C161FD" w:rsidP="00C161FD">
            <w:pPr>
              <w:spacing w:before="40" w:after="120" w:line="220" w:lineRule="exact"/>
              <w:ind w:right="113"/>
            </w:pPr>
            <w:r w:rsidRPr="00603553">
              <w:t>Act of termination of the process</w:t>
            </w:r>
          </w:p>
        </w:tc>
        <w:tc>
          <w:tcPr>
            <w:tcW w:w="1276" w:type="dxa"/>
            <w:shd w:val="clear" w:color="auto" w:fill="auto"/>
          </w:tcPr>
          <w:p w14:paraId="094D9117" w14:textId="4E576878" w:rsidR="00C161FD" w:rsidRPr="006A3CD2" w:rsidRDefault="00C161FD" w:rsidP="00C161FD">
            <w:pPr>
              <w:spacing w:before="40" w:after="120" w:line="220" w:lineRule="exact"/>
              <w:ind w:right="227"/>
            </w:pPr>
            <w:r w:rsidRPr="00AD3577">
              <w:t>4.340</w:t>
            </w:r>
          </w:p>
        </w:tc>
        <w:tc>
          <w:tcPr>
            <w:tcW w:w="2126" w:type="dxa"/>
            <w:shd w:val="clear" w:color="auto" w:fill="auto"/>
          </w:tcPr>
          <w:p w14:paraId="7FC3C411" w14:textId="6AA588E1" w:rsidR="00C161FD" w:rsidRPr="006A3CD2" w:rsidRDefault="00C161FD" w:rsidP="00C161FD">
            <w:r w:rsidRPr="00EF4895">
              <w:t>5%</w:t>
            </w:r>
          </w:p>
        </w:tc>
      </w:tr>
      <w:tr w:rsidR="00C161FD" w:rsidRPr="006A3CD2" w14:paraId="65B5C41B" w14:textId="77777777" w:rsidTr="00C161FD">
        <w:trPr>
          <w:cantSplit/>
        </w:trPr>
        <w:tc>
          <w:tcPr>
            <w:tcW w:w="2410" w:type="dxa"/>
            <w:shd w:val="clear" w:color="auto" w:fill="auto"/>
          </w:tcPr>
          <w:p w14:paraId="22DB63D5" w14:textId="13C6E53E" w:rsidR="00C161FD" w:rsidRPr="006A3CD2" w:rsidRDefault="00C161FD" w:rsidP="00C161FD">
            <w:pPr>
              <w:spacing w:before="40" w:after="120" w:line="220" w:lineRule="exact"/>
              <w:ind w:right="113"/>
            </w:pPr>
            <w:r w:rsidRPr="00603553">
              <w:t>Withdrawal of the asylum application</w:t>
            </w:r>
          </w:p>
        </w:tc>
        <w:tc>
          <w:tcPr>
            <w:tcW w:w="1276" w:type="dxa"/>
            <w:shd w:val="clear" w:color="auto" w:fill="auto"/>
          </w:tcPr>
          <w:p w14:paraId="5591A7FC" w14:textId="2B6E7BF7" w:rsidR="00C161FD" w:rsidRPr="006A3CD2" w:rsidRDefault="00C161FD" w:rsidP="00C161FD">
            <w:pPr>
              <w:spacing w:before="40" w:after="120" w:line="220" w:lineRule="exact"/>
              <w:ind w:right="227"/>
            </w:pPr>
            <w:r w:rsidRPr="00AD3577">
              <w:t>1.148</w:t>
            </w:r>
          </w:p>
        </w:tc>
        <w:tc>
          <w:tcPr>
            <w:tcW w:w="2126" w:type="dxa"/>
            <w:shd w:val="clear" w:color="auto" w:fill="auto"/>
          </w:tcPr>
          <w:p w14:paraId="4FE664EF" w14:textId="528B1F8B" w:rsidR="00C161FD" w:rsidRPr="006A3CD2" w:rsidRDefault="00C161FD" w:rsidP="00C161FD">
            <w:r w:rsidRPr="00EF4895">
              <w:t>1%</w:t>
            </w:r>
          </w:p>
        </w:tc>
      </w:tr>
      <w:tr w:rsidR="00C161FD" w:rsidRPr="006A3CD2" w14:paraId="3B33B88A" w14:textId="77777777" w:rsidTr="00C161FD">
        <w:trPr>
          <w:cantSplit/>
        </w:trPr>
        <w:tc>
          <w:tcPr>
            <w:tcW w:w="2410" w:type="dxa"/>
            <w:shd w:val="clear" w:color="auto" w:fill="auto"/>
          </w:tcPr>
          <w:p w14:paraId="09314004" w14:textId="6ED0A67B" w:rsidR="00C161FD" w:rsidRPr="006A3CD2" w:rsidRDefault="00C161FD" w:rsidP="00C161FD">
            <w:pPr>
              <w:spacing w:before="40" w:after="120" w:line="220" w:lineRule="exact"/>
              <w:ind w:right="113"/>
            </w:pPr>
            <w:r w:rsidRPr="00603553">
              <w:t>Case archived</w:t>
            </w:r>
          </w:p>
        </w:tc>
        <w:tc>
          <w:tcPr>
            <w:tcW w:w="1276" w:type="dxa"/>
            <w:shd w:val="clear" w:color="auto" w:fill="auto"/>
          </w:tcPr>
          <w:p w14:paraId="417184C3" w14:textId="4D998864" w:rsidR="00C161FD" w:rsidRPr="006A3CD2" w:rsidRDefault="00C161FD" w:rsidP="00C161FD">
            <w:pPr>
              <w:spacing w:before="40" w:after="120" w:line="220" w:lineRule="exact"/>
              <w:ind w:right="227"/>
            </w:pPr>
            <w:r w:rsidRPr="00AD3577">
              <w:t>8.934</w:t>
            </w:r>
          </w:p>
        </w:tc>
        <w:tc>
          <w:tcPr>
            <w:tcW w:w="2126" w:type="dxa"/>
            <w:shd w:val="clear" w:color="auto" w:fill="auto"/>
          </w:tcPr>
          <w:p w14:paraId="3AFF063B" w14:textId="1C98BE4C" w:rsidR="00C161FD" w:rsidRPr="006A3CD2" w:rsidRDefault="00C161FD" w:rsidP="00C161FD">
            <w:r w:rsidRPr="00EF4895">
              <w:t>11%</w:t>
            </w:r>
          </w:p>
        </w:tc>
      </w:tr>
      <w:tr w:rsidR="00C161FD" w:rsidRPr="006A3CD2" w14:paraId="4F356C98" w14:textId="77777777" w:rsidTr="00C161FD">
        <w:trPr>
          <w:cantSplit/>
        </w:trPr>
        <w:tc>
          <w:tcPr>
            <w:tcW w:w="2410" w:type="dxa"/>
            <w:shd w:val="clear" w:color="auto" w:fill="auto"/>
          </w:tcPr>
          <w:p w14:paraId="4A3B5AA7" w14:textId="0C0F5567" w:rsidR="00C161FD" w:rsidRPr="00C161FD" w:rsidRDefault="00C161FD" w:rsidP="00C161FD">
            <w:pPr>
              <w:spacing w:before="40" w:after="120" w:line="220" w:lineRule="exact"/>
              <w:ind w:right="113"/>
              <w:rPr>
                <w:b/>
              </w:rPr>
            </w:pPr>
            <w:r w:rsidRPr="00C161FD">
              <w:rPr>
                <w:b/>
              </w:rPr>
              <w:t>T</w:t>
            </w:r>
            <w:r w:rsidR="00DF05D1" w:rsidRPr="00C161FD">
              <w:rPr>
                <w:b/>
              </w:rPr>
              <w:t>otal</w:t>
            </w:r>
          </w:p>
        </w:tc>
        <w:tc>
          <w:tcPr>
            <w:tcW w:w="1276" w:type="dxa"/>
            <w:shd w:val="clear" w:color="auto" w:fill="auto"/>
          </w:tcPr>
          <w:p w14:paraId="62118E4F" w14:textId="54525004" w:rsidR="00C161FD" w:rsidRPr="00C161FD" w:rsidRDefault="00C161FD" w:rsidP="00C161FD">
            <w:pPr>
              <w:spacing w:before="40" w:after="120" w:line="220" w:lineRule="exact"/>
              <w:ind w:right="227"/>
              <w:rPr>
                <w:b/>
              </w:rPr>
            </w:pPr>
            <w:r w:rsidRPr="00C161FD">
              <w:rPr>
                <w:b/>
              </w:rPr>
              <w:t>81.052</w:t>
            </w:r>
          </w:p>
        </w:tc>
        <w:tc>
          <w:tcPr>
            <w:tcW w:w="2126" w:type="dxa"/>
            <w:shd w:val="clear" w:color="auto" w:fill="auto"/>
          </w:tcPr>
          <w:p w14:paraId="568D5E24" w14:textId="0050E7F6" w:rsidR="00C161FD" w:rsidRPr="00C161FD" w:rsidRDefault="00C161FD" w:rsidP="00C161FD">
            <w:pPr>
              <w:rPr>
                <w:b/>
              </w:rPr>
            </w:pPr>
            <w:r w:rsidRPr="00C161FD">
              <w:rPr>
                <w:b/>
              </w:rPr>
              <w:t>100%</w:t>
            </w:r>
          </w:p>
        </w:tc>
      </w:tr>
      <w:tr w:rsidR="00C161FD" w:rsidRPr="006A3CD2" w14:paraId="6E4B600D" w14:textId="77777777" w:rsidTr="00C161FD">
        <w:trPr>
          <w:cantSplit/>
          <w:trHeight w:hRule="exact" w:val="113"/>
          <w:tblHeader/>
        </w:trPr>
        <w:tc>
          <w:tcPr>
            <w:tcW w:w="2410" w:type="dxa"/>
            <w:tcBorders>
              <w:top w:val="nil"/>
            </w:tcBorders>
            <w:shd w:val="clear" w:color="auto" w:fill="auto"/>
          </w:tcPr>
          <w:p w14:paraId="1A246067" w14:textId="77777777" w:rsidR="00C161FD" w:rsidRPr="006A3CD2" w:rsidRDefault="00C161FD" w:rsidP="00977B3B">
            <w:pPr>
              <w:spacing w:before="40" w:after="120" w:line="220" w:lineRule="exact"/>
              <w:ind w:right="113"/>
              <w:rPr>
                <w:szCs w:val="18"/>
              </w:rPr>
            </w:pPr>
          </w:p>
        </w:tc>
        <w:tc>
          <w:tcPr>
            <w:tcW w:w="1276" w:type="dxa"/>
            <w:tcBorders>
              <w:top w:val="nil"/>
            </w:tcBorders>
            <w:shd w:val="clear" w:color="auto" w:fill="auto"/>
          </w:tcPr>
          <w:p w14:paraId="0092FFAD" w14:textId="77777777" w:rsidR="00C161FD" w:rsidRPr="006A3CD2" w:rsidRDefault="00C161FD" w:rsidP="00977B3B">
            <w:pPr>
              <w:spacing w:before="40" w:after="120" w:line="220" w:lineRule="exact"/>
              <w:ind w:right="113"/>
              <w:rPr>
                <w:szCs w:val="18"/>
              </w:rPr>
            </w:pPr>
          </w:p>
        </w:tc>
        <w:tc>
          <w:tcPr>
            <w:tcW w:w="2126" w:type="dxa"/>
            <w:tcBorders>
              <w:top w:val="nil"/>
            </w:tcBorders>
            <w:shd w:val="clear" w:color="auto" w:fill="auto"/>
          </w:tcPr>
          <w:p w14:paraId="2267426D" w14:textId="77777777" w:rsidR="00C161FD" w:rsidRPr="006A3CD2" w:rsidRDefault="00C161FD" w:rsidP="00977B3B">
            <w:pPr>
              <w:spacing w:before="40" w:after="120" w:line="220" w:lineRule="exact"/>
              <w:ind w:right="113"/>
              <w:rPr>
                <w:szCs w:val="18"/>
              </w:rPr>
            </w:pPr>
          </w:p>
        </w:tc>
      </w:tr>
    </w:tbl>
    <w:p w14:paraId="64B30719" w14:textId="18BCAA3C" w:rsidR="00E91CAA" w:rsidRPr="00E91CAA" w:rsidRDefault="00E91CAA" w:rsidP="00E91CAA">
      <w:pPr>
        <w:spacing w:before="240"/>
        <w:ind w:left="1134" w:right="1134"/>
        <w:jc w:val="center"/>
        <w:rPr>
          <w:bCs/>
          <w:u w:val="single"/>
          <w:lang w:val="ru-RU" w:bidi="ru-RU"/>
        </w:rPr>
      </w:pPr>
      <w:r w:rsidRPr="00E91CAA">
        <w:rPr>
          <w:bCs/>
          <w:u w:val="single"/>
          <w:lang w:val="ru-RU" w:bidi="ru-RU"/>
        </w:rPr>
        <w:tab/>
      </w:r>
      <w:r w:rsidRPr="00E91CAA">
        <w:rPr>
          <w:bCs/>
          <w:u w:val="single"/>
          <w:lang w:val="ru-RU" w:bidi="ru-RU"/>
        </w:rPr>
        <w:tab/>
      </w:r>
      <w:r w:rsidRPr="00E91CAA">
        <w:rPr>
          <w:bCs/>
          <w:u w:val="single"/>
          <w:lang w:val="ru-RU" w:bidi="ru-RU"/>
        </w:rPr>
        <w:tab/>
      </w:r>
      <w:r w:rsidR="00EA3F64">
        <w:rPr>
          <w:bCs/>
          <w:u w:val="single"/>
          <w:lang w:val="ru-RU" w:bidi="ru-RU"/>
        </w:rPr>
        <w:tab/>
      </w:r>
    </w:p>
    <w:sectPr w:rsidR="00E91CAA" w:rsidRPr="00E91CAA" w:rsidSect="00B71EE9">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DABD" w14:textId="77777777" w:rsidR="000F18AE" w:rsidRDefault="000F18AE"/>
  </w:endnote>
  <w:endnote w:type="continuationSeparator" w:id="0">
    <w:p w14:paraId="2D25B221" w14:textId="77777777" w:rsidR="000F18AE" w:rsidRDefault="000F18AE"/>
  </w:endnote>
  <w:endnote w:type="continuationNotice" w:id="1">
    <w:p w14:paraId="25F9A388" w14:textId="77777777" w:rsidR="000F18AE" w:rsidRDefault="000F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Leelawadee UI"/>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74647D3D"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7D065C">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4BE3630D"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7D065C">
      <w:rPr>
        <w:b/>
        <w:noProof/>
        <w:sz w:val="18"/>
      </w:rPr>
      <w:t>7</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5000B" w14:textId="77777777" w:rsidR="000F18AE" w:rsidRPr="000B175B" w:rsidRDefault="000F18AE" w:rsidP="000B175B">
      <w:pPr>
        <w:tabs>
          <w:tab w:val="right" w:pos="2155"/>
        </w:tabs>
        <w:spacing w:after="80"/>
        <w:ind w:left="680"/>
        <w:rPr>
          <w:u w:val="single"/>
        </w:rPr>
      </w:pPr>
      <w:r>
        <w:rPr>
          <w:u w:val="single"/>
        </w:rPr>
        <w:tab/>
      </w:r>
    </w:p>
  </w:footnote>
  <w:footnote w:type="continuationSeparator" w:id="0">
    <w:p w14:paraId="5E7E2BD4" w14:textId="77777777" w:rsidR="000F18AE" w:rsidRPr="00FC68B7" w:rsidRDefault="000F18AE" w:rsidP="00FC68B7">
      <w:pPr>
        <w:tabs>
          <w:tab w:val="left" w:pos="2155"/>
        </w:tabs>
        <w:spacing w:after="80"/>
        <w:ind w:left="680"/>
        <w:rPr>
          <w:u w:val="single"/>
        </w:rPr>
      </w:pPr>
      <w:r>
        <w:rPr>
          <w:u w:val="single"/>
        </w:rPr>
        <w:tab/>
      </w:r>
    </w:p>
  </w:footnote>
  <w:footnote w:type="continuationNotice" w:id="1">
    <w:p w14:paraId="0785D6A3" w14:textId="77777777" w:rsidR="000F18AE" w:rsidRDefault="000F18AE"/>
  </w:footnote>
  <w:footnote w:id="2">
    <w:p w14:paraId="497DF71F" w14:textId="77777777" w:rsidR="002947DF" w:rsidRPr="008E23FE" w:rsidRDefault="002947DF" w:rsidP="002947DF">
      <w:pPr>
        <w:pStyle w:val="FootnoteText"/>
      </w:pPr>
      <w:r>
        <w:rPr>
          <w:rStyle w:val="FootnoteReference"/>
        </w:rPr>
        <w:tab/>
      </w:r>
      <w:r w:rsidRPr="008E23FE">
        <w:rPr>
          <w:rStyle w:val="FootnoteReference"/>
          <w:sz w:val="20"/>
          <w:vertAlign w:val="baseline"/>
        </w:rPr>
        <w:t>*</w:t>
      </w:r>
      <w:r>
        <w:rPr>
          <w:rStyle w:val="FootnoteReference"/>
          <w:sz w:val="20"/>
          <w:vertAlign w:val="baseline"/>
        </w:rPr>
        <w:tab/>
      </w:r>
      <w:r w:rsidRPr="00EA3F64">
        <w:rPr>
          <w:rStyle w:val="FootnoteReference"/>
          <w:szCs w:val="18"/>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59A75E65" w:rsidR="00B71EE9" w:rsidRPr="00B71EE9" w:rsidRDefault="00A4304B">
    <w:pPr>
      <w:pStyle w:val="Header"/>
    </w:pPr>
    <w:r>
      <w:t>A/HRC/4</w:t>
    </w:r>
    <w:r w:rsidR="009544BD">
      <w:t>7</w:t>
    </w:r>
    <w:r>
      <w:t>/G/</w:t>
    </w:r>
    <w:r w:rsidR="00D8321C">
      <w:t>2</w:t>
    </w:r>
    <w:r w:rsidR="002947DF">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55F1D825" w:rsidR="00B71EE9" w:rsidRPr="00B71EE9" w:rsidRDefault="00466340" w:rsidP="00B71EE9">
    <w:pPr>
      <w:pStyle w:val="Header"/>
      <w:jc w:val="right"/>
    </w:pPr>
    <w:r>
      <w:t>A/HRC/4</w:t>
    </w:r>
    <w:r w:rsidR="009544BD">
      <w:t>7</w:t>
    </w:r>
    <w:r>
      <w:t>/G/</w:t>
    </w:r>
    <w:r w:rsidR="00207500">
      <w:t>2</w:t>
    </w:r>
    <w:r w:rsidR="0011247C">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8956578"/>
    <w:multiLevelType w:val="hybridMultilevel"/>
    <w:tmpl w:val="DC460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546B7E"/>
    <w:multiLevelType w:val="hybridMultilevel"/>
    <w:tmpl w:val="7A5A6892"/>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C3AA3"/>
    <w:multiLevelType w:val="hybridMultilevel"/>
    <w:tmpl w:val="A1D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4" w15:restartNumberingAfterBreak="0">
    <w:nsid w:val="26CE660C"/>
    <w:multiLevelType w:val="hybridMultilevel"/>
    <w:tmpl w:val="FAB8194A"/>
    <w:lvl w:ilvl="0" w:tplc="AED812BC">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05DEB"/>
    <w:multiLevelType w:val="hybridMultilevel"/>
    <w:tmpl w:val="AA44A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6C618B5"/>
    <w:multiLevelType w:val="hybridMultilevel"/>
    <w:tmpl w:val="7A5A68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90BEF"/>
    <w:multiLevelType w:val="hybridMultilevel"/>
    <w:tmpl w:val="1FE0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4C6780"/>
    <w:multiLevelType w:val="hybridMultilevel"/>
    <w:tmpl w:val="626E6F4E"/>
    <w:lvl w:ilvl="0" w:tplc="B16AA898">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0F2F74"/>
    <w:multiLevelType w:val="hybridMultilevel"/>
    <w:tmpl w:val="46A47BA0"/>
    <w:lvl w:ilvl="0" w:tplc="0409000B">
      <w:start w:val="1"/>
      <w:numFmt w:val="bullet"/>
      <w:lvlText w:val=""/>
      <w:lvlJc w:val="left"/>
      <w:pPr>
        <w:ind w:left="787" w:hanging="360"/>
      </w:pPr>
      <w:rPr>
        <w:rFonts w:ascii="Wingdings" w:hAnsi="Wingdings"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21"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B6085"/>
    <w:multiLevelType w:val="hybridMultilevel"/>
    <w:tmpl w:val="BEFAF8FE"/>
    <w:lvl w:ilvl="0" w:tplc="EE9673B0">
      <w:start w:val="1"/>
      <w:numFmt w:val="upperRoman"/>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53867"/>
    <w:multiLevelType w:val="hybridMultilevel"/>
    <w:tmpl w:val="08EE1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1982771"/>
    <w:multiLevelType w:val="hybridMultilevel"/>
    <w:tmpl w:val="1AE2A776"/>
    <w:lvl w:ilvl="0" w:tplc="E112207C">
      <w:start w:val="1"/>
      <w:numFmt w:val="decimal"/>
      <w:lvlText w:val="%1."/>
      <w:lvlJc w:val="left"/>
      <w:pPr>
        <w:ind w:left="360" w:hanging="360"/>
      </w:pPr>
      <w:rPr>
        <w:b w:val="0"/>
        <w:i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1" w15:restartNumberingAfterBreak="0">
    <w:nsid w:val="7DB14FEC"/>
    <w:multiLevelType w:val="hybridMultilevel"/>
    <w:tmpl w:val="7E388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7"/>
  </w:num>
  <w:num w:numId="4">
    <w:abstractNumId w:val="8"/>
  </w:num>
  <w:num w:numId="5">
    <w:abstractNumId w:val="0"/>
  </w:num>
  <w:num w:numId="6">
    <w:abstractNumId w:val="1"/>
  </w:num>
  <w:num w:numId="7">
    <w:abstractNumId w:val="25"/>
  </w:num>
  <w:num w:numId="8">
    <w:abstractNumId w:val="7"/>
  </w:num>
  <w:num w:numId="9">
    <w:abstractNumId w:val="24"/>
  </w:num>
  <w:num w:numId="10">
    <w:abstractNumId w:val="13"/>
  </w:num>
  <w:num w:numId="11">
    <w:abstractNumId w:val="22"/>
  </w:num>
  <w:num w:numId="12">
    <w:abstractNumId w:val="7"/>
    <w:lvlOverride w:ilvl="0">
      <w:startOverride w:val="1"/>
    </w:lvlOverride>
  </w:num>
  <w:num w:numId="13">
    <w:abstractNumId w:val="6"/>
  </w:num>
  <w:num w:numId="14">
    <w:abstractNumId w:val="7"/>
    <w:lvlOverride w:ilvl="0">
      <w:startOverride w:val="1"/>
    </w:lvlOverride>
  </w:num>
  <w:num w:numId="15">
    <w:abstractNumId w:val="21"/>
  </w:num>
  <w:num w:numId="16">
    <w:abstractNumId w:val="7"/>
    <w:lvlOverride w:ilvl="0">
      <w:startOverride w:val="1"/>
    </w:lvlOverride>
  </w:num>
  <w:num w:numId="17">
    <w:abstractNumId w:val="9"/>
  </w:num>
  <w:num w:numId="18">
    <w:abstractNumId w:val="7"/>
    <w:lvlOverride w:ilvl="0">
      <w:startOverride w:val="1"/>
    </w:lvlOverride>
  </w:num>
  <w:num w:numId="19">
    <w:abstractNumId w:val="2"/>
  </w:num>
  <w:num w:numId="20">
    <w:abstractNumId w:val="7"/>
    <w:lvlOverride w:ilvl="0">
      <w:startOverride w:val="1"/>
    </w:lvlOverride>
  </w:num>
  <w:num w:numId="21">
    <w:abstractNumId w:val="3"/>
  </w:num>
  <w:num w:numId="22">
    <w:abstractNumId w:val="30"/>
  </w:num>
  <w:num w:numId="23">
    <w:abstractNumId w:val="10"/>
  </w:num>
  <w:num w:numId="24">
    <w:abstractNumId w:val="2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18"/>
  </w:num>
  <w:num w:numId="29">
    <w:abstractNumId w:val="16"/>
  </w:num>
  <w:num w:numId="30">
    <w:abstractNumId w:val="31"/>
  </w:num>
  <w:num w:numId="31">
    <w:abstractNumId w:val="4"/>
  </w:num>
  <w:num w:numId="32">
    <w:abstractNumId w:val="26"/>
  </w:num>
  <w:num w:numId="33">
    <w:abstractNumId w:val="23"/>
  </w:num>
  <w:num w:numId="34">
    <w:abstractNumId w:val="14"/>
  </w:num>
  <w:num w:numId="35">
    <w:abstractNumId w:val="19"/>
  </w:num>
  <w:num w:numId="36">
    <w:abstractNumId w:val="17"/>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6"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332A9"/>
    <w:rsid w:val="000403D1"/>
    <w:rsid w:val="000449AA"/>
    <w:rsid w:val="00050F6B"/>
    <w:rsid w:val="0005662A"/>
    <w:rsid w:val="00072C8C"/>
    <w:rsid w:val="00073E70"/>
    <w:rsid w:val="000815DC"/>
    <w:rsid w:val="00086D32"/>
    <w:rsid w:val="000876EB"/>
    <w:rsid w:val="00091419"/>
    <w:rsid w:val="000931C0"/>
    <w:rsid w:val="000B175B"/>
    <w:rsid w:val="000B2851"/>
    <w:rsid w:val="000B3A0F"/>
    <w:rsid w:val="000B4A3B"/>
    <w:rsid w:val="000B5741"/>
    <w:rsid w:val="000C59D8"/>
    <w:rsid w:val="000C67EB"/>
    <w:rsid w:val="000D1851"/>
    <w:rsid w:val="000D1CB0"/>
    <w:rsid w:val="000E0415"/>
    <w:rsid w:val="000F18AE"/>
    <w:rsid w:val="0011247C"/>
    <w:rsid w:val="00115579"/>
    <w:rsid w:val="00121FA3"/>
    <w:rsid w:val="0013204C"/>
    <w:rsid w:val="00146D32"/>
    <w:rsid w:val="00150697"/>
    <w:rsid w:val="001509BA"/>
    <w:rsid w:val="00165C17"/>
    <w:rsid w:val="00174F96"/>
    <w:rsid w:val="001809EE"/>
    <w:rsid w:val="00185DCB"/>
    <w:rsid w:val="00190005"/>
    <w:rsid w:val="001B4B04"/>
    <w:rsid w:val="001C6663"/>
    <w:rsid w:val="001C7895"/>
    <w:rsid w:val="001D26DF"/>
    <w:rsid w:val="001D5A84"/>
    <w:rsid w:val="001E2790"/>
    <w:rsid w:val="001F4206"/>
    <w:rsid w:val="001F4DF2"/>
    <w:rsid w:val="00202197"/>
    <w:rsid w:val="00207500"/>
    <w:rsid w:val="00211E0B"/>
    <w:rsid w:val="00211E72"/>
    <w:rsid w:val="002121CA"/>
    <w:rsid w:val="00214047"/>
    <w:rsid w:val="00214957"/>
    <w:rsid w:val="0022130F"/>
    <w:rsid w:val="00235164"/>
    <w:rsid w:val="00237785"/>
    <w:rsid w:val="002410DD"/>
    <w:rsid w:val="00241466"/>
    <w:rsid w:val="0024269A"/>
    <w:rsid w:val="002452DC"/>
    <w:rsid w:val="00253D58"/>
    <w:rsid w:val="00254B60"/>
    <w:rsid w:val="00265478"/>
    <w:rsid w:val="00266BDB"/>
    <w:rsid w:val="002709EA"/>
    <w:rsid w:val="0027725F"/>
    <w:rsid w:val="002947DF"/>
    <w:rsid w:val="002A7BAB"/>
    <w:rsid w:val="002C21F0"/>
    <w:rsid w:val="002C31EA"/>
    <w:rsid w:val="002E0E4D"/>
    <w:rsid w:val="003107FA"/>
    <w:rsid w:val="0031402F"/>
    <w:rsid w:val="003210CC"/>
    <w:rsid w:val="00321E97"/>
    <w:rsid w:val="003229D8"/>
    <w:rsid w:val="003314D1"/>
    <w:rsid w:val="00335A2F"/>
    <w:rsid w:val="00341937"/>
    <w:rsid w:val="003609CA"/>
    <w:rsid w:val="00363597"/>
    <w:rsid w:val="00363605"/>
    <w:rsid w:val="003727A9"/>
    <w:rsid w:val="0038338F"/>
    <w:rsid w:val="0039277A"/>
    <w:rsid w:val="003972E0"/>
    <w:rsid w:val="003975ED"/>
    <w:rsid w:val="003B222D"/>
    <w:rsid w:val="003B36BA"/>
    <w:rsid w:val="003C05AE"/>
    <w:rsid w:val="003C2CC4"/>
    <w:rsid w:val="003D46D9"/>
    <w:rsid w:val="003D4B23"/>
    <w:rsid w:val="003D5AFC"/>
    <w:rsid w:val="003D5E5E"/>
    <w:rsid w:val="003D75CF"/>
    <w:rsid w:val="003E21AC"/>
    <w:rsid w:val="004162F3"/>
    <w:rsid w:val="0042270C"/>
    <w:rsid w:val="00424C80"/>
    <w:rsid w:val="004325CB"/>
    <w:rsid w:val="004348E8"/>
    <w:rsid w:val="00435F93"/>
    <w:rsid w:val="00444C00"/>
    <w:rsid w:val="0044503A"/>
    <w:rsid w:val="00446DE4"/>
    <w:rsid w:val="00447761"/>
    <w:rsid w:val="00451EC3"/>
    <w:rsid w:val="00466340"/>
    <w:rsid w:val="004721B1"/>
    <w:rsid w:val="00484652"/>
    <w:rsid w:val="004859EC"/>
    <w:rsid w:val="00496A15"/>
    <w:rsid w:val="004B75D2"/>
    <w:rsid w:val="004C72F2"/>
    <w:rsid w:val="004D0F6E"/>
    <w:rsid w:val="004D1140"/>
    <w:rsid w:val="004E7BC8"/>
    <w:rsid w:val="004F55ED"/>
    <w:rsid w:val="00502F9D"/>
    <w:rsid w:val="00504308"/>
    <w:rsid w:val="00506BD5"/>
    <w:rsid w:val="0052176C"/>
    <w:rsid w:val="0052322F"/>
    <w:rsid w:val="005261E5"/>
    <w:rsid w:val="005420F2"/>
    <w:rsid w:val="00542574"/>
    <w:rsid w:val="005436AB"/>
    <w:rsid w:val="00546924"/>
    <w:rsid w:val="00546DBF"/>
    <w:rsid w:val="00552E51"/>
    <w:rsid w:val="00553D76"/>
    <w:rsid w:val="005552B5"/>
    <w:rsid w:val="0056117B"/>
    <w:rsid w:val="00562621"/>
    <w:rsid w:val="00570925"/>
    <w:rsid w:val="00571365"/>
    <w:rsid w:val="00586CC7"/>
    <w:rsid w:val="00597895"/>
    <w:rsid w:val="005A0E16"/>
    <w:rsid w:val="005A2D6B"/>
    <w:rsid w:val="005B3DB3"/>
    <w:rsid w:val="005B6E48"/>
    <w:rsid w:val="005D53BE"/>
    <w:rsid w:val="005E1341"/>
    <w:rsid w:val="005E1712"/>
    <w:rsid w:val="00611FC4"/>
    <w:rsid w:val="00612776"/>
    <w:rsid w:val="006176FB"/>
    <w:rsid w:val="006325B8"/>
    <w:rsid w:val="00640B26"/>
    <w:rsid w:val="00655B60"/>
    <w:rsid w:val="006671FF"/>
    <w:rsid w:val="00670741"/>
    <w:rsid w:val="00696BD6"/>
    <w:rsid w:val="006A6B9D"/>
    <w:rsid w:val="006A7392"/>
    <w:rsid w:val="006B001E"/>
    <w:rsid w:val="006B2945"/>
    <w:rsid w:val="006B3189"/>
    <w:rsid w:val="006B6C46"/>
    <w:rsid w:val="006B7D65"/>
    <w:rsid w:val="006D6DA6"/>
    <w:rsid w:val="006E564B"/>
    <w:rsid w:val="006F13F0"/>
    <w:rsid w:val="006F3D92"/>
    <w:rsid w:val="006F5035"/>
    <w:rsid w:val="006F5B6E"/>
    <w:rsid w:val="007065EB"/>
    <w:rsid w:val="00720183"/>
    <w:rsid w:val="0072632A"/>
    <w:rsid w:val="007362CD"/>
    <w:rsid w:val="00737305"/>
    <w:rsid w:val="0074200B"/>
    <w:rsid w:val="0076430F"/>
    <w:rsid w:val="00765A5A"/>
    <w:rsid w:val="0076786B"/>
    <w:rsid w:val="007715DC"/>
    <w:rsid w:val="00776D11"/>
    <w:rsid w:val="007772EA"/>
    <w:rsid w:val="00785AB3"/>
    <w:rsid w:val="007926A7"/>
    <w:rsid w:val="007A6296"/>
    <w:rsid w:val="007A79E4"/>
    <w:rsid w:val="007B3101"/>
    <w:rsid w:val="007B6BA5"/>
    <w:rsid w:val="007C1B62"/>
    <w:rsid w:val="007C3390"/>
    <w:rsid w:val="007C4F4B"/>
    <w:rsid w:val="007C5F31"/>
    <w:rsid w:val="007D065C"/>
    <w:rsid w:val="007D2CDC"/>
    <w:rsid w:val="007D5327"/>
    <w:rsid w:val="007D71B2"/>
    <w:rsid w:val="007F6611"/>
    <w:rsid w:val="00805AC0"/>
    <w:rsid w:val="008155C3"/>
    <w:rsid w:val="008175E9"/>
    <w:rsid w:val="0082189E"/>
    <w:rsid w:val="0082243E"/>
    <w:rsid w:val="008242D7"/>
    <w:rsid w:val="0084730C"/>
    <w:rsid w:val="00856CD2"/>
    <w:rsid w:val="00861BC6"/>
    <w:rsid w:val="00871FD5"/>
    <w:rsid w:val="008847BB"/>
    <w:rsid w:val="008979B1"/>
    <w:rsid w:val="008A6B25"/>
    <w:rsid w:val="008A6C4F"/>
    <w:rsid w:val="008A729B"/>
    <w:rsid w:val="008B13C6"/>
    <w:rsid w:val="008C1E4D"/>
    <w:rsid w:val="008E0E46"/>
    <w:rsid w:val="008E6E52"/>
    <w:rsid w:val="008F50D8"/>
    <w:rsid w:val="008F5C37"/>
    <w:rsid w:val="0090452C"/>
    <w:rsid w:val="00907C3F"/>
    <w:rsid w:val="0092237C"/>
    <w:rsid w:val="009309BF"/>
    <w:rsid w:val="0093218C"/>
    <w:rsid w:val="00933CB0"/>
    <w:rsid w:val="0093699E"/>
    <w:rsid w:val="0093707B"/>
    <w:rsid w:val="009400EB"/>
    <w:rsid w:val="009427E3"/>
    <w:rsid w:val="00946575"/>
    <w:rsid w:val="00950096"/>
    <w:rsid w:val="009544BD"/>
    <w:rsid w:val="0095587E"/>
    <w:rsid w:val="00956D9B"/>
    <w:rsid w:val="00963CBA"/>
    <w:rsid w:val="009654B7"/>
    <w:rsid w:val="009853F7"/>
    <w:rsid w:val="00991261"/>
    <w:rsid w:val="009A0B83"/>
    <w:rsid w:val="009B3800"/>
    <w:rsid w:val="009C6B58"/>
    <w:rsid w:val="009D22AC"/>
    <w:rsid w:val="009D50DB"/>
    <w:rsid w:val="009E1C4E"/>
    <w:rsid w:val="009E4F42"/>
    <w:rsid w:val="009F0AD4"/>
    <w:rsid w:val="00A0036A"/>
    <w:rsid w:val="00A02127"/>
    <w:rsid w:val="00A05E0B"/>
    <w:rsid w:val="00A1427D"/>
    <w:rsid w:val="00A336BB"/>
    <w:rsid w:val="00A415FF"/>
    <w:rsid w:val="00A4304B"/>
    <w:rsid w:val="00A4634F"/>
    <w:rsid w:val="00A51CF3"/>
    <w:rsid w:val="00A63128"/>
    <w:rsid w:val="00A72F22"/>
    <w:rsid w:val="00A73D32"/>
    <w:rsid w:val="00A748A6"/>
    <w:rsid w:val="00A7633F"/>
    <w:rsid w:val="00A853D2"/>
    <w:rsid w:val="00A879A4"/>
    <w:rsid w:val="00A87E95"/>
    <w:rsid w:val="00A92E29"/>
    <w:rsid w:val="00AC5AE2"/>
    <w:rsid w:val="00AD09E9"/>
    <w:rsid w:val="00AD1B76"/>
    <w:rsid w:val="00AF0576"/>
    <w:rsid w:val="00AF0E48"/>
    <w:rsid w:val="00AF3829"/>
    <w:rsid w:val="00AF78B5"/>
    <w:rsid w:val="00B037F0"/>
    <w:rsid w:val="00B223D4"/>
    <w:rsid w:val="00B2327D"/>
    <w:rsid w:val="00B2718F"/>
    <w:rsid w:val="00B30179"/>
    <w:rsid w:val="00B3317B"/>
    <w:rsid w:val="00B334DC"/>
    <w:rsid w:val="00B3631A"/>
    <w:rsid w:val="00B408AF"/>
    <w:rsid w:val="00B505EF"/>
    <w:rsid w:val="00B53013"/>
    <w:rsid w:val="00B57844"/>
    <w:rsid w:val="00B67F5E"/>
    <w:rsid w:val="00B7068E"/>
    <w:rsid w:val="00B71EE9"/>
    <w:rsid w:val="00B73E65"/>
    <w:rsid w:val="00B81E12"/>
    <w:rsid w:val="00B87110"/>
    <w:rsid w:val="00B97FA8"/>
    <w:rsid w:val="00BA04D9"/>
    <w:rsid w:val="00BA5DFF"/>
    <w:rsid w:val="00BA79C7"/>
    <w:rsid w:val="00BC1385"/>
    <w:rsid w:val="00BC74E9"/>
    <w:rsid w:val="00BE618E"/>
    <w:rsid w:val="00BE655C"/>
    <w:rsid w:val="00BF5B3A"/>
    <w:rsid w:val="00C1349E"/>
    <w:rsid w:val="00C161FD"/>
    <w:rsid w:val="00C217E7"/>
    <w:rsid w:val="00C24693"/>
    <w:rsid w:val="00C35F0B"/>
    <w:rsid w:val="00C463DD"/>
    <w:rsid w:val="00C571A0"/>
    <w:rsid w:val="00C64458"/>
    <w:rsid w:val="00C70011"/>
    <w:rsid w:val="00C745C3"/>
    <w:rsid w:val="00C869D7"/>
    <w:rsid w:val="00CA2A58"/>
    <w:rsid w:val="00CC0B55"/>
    <w:rsid w:val="00CC6A0D"/>
    <w:rsid w:val="00CD6995"/>
    <w:rsid w:val="00CD7FE2"/>
    <w:rsid w:val="00CE0216"/>
    <w:rsid w:val="00CE4A8F"/>
    <w:rsid w:val="00CE6BB2"/>
    <w:rsid w:val="00CF0214"/>
    <w:rsid w:val="00CF586F"/>
    <w:rsid w:val="00CF7D43"/>
    <w:rsid w:val="00D10349"/>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80A0B"/>
    <w:rsid w:val="00D8321C"/>
    <w:rsid w:val="00D96D04"/>
    <w:rsid w:val="00D978C6"/>
    <w:rsid w:val="00DA67AD"/>
    <w:rsid w:val="00DB18CE"/>
    <w:rsid w:val="00DB5566"/>
    <w:rsid w:val="00DB5991"/>
    <w:rsid w:val="00DC4D3B"/>
    <w:rsid w:val="00DC6645"/>
    <w:rsid w:val="00DD2602"/>
    <w:rsid w:val="00DE3EC0"/>
    <w:rsid w:val="00DF05D1"/>
    <w:rsid w:val="00DF7181"/>
    <w:rsid w:val="00E03656"/>
    <w:rsid w:val="00E11593"/>
    <w:rsid w:val="00E12B6B"/>
    <w:rsid w:val="00E130AB"/>
    <w:rsid w:val="00E17717"/>
    <w:rsid w:val="00E21E6B"/>
    <w:rsid w:val="00E438D9"/>
    <w:rsid w:val="00E52F08"/>
    <w:rsid w:val="00E5367C"/>
    <w:rsid w:val="00E5644E"/>
    <w:rsid w:val="00E7181D"/>
    <w:rsid w:val="00E7260F"/>
    <w:rsid w:val="00E77ECC"/>
    <w:rsid w:val="00E806EE"/>
    <w:rsid w:val="00E866C8"/>
    <w:rsid w:val="00E90B8E"/>
    <w:rsid w:val="00E91CAA"/>
    <w:rsid w:val="00E92567"/>
    <w:rsid w:val="00E96630"/>
    <w:rsid w:val="00EA3F64"/>
    <w:rsid w:val="00EB0FB9"/>
    <w:rsid w:val="00ED0CA9"/>
    <w:rsid w:val="00ED1F54"/>
    <w:rsid w:val="00ED57B4"/>
    <w:rsid w:val="00ED7A2A"/>
    <w:rsid w:val="00EE1294"/>
    <w:rsid w:val="00EF1D7F"/>
    <w:rsid w:val="00EF5BDB"/>
    <w:rsid w:val="00F07FD9"/>
    <w:rsid w:val="00F122A0"/>
    <w:rsid w:val="00F23933"/>
    <w:rsid w:val="00F2402D"/>
    <w:rsid w:val="00F24119"/>
    <w:rsid w:val="00F33E0D"/>
    <w:rsid w:val="00F40E75"/>
    <w:rsid w:val="00F42CD9"/>
    <w:rsid w:val="00F52936"/>
    <w:rsid w:val="00F54083"/>
    <w:rsid w:val="00F66EB4"/>
    <w:rsid w:val="00F677CB"/>
    <w:rsid w:val="00F67B04"/>
    <w:rsid w:val="00FA73A3"/>
    <w:rsid w:val="00FA7DF3"/>
    <w:rsid w:val="00FB4197"/>
    <w:rsid w:val="00FC44AF"/>
    <w:rsid w:val="00FC4669"/>
    <w:rsid w:val="00FC68B7"/>
    <w:rsid w:val="00FD7C12"/>
    <w:rsid w:val="00FE6D7A"/>
    <w:rsid w:val="00FF5C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paragraph" w:styleId="EnvelopeReturn">
    <w:name w:val="envelope return"/>
    <w:basedOn w:val="Normal"/>
    <w:semiHidden/>
    <w:unhideWhenUsed/>
    <w:rsid w:val="0052322F"/>
    <w:pPr>
      <w:spacing w:line="240" w:lineRule="auto"/>
    </w:pPr>
    <w:rPr>
      <w:rFonts w:asciiTheme="majorHAnsi" w:eastAsiaTheme="majorEastAsia" w:hAnsiTheme="majorHAnsi" w:cstheme="majorBidi"/>
    </w:rPr>
  </w:style>
  <w:style w:type="paragraph" w:styleId="ListParagraph">
    <w:name w:val="List Paragraph"/>
    <w:basedOn w:val="Normal"/>
    <w:next w:val="Header"/>
    <w:uiPriority w:val="34"/>
    <w:qFormat/>
    <w:rsid w:val="0011247C"/>
    <w:pPr>
      <w:spacing w:after="200" w:line="276" w:lineRule="auto"/>
      <w:ind w:left="720"/>
      <w:contextualSpacing/>
    </w:pPr>
    <w:rPr>
      <w:rFonts w:ascii="Calibri" w:eastAsia="Calibri" w:hAnsi="Calibri" w:cs="Calibri"/>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615140268">
      <w:bodyDiv w:val="1"/>
      <w:marLeft w:val="0"/>
      <w:marRight w:val="0"/>
      <w:marTop w:val="0"/>
      <w:marBottom w:val="0"/>
      <w:divBdr>
        <w:top w:val="none" w:sz="0" w:space="0" w:color="auto"/>
        <w:left w:val="none" w:sz="0" w:space="0" w:color="auto"/>
        <w:bottom w:val="none" w:sz="0" w:space="0" w:color="auto"/>
        <w:right w:val="none" w:sz="0" w:space="0" w:color="auto"/>
      </w:divBdr>
    </w:div>
    <w:div w:id="843592686">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485926572">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53957182">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6D2A-BDD1-48E4-A45D-EA44ACBC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2004</Words>
  <Characters>11429</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Veronique Lanz</cp:lastModifiedBy>
  <cp:revision>2</cp:revision>
  <cp:lastPrinted>2021-06-28T07:33:00Z</cp:lastPrinted>
  <dcterms:created xsi:type="dcterms:W3CDTF">2021-09-10T10:14:00Z</dcterms:created>
  <dcterms:modified xsi:type="dcterms:W3CDTF">2021-09-10T10:14:00Z</dcterms:modified>
</cp:coreProperties>
</file>