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D08A4" w14:paraId="7F6C589E" w14:textId="77777777" w:rsidTr="00562621">
        <w:trPr>
          <w:trHeight w:val="851"/>
        </w:trPr>
        <w:tc>
          <w:tcPr>
            <w:tcW w:w="1259" w:type="dxa"/>
            <w:tcBorders>
              <w:top w:val="nil"/>
              <w:left w:val="nil"/>
              <w:bottom w:val="single" w:sz="4" w:space="0" w:color="auto"/>
              <w:right w:val="nil"/>
            </w:tcBorders>
          </w:tcPr>
          <w:p w14:paraId="2B797EF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F08556B" w14:textId="7E827823" w:rsidR="00446DE4" w:rsidRPr="00DD08A4"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DC1D099" w14:textId="29F12F8E" w:rsidR="00446DE4" w:rsidRPr="00DD08A4" w:rsidRDefault="00E97EED" w:rsidP="00053E9E">
            <w:pPr>
              <w:jc w:val="right"/>
            </w:pPr>
            <w:r w:rsidRPr="00DD08A4">
              <w:rPr>
                <w:sz w:val="40"/>
              </w:rPr>
              <w:t>A</w:t>
            </w:r>
            <w:r w:rsidRPr="00DD08A4">
              <w:t>/HRC/4</w:t>
            </w:r>
            <w:r w:rsidR="007C25EA">
              <w:t>9</w:t>
            </w:r>
            <w:r w:rsidRPr="00DD08A4">
              <w:t>/G/</w:t>
            </w:r>
            <w:r w:rsidR="007C25EA">
              <w:t>21</w:t>
            </w:r>
          </w:p>
        </w:tc>
      </w:tr>
      <w:tr w:rsidR="003107FA" w:rsidRPr="00DD08A4" w14:paraId="0735D938" w14:textId="77777777" w:rsidTr="00562621">
        <w:trPr>
          <w:trHeight w:val="2835"/>
        </w:trPr>
        <w:tc>
          <w:tcPr>
            <w:tcW w:w="1259" w:type="dxa"/>
            <w:tcBorders>
              <w:top w:val="single" w:sz="4" w:space="0" w:color="auto"/>
              <w:left w:val="nil"/>
              <w:bottom w:val="single" w:sz="12" w:space="0" w:color="auto"/>
              <w:right w:val="nil"/>
            </w:tcBorders>
          </w:tcPr>
          <w:p w14:paraId="7A9099D5" w14:textId="4115DB14" w:rsidR="003107FA" w:rsidRPr="00DD08A4"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86A8B13" w14:textId="6837D5E7" w:rsidR="003107FA" w:rsidRPr="00DD08A4" w:rsidRDefault="00DD3DF9"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A6613C5" w14:textId="77777777" w:rsidR="003107FA" w:rsidRPr="00DD08A4" w:rsidRDefault="00E97EED" w:rsidP="00E97EED">
            <w:pPr>
              <w:spacing w:before="240" w:line="240" w:lineRule="exact"/>
            </w:pPr>
            <w:r w:rsidRPr="00DD08A4">
              <w:t>Distr.: General</w:t>
            </w:r>
          </w:p>
          <w:p w14:paraId="49114B6D" w14:textId="18B1D37A" w:rsidR="00E97EED" w:rsidRPr="00DD08A4" w:rsidRDefault="009E647D" w:rsidP="00E97EED">
            <w:pPr>
              <w:spacing w:line="240" w:lineRule="exact"/>
            </w:pPr>
            <w:r>
              <w:t>1</w:t>
            </w:r>
            <w:r w:rsidR="00710B65">
              <w:t>6</w:t>
            </w:r>
            <w:r>
              <w:t xml:space="preserve"> May</w:t>
            </w:r>
            <w:r w:rsidR="007F109A">
              <w:t xml:space="preserve"> 2022</w:t>
            </w:r>
          </w:p>
          <w:p w14:paraId="37876CCA" w14:textId="77777777" w:rsidR="00E97EED" w:rsidRPr="00DD08A4" w:rsidRDefault="00E97EED" w:rsidP="00E97EED">
            <w:pPr>
              <w:spacing w:line="240" w:lineRule="exact"/>
            </w:pPr>
          </w:p>
          <w:p w14:paraId="61655334" w14:textId="77777777" w:rsidR="00E97EED" w:rsidRPr="00DD08A4" w:rsidRDefault="00E97EED" w:rsidP="00E97EED">
            <w:pPr>
              <w:spacing w:line="240" w:lineRule="exact"/>
            </w:pPr>
            <w:r w:rsidRPr="00DD08A4">
              <w:t>Original: English</w:t>
            </w:r>
          </w:p>
        </w:tc>
      </w:tr>
    </w:tbl>
    <w:p w14:paraId="37DAFF54" w14:textId="77777777" w:rsidR="00E97EED" w:rsidRPr="00DD08A4" w:rsidRDefault="00E97EED" w:rsidP="00E97EED">
      <w:pPr>
        <w:spacing w:before="120"/>
        <w:rPr>
          <w:sz w:val="24"/>
          <w:szCs w:val="24"/>
        </w:rPr>
      </w:pPr>
      <w:r w:rsidRPr="00DD08A4">
        <w:rPr>
          <w:b/>
          <w:sz w:val="24"/>
          <w:szCs w:val="24"/>
        </w:rPr>
        <w:t>Human Rights Council</w:t>
      </w:r>
    </w:p>
    <w:p w14:paraId="33FD48A6" w14:textId="77777777" w:rsidR="007C25EA" w:rsidRPr="00173D01" w:rsidRDefault="007C25EA" w:rsidP="007C25EA">
      <w:pPr>
        <w:rPr>
          <w:b/>
          <w:bCs/>
        </w:rPr>
      </w:pPr>
      <w:r w:rsidRPr="00173D01">
        <w:rPr>
          <w:b/>
          <w:bCs/>
        </w:rPr>
        <w:t>Forty-</w:t>
      </w:r>
      <w:r>
        <w:rPr>
          <w:b/>
          <w:bCs/>
        </w:rPr>
        <w:t>ninth</w:t>
      </w:r>
      <w:r w:rsidRPr="00173D01">
        <w:rPr>
          <w:b/>
          <w:bCs/>
        </w:rPr>
        <w:t xml:space="preserve"> session</w:t>
      </w:r>
    </w:p>
    <w:p w14:paraId="16D8C9F2" w14:textId="77777777" w:rsidR="007C25EA" w:rsidRPr="00173D01" w:rsidRDefault="007C25EA" w:rsidP="007C25EA">
      <w:r>
        <w:t>28 February–1 April 2022</w:t>
      </w:r>
    </w:p>
    <w:p w14:paraId="2E2F4DC9" w14:textId="77777777" w:rsidR="00A55918" w:rsidRPr="00DD08A4" w:rsidRDefault="00A55918" w:rsidP="00A55918">
      <w:r w:rsidRPr="00DD08A4">
        <w:t xml:space="preserve">Agenda item </w:t>
      </w:r>
      <w:r w:rsidR="00AE61DF" w:rsidRPr="00DD08A4">
        <w:t>4</w:t>
      </w:r>
      <w:r w:rsidRPr="00DD08A4">
        <w:t xml:space="preserve"> </w:t>
      </w:r>
    </w:p>
    <w:p w14:paraId="67C7F049" w14:textId="77777777" w:rsidR="00A55918" w:rsidRPr="00DD08A4" w:rsidRDefault="00AE61DF" w:rsidP="00A55918">
      <w:pPr>
        <w:spacing w:after="120"/>
        <w:rPr>
          <w:b/>
        </w:rPr>
      </w:pPr>
      <w:r w:rsidRPr="00DD08A4">
        <w:rPr>
          <w:b/>
        </w:rPr>
        <w:t xml:space="preserve">Human rights situations that require the Council’s attention </w:t>
      </w:r>
    </w:p>
    <w:p w14:paraId="7C5A104F" w14:textId="09CFB229" w:rsidR="00E97EED" w:rsidRPr="00DD08A4" w:rsidRDefault="00E97EED" w:rsidP="009E41F8">
      <w:pPr>
        <w:pStyle w:val="HChG"/>
        <w:jc w:val="both"/>
      </w:pPr>
      <w:r w:rsidRPr="00DD08A4">
        <w:tab/>
      </w:r>
      <w:r w:rsidRPr="00DD08A4">
        <w:tab/>
      </w:r>
      <w:r w:rsidR="003A5526" w:rsidRPr="00DD08A4">
        <w:t xml:space="preserve">Note </w:t>
      </w:r>
      <w:proofErr w:type="spellStart"/>
      <w:r w:rsidR="003A5526" w:rsidRPr="00DD08A4">
        <w:t>verbale</w:t>
      </w:r>
      <w:proofErr w:type="spellEnd"/>
      <w:r w:rsidR="003A5526" w:rsidRPr="00DD08A4">
        <w:t xml:space="preserve"> dated </w:t>
      </w:r>
      <w:r w:rsidR="007C25EA">
        <w:t>31 March</w:t>
      </w:r>
      <w:r w:rsidR="00545C52" w:rsidRPr="00DD08A4">
        <w:t xml:space="preserve"> 202</w:t>
      </w:r>
      <w:r w:rsidR="007C25EA">
        <w:t>2</w:t>
      </w:r>
      <w:r w:rsidR="003A5526" w:rsidRPr="00DD08A4">
        <w:t xml:space="preserve"> from the Permanent Mission of </w:t>
      </w:r>
      <w:r w:rsidR="00403FE8" w:rsidRPr="00DD08A4">
        <w:t>Turkey</w:t>
      </w:r>
      <w:r w:rsidR="003A5526" w:rsidRPr="00DD08A4">
        <w:t xml:space="preserve"> to the United Nations Office at Geneva addressed to the Office of the United Nations High Commissioner for Human Rights</w:t>
      </w:r>
    </w:p>
    <w:p w14:paraId="2630A734" w14:textId="2B929991" w:rsidR="004F1598" w:rsidRPr="00DD08A4" w:rsidRDefault="00AE61DF" w:rsidP="00E21E48">
      <w:pPr>
        <w:pStyle w:val="SingleTxtG"/>
        <w:ind w:firstLine="567"/>
        <w:rPr>
          <w:bCs/>
          <w:lang w:val="en-US"/>
        </w:rPr>
      </w:pPr>
      <w:r w:rsidRPr="00DD08A4">
        <w:rPr>
          <w:bCs/>
          <w:lang w:val="en-US"/>
        </w:rPr>
        <w:t>The Permanent Mission of the Republic of Turk</w:t>
      </w:r>
      <w:r w:rsidR="00E21E48" w:rsidRPr="00DD08A4">
        <w:rPr>
          <w:bCs/>
          <w:lang w:val="en-US"/>
        </w:rPr>
        <w:t xml:space="preserve">ey to the United Nations Office </w:t>
      </w:r>
      <w:r w:rsidRPr="00DD08A4">
        <w:rPr>
          <w:bCs/>
          <w:lang w:val="en-US"/>
        </w:rPr>
        <w:t xml:space="preserve">in Geneva and </w:t>
      </w:r>
      <w:r w:rsidR="00007820">
        <w:rPr>
          <w:bCs/>
          <w:lang w:val="en-US"/>
        </w:rPr>
        <w:t>other</w:t>
      </w:r>
      <w:r w:rsidR="00007820" w:rsidRPr="00DD08A4">
        <w:rPr>
          <w:bCs/>
          <w:lang w:val="en-US"/>
        </w:rPr>
        <w:t xml:space="preserve"> </w:t>
      </w:r>
      <w:r w:rsidR="001F1717" w:rsidRPr="00DD08A4">
        <w:rPr>
          <w:bCs/>
          <w:lang w:val="en-US"/>
        </w:rPr>
        <w:t>i</w:t>
      </w:r>
      <w:r w:rsidRPr="00DD08A4">
        <w:rPr>
          <w:bCs/>
          <w:lang w:val="en-US"/>
        </w:rPr>
        <w:t xml:space="preserve">nternational </w:t>
      </w:r>
      <w:r w:rsidR="001F1717" w:rsidRPr="00DD08A4">
        <w:rPr>
          <w:bCs/>
          <w:lang w:val="en-US"/>
        </w:rPr>
        <w:t>o</w:t>
      </w:r>
      <w:r w:rsidRPr="00DD08A4">
        <w:rPr>
          <w:bCs/>
          <w:lang w:val="en-US"/>
        </w:rPr>
        <w:t>rganizations in Switzerland enclose</w:t>
      </w:r>
      <w:r w:rsidR="00AF0301">
        <w:rPr>
          <w:bCs/>
          <w:lang w:val="en-US"/>
        </w:rPr>
        <w:t>s</w:t>
      </w:r>
      <w:r w:rsidRPr="00DD08A4">
        <w:rPr>
          <w:bCs/>
          <w:lang w:val="en-US"/>
        </w:rPr>
        <w:t xml:space="preserve"> herewith </w:t>
      </w:r>
      <w:r w:rsidR="00386A39" w:rsidRPr="00DD08A4">
        <w:rPr>
          <w:bCs/>
          <w:lang w:val="en-US"/>
        </w:rPr>
        <w:t xml:space="preserve">the observations of the Republic of Turkey on the report of the Independent </w:t>
      </w:r>
      <w:r w:rsidR="00E828F5" w:rsidRPr="00DD08A4">
        <w:rPr>
          <w:bCs/>
          <w:lang w:val="en-US"/>
        </w:rPr>
        <w:t xml:space="preserve">International </w:t>
      </w:r>
      <w:r w:rsidR="00386A39" w:rsidRPr="00DD08A4">
        <w:rPr>
          <w:bCs/>
          <w:lang w:val="en-US"/>
        </w:rPr>
        <w:t xml:space="preserve">Commission of Inquiry on the Syrian Arab Republic submitted to the </w:t>
      </w:r>
      <w:r w:rsidR="009917A2">
        <w:rPr>
          <w:bCs/>
          <w:lang w:val="en-US"/>
        </w:rPr>
        <w:t xml:space="preserve">Human Rights Council at its forty-ninth </w:t>
      </w:r>
      <w:r w:rsidR="00386A39" w:rsidRPr="00DD08A4">
        <w:rPr>
          <w:bCs/>
          <w:lang w:val="en-US"/>
        </w:rPr>
        <w:t>ses</w:t>
      </w:r>
      <w:r w:rsidR="001103E7" w:rsidRPr="00DD08A4">
        <w:rPr>
          <w:bCs/>
          <w:lang w:val="en-US"/>
        </w:rPr>
        <w:t xml:space="preserve">sion </w:t>
      </w:r>
      <w:r w:rsidR="001D4089">
        <w:rPr>
          <w:bCs/>
          <w:lang w:val="en-US"/>
        </w:rPr>
        <w:t>(</w:t>
      </w:r>
      <w:r w:rsidR="001D4089" w:rsidRPr="00DD08A4">
        <w:rPr>
          <w:bCs/>
          <w:lang w:val="en-US"/>
        </w:rPr>
        <w:t>A/HRC/4</w:t>
      </w:r>
      <w:r w:rsidR="001D4089">
        <w:rPr>
          <w:bCs/>
          <w:lang w:val="en-US"/>
        </w:rPr>
        <w:t>9</w:t>
      </w:r>
      <w:r w:rsidR="001D4089" w:rsidRPr="00DD08A4">
        <w:rPr>
          <w:bCs/>
          <w:lang w:val="en-US"/>
        </w:rPr>
        <w:t>/7</w:t>
      </w:r>
      <w:r w:rsidR="001D4089">
        <w:rPr>
          <w:bCs/>
          <w:lang w:val="en-US"/>
        </w:rPr>
        <w:t>7)</w:t>
      </w:r>
      <w:r w:rsidR="0039709D">
        <w:rPr>
          <w:bCs/>
          <w:lang w:val="en-US"/>
        </w:rPr>
        <w:t xml:space="preserve"> (se</w:t>
      </w:r>
      <w:r w:rsidR="00007820">
        <w:rPr>
          <w:bCs/>
          <w:lang w:val="en-US"/>
        </w:rPr>
        <w:t>e</w:t>
      </w:r>
      <w:r w:rsidR="0039709D">
        <w:rPr>
          <w:bCs/>
          <w:lang w:val="en-US"/>
        </w:rPr>
        <w:t xml:space="preserve"> annex)</w:t>
      </w:r>
      <w:r w:rsidR="00386A39" w:rsidRPr="00DD08A4">
        <w:rPr>
          <w:bCs/>
          <w:lang w:val="en-US"/>
        </w:rPr>
        <w:t>.</w:t>
      </w:r>
    </w:p>
    <w:p w14:paraId="338B3D26" w14:textId="1F23EB2C" w:rsidR="00AE61DF" w:rsidRPr="00DD08A4" w:rsidRDefault="00AE61DF" w:rsidP="00E21E48">
      <w:pPr>
        <w:pStyle w:val="SingleTxtG"/>
        <w:ind w:firstLine="567"/>
        <w:rPr>
          <w:bCs/>
        </w:rPr>
      </w:pPr>
      <w:r w:rsidRPr="00DD08A4">
        <w:rPr>
          <w:bCs/>
        </w:rPr>
        <w:t>The Permanent Mission kindly requests</w:t>
      </w:r>
      <w:r w:rsidR="0039709D">
        <w:rPr>
          <w:bCs/>
        </w:rPr>
        <w:t xml:space="preserve"> that the present note </w:t>
      </w:r>
      <w:proofErr w:type="spellStart"/>
      <w:r w:rsidR="0039709D">
        <w:rPr>
          <w:bCs/>
        </w:rPr>
        <w:t>verbale</w:t>
      </w:r>
      <w:proofErr w:type="spellEnd"/>
      <w:r w:rsidR="0039709D">
        <w:rPr>
          <w:bCs/>
        </w:rPr>
        <w:t xml:space="preserve"> and</w:t>
      </w:r>
      <w:r w:rsidRPr="00DD08A4">
        <w:rPr>
          <w:bCs/>
        </w:rPr>
        <w:t xml:space="preserve"> the </w:t>
      </w:r>
      <w:r w:rsidR="004368BA">
        <w:rPr>
          <w:bCs/>
        </w:rPr>
        <w:t>annex thereto</w:t>
      </w:r>
      <w:r w:rsidRPr="00DD08A4">
        <w:rPr>
          <w:bCs/>
        </w:rPr>
        <w:footnoteReference w:customMarkFollows="1" w:id="2"/>
        <w:t xml:space="preserve">* be issued as a document of the Human Rights Council under agenda </w:t>
      </w:r>
      <w:r w:rsidRPr="00DD08A4">
        <w:rPr>
          <w:bCs/>
          <w:noProof/>
          <w:lang w:eastAsia="en-GB"/>
        </w:rPr>
        <w:drawing>
          <wp:inline distT="0" distB="0" distL="0" distR="0" wp14:anchorId="0658C683" wp14:editId="16C4374E">
            <wp:extent cx="3232" cy="3232"/>
            <wp:effectExtent l="0" t="0" r="0" b="0"/>
            <wp:docPr id="1556" name="Picture 1556"/>
            <wp:cNvGraphicFramePr/>
            <a:graphic xmlns:a="http://schemas.openxmlformats.org/drawingml/2006/main">
              <a:graphicData uri="http://schemas.openxmlformats.org/drawingml/2006/picture">
                <pic:pic xmlns:pic="http://schemas.openxmlformats.org/drawingml/2006/picture">
                  <pic:nvPicPr>
                    <pic:cNvPr id="1556" name="Picture 1556"/>
                    <pic:cNvPicPr/>
                  </pic:nvPicPr>
                  <pic:blipFill>
                    <a:blip r:embed="rId8"/>
                    <a:stretch>
                      <a:fillRect/>
                    </a:stretch>
                  </pic:blipFill>
                  <pic:spPr>
                    <a:xfrm>
                      <a:off x="0" y="0"/>
                      <a:ext cx="3232" cy="3232"/>
                    </a:xfrm>
                    <a:prstGeom prst="rect">
                      <a:avLst/>
                    </a:prstGeom>
                  </pic:spPr>
                </pic:pic>
              </a:graphicData>
            </a:graphic>
          </wp:inline>
        </w:drawing>
      </w:r>
      <w:r w:rsidRPr="00DD08A4">
        <w:rPr>
          <w:bCs/>
        </w:rPr>
        <w:t>item 4, circulated as a U</w:t>
      </w:r>
      <w:r w:rsidR="00C4639B">
        <w:rPr>
          <w:bCs/>
        </w:rPr>
        <w:t xml:space="preserve">nited </w:t>
      </w:r>
      <w:r w:rsidRPr="00DD08A4">
        <w:rPr>
          <w:bCs/>
        </w:rPr>
        <w:t>N</w:t>
      </w:r>
      <w:r w:rsidR="00C4639B">
        <w:rPr>
          <w:bCs/>
        </w:rPr>
        <w:t>ations</w:t>
      </w:r>
      <w:r w:rsidRPr="00DD08A4">
        <w:rPr>
          <w:bCs/>
        </w:rPr>
        <w:t xml:space="preserve"> document and published on the relevant section of the website of the Council.</w:t>
      </w:r>
    </w:p>
    <w:p w14:paraId="7FB5AAAD" w14:textId="77777777" w:rsidR="00200B30" w:rsidRPr="00DD08A4" w:rsidRDefault="00200B30">
      <w:pPr>
        <w:suppressAutoHyphens w:val="0"/>
        <w:spacing w:line="240" w:lineRule="auto"/>
        <w:rPr>
          <w:rFonts w:eastAsia="Calibri"/>
          <w:bCs/>
          <w:u w:val="single"/>
        </w:rPr>
      </w:pPr>
      <w:r w:rsidRPr="00DD08A4">
        <w:rPr>
          <w:rFonts w:eastAsia="Calibri"/>
          <w:bCs/>
          <w:u w:val="single"/>
        </w:rPr>
        <w:br w:type="page"/>
      </w:r>
    </w:p>
    <w:p w14:paraId="7761A0CF" w14:textId="25C0BE65" w:rsidR="003B14A6" w:rsidRPr="007C25EA" w:rsidRDefault="009D088A" w:rsidP="007C25EA">
      <w:pPr>
        <w:pStyle w:val="HChG"/>
        <w:jc w:val="both"/>
      </w:pPr>
      <w:r w:rsidRPr="00DD08A4">
        <w:rPr>
          <w:rFonts w:eastAsia="Calibri"/>
        </w:rPr>
        <w:lastRenderedPageBreak/>
        <w:tab/>
      </w:r>
      <w:r w:rsidRPr="00DD08A4">
        <w:rPr>
          <w:rFonts w:eastAsia="Calibri"/>
        </w:rPr>
        <w:tab/>
      </w:r>
      <w:r w:rsidR="003B14A6" w:rsidRPr="007C25EA">
        <w:t xml:space="preserve">Annex to the note </w:t>
      </w:r>
      <w:proofErr w:type="spellStart"/>
      <w:r w:rsidR="003B14A6" w:rsidRPr="007C25EA">
        <w:t>verbale</w:t>
      </w:r>
      <w:proofErr w:type="spellEnd"/>
      <w:r w:rsidR="003B14A6" w:rsidRPr="007C25EA">
        <w:t xml:space="preserve"> dated </w:t>
      </w:r>
      <w:r w:rsidR="007C25EA" w:rsidRPr="007C25EA">
        <w:t xml:space="preserve">31 March 2022 </w:t>
      </w:r>
      <w:r w:rsidR="003B14A6" w:rsidRPr="007C25EA">
        <w:t>from the Permanent Mission of Turkey to the United Nations Office at Geneva addressed to the Office of the High Commissioner for Human Rights</w:t>
      </w:r>
    </w:p>
    <w:p w14:paraId="3A8A9E83" w14:textId="15ABEBF2" w:rsidR="007C25EA" w:rsidRPr="007C25EA" w:rsidRDefault="008B21A2" w:rsidP="007C25EA">
      <w:pPr>
        <w:pStyle w:val="H1G"/>
        <w:jc w:val="both"/>
        <w:rPr>
          <w:bCs/>
          <w:lang w:val="en-US"/>
        </w:rPr>
      </w:pPr>
      <w:r w:rsidRPr="00DD08A4">
        <w:tab/>
      </w:r>
      <w:r w:rsidRPr="00DD08A4">
        <w:tab/>
      </w:r>
      <w:r w:rsidR="007C25EA" w:rsidRPr="007C25EA">
        <w:rPr>
          <w:bCs/>
          <w:lang w:val="en-US"/>
        </w:rPr>
        <w:t>Observations of the Republic of Turkey on the Report of the UN Independent International Commission of Inquiry on the Syrian Arab Republic submitted to the 49</w:t>
      </w:r>
      <w:r w:rsidR="007C25EA" w:rsidRPr="007C25EA">
        <w:rPr>
          <w:bCs/>
          <w:vertAlign w:val="superscript"/>
          <w:lang w:val="en-US"/>
        </w:rPr>
        <w:t>th</w:t>
      </w:r>
      <w:r w:rsidR="007C25EA" w:rsidRPr="007C25EA">
        <w:rPr>
          <w:bCs/>
          <w:lang w:val="en-US"/>
        </w:rPr>
        <w:t xml:space="preserve"> Session of the Human Rights Council</w:t>
      </w:r>
    </w:p>
    <w:tbl>
      <w:tblPr>
        <w:tblStyle w:val="TableGrid"/>
        <w:tblW w:w="0" w:type="auto"/>
        <w:tblInd w:w="1129" w:type="dxa"/>
        <w:tblLook w:val="04A0" w:firstRow="1" w:lastRow="0" w:firstColumn="1" w:lastColumn="0" w:noHBand="0" w:noVBand="1"/>
      </w:tblPr>
      <w:tblGrid>
        <w:gridCol w:w="3402"/>
        <w:gridCol w:w="4111"/>
      </w:tblGrid>
      <w:tr w:rsidR="007C25EA" w:rsidRPr="007C25EA" w14:paraId="7EA54B8A" w14:textId="77777777" w:rsidTr="007C25EA">
        <w:tc>
          <w:tcPr>
            <w:tcW w:w="3402" w:type="dxa"/>
          </w:tcPr>
          <w:p w14:paraId="554A385D" w14:textId="77777777" w:rsidR="007C25EA" w:rsidRPr="007C25EA" w:rsidRDefault="007C25EA" w:rsidP="007C25EA">
            <w:pPr>
              <w:spacing w:before="40" w:after="120"/>
              <w:ind w:right="113"/>
              <w:rPr>
                <w:lang w:val="tr-TR"/>
              </w:rPr>
            </w:pPr>
            <w:r w:rsidRPr="007C25EA">
              <w:rPr>
                <w:lang w:val="tr-TR"/>
              </w:rPr>
              <w:t>Para.6. : “unconfirmed perpetrators involving improvised explosive devices”</w:t>
            </w:r>
          </w:p>
        </w:tc>
        <w:tc>
          <w:tcPr>
            <w:tcW w:w="4111" w:type="dxa"/>
          </w:tcPr>
          <w:p w14:paraId="7A872F72" w14:textId="77777777" w:rsidR="007C25EA" w:rsidRPr="007C25EA" w:rsidRDefault="007C25EA" w:rsidP="007C25EA">
            <w:pPr>
              <w:spacing w:before="40" w:after="120"/>
              <w:ind w:right="113"/>
              <w:rPr>
                <w:lang w:val="tr-TR"/>
              </w:rPr>
            </w:pPr>
            <w:r w:rsidRPr="007C25EA">
              <w:rPr>
                <w:lang w:val="tr-TR"/>
              </w:rPr>
              <w:t>- Despite the fact that the Commission was provided with detailed information regarding the attacks by improvised explosive devices in the north of Syria, the paragraph fails to attribute responsibility to PKK/YPG and affiliated so-called SDF.</w:t>
            </w:r>
          </w:p>
          <w:p w14:paraId="2F342612" w14:textId="77777777" w:rsidR="007C25EA" w:rsidRPr="007C25EA" w:rsidRDefault="007C25EA" w:rsidP="007C25EA">
            <w:pPr>
              <w:spacing w:before="40" w:after="120"/>
              <w:ind w:right="113"/>
              <w:rPr>
                <w:lang w:val="tr-TR"/>
              </w:rPr>
            </w:pPr>
          </w:p>
        </w:tc>
      </w:tr>
      <w:tr w:rsidR="007C25EA" w:rsidRPr="007C25EA" w14:paraId="71C2ED01" w14:textId="77777777" w:rsidTr="007C25EA">
        <w:tc>
          <w:tcPr>
            <w:tcW w:w="3402" w:type="dxa"/>
          </w:tcPr>
          <w:p w14:paraId="624B39AE" w14:textId="77777777" w:rsidR="007C25EA" w:rsidRPr="007C25EA" w:rsidRDefault="007C25EA" w:rsidP="007C25EA">
            <w:pPr>
              <w:spacing w:before="40" w:after="120"/>
              <w:ind w:right="113"/>
              <w:rPr>
                <w:lang w:val="tr-TR"/>
              </w:rPr>
            </w:pPr>
            <w:r w:rsidRPr="007C25EA">
              <w:rPr>
                <w:lang w:val="tr-TR"/>
              </w:rPr>
              <w:t>Para.7:  On ”the co-chairs representing the Government of the Syrian Arab Republic and the opposition did not agree on the next steps”</w:t>
            </w:r>
          </w:p>
        </w:tc>
        <w:tc>
          <w:tcPr>
            <w:tcW w:w="4111" w:type="dxa"/>
          </w:tcPr>
          <w:p w14:paraId="00E98BD5" w14:textId="77777777" w:rsidR="007C25EA" w:rsidRPr="007C25EA" w:rsidRDefault="007C25EA" w:rsidP="007C25EA">
            <w:pPr>
              <w:spacing w:before="40" w:after="120"/>
              <w:ind w:right="113"/>
              <w:rPr>
                <w:lang w:val="tr-TR"/>
              </w:rPr>
            </w:pPr>
            <w:r w:rsidRPr="007C25EA">
              <w:rPr>
                <w:lang w:val="tr-TR"/>
              </w:rPr>
              <w:t xml:space="preserve">-Despite the statements of the SE for Syria Geir Pedersen, the paragraph fails to mention the source of disagreement / no reference to regime’s intransigence.   </w:t>
            </w:r>
          </w:p>
          <w:p w14:paraId="1AA61D68" w14:textId="77777777" w:rsidR="007C25EA" w:rsidRPr="007C25EA" w:rsidRDefault="007C25EA" w:rsidP="007C25EA">
            <w:pPr>
              <w:spacing w:before="40" w:after="120"/>
              <w:ind w:right="113"/>
              <w:rPr>
                <w:lang w:val="tr-TR"/>
              </w:rPr>
            </w:pPr>
          </w:p>
        </w:tc>
      </w:tr>
      <w:tr w:rsidR="007C25EA" w:rsidRPr="007C25EA" w14:paraId="733E246C" w14:textId="77777777" w:rsidTr="007C25EA">
        <w:tc>
          <w:tcPr>
            <w:tcW w:w="3402" w:type="dxa"/>
          </w:tcPr>
          <w:p w14:paraId="702F43EB" w14:textId="77777777" w:rsidR="007C25EA" w:rsidRPr="007C25EA" w:rsidRDefault="007C25EA" w:rsidP="007C25EA">
            <w:pPr>
              <w:rPr>
                <w:lang w:val="tr-TR"/>
              </w:rPr>
            </w:pPr>
            <w:r w:rsidRPr="007C25EA">
              <w:rPr>
                <w:lang w:val="tr-TR"/>
              </w:rPr>
              <w:t>Para.11/ “Humanitarian needs across the country increased by more than one quarter since 2020 and are at their highest levels since the conflict in the Syrian Arab Republic began. According to the United Nations Children’s Fund (UNICEF) and the Office for the Coordination of Humanitarian Affairs, 14 million people, including 6.1 million children, require assistance while nearly 7 million people are internally displaced, including 3.1 million children. The World Food Programme estimates that 12.4 million Syrians are food insecure, which represents an increase of 4.5 million in the last year alone.”</w:t>
            </w:r>
          </w:p>
          <w:p w14:paraId="604D8D4C" w14:textId="77777777" w:rsidR="007C25EA" w:rsidRPr="007C25EA" w:rsidRDefault="007C25EA" w:rsidP="007C25EA">
            <w:pPr>
              <w:rPr>
                <w:lang w:val="tr-TR"/>
              </w:rPr>
            </w:pPr>
          </w:p>
        </w:tc>
        <w:tc>
          <w:tcPr>
            <w:tcW w:w="4111" w:type="dxa"/>
          </w:tcPr>
          <w:p w14:paraId="5AB85CCE" w14:textId="098D5614" w:rsidR="007C25EA" w:rsidRPr="007C25EA" w:rsidRDefault="007C25EA" w:rsidP="007C25EA">
            <w:pPr>
              <w:rPr>
                <w:lang w:val="tr-TR"/>
              </w:rPr>
            </w:pPr>
            <w:r w:rsidRPr="007C25EA">
              <w:rPr>
                <w:lang w:val="tr-TR"/>
              </w:rPr>
              <w:t xml:space="preserve">-Still expecting the UN to respond our question on the regime’s corruptive practices regarding the UN aid. </w:t>
            </w:r>
          </w:p>
          <w:p w14:paraId="6DCD2CD7" w14:textId="77777777" w:rsidR="007C25EA" w:rsidRPr="007C25EA" w:rsidRDefault="007C25EA" w:rsidP="007C25EA">
            <w:pPr>
              <w:rPr>
                <w:lang w:val="tr-TR"/>
              </w:rPr>
            </w:pPr>
          </w:p>
        </w:tc>
      </w:tr>
      <w:tr w:rsidR="007C25EA" w:rsidRPr="007C25EA" w14:paraId="73DE89B8" w14:textId="77777777" w:rsidTr="007C25EA">
        <w:tc>
          <w:tcPr>
            <w:tcW w:w="3402" w:type="dxa"/>
          </w:tcPr>
          <w:p w14:paraId="7DEE2106" w14:textId="77777777" w:rsidR="007C25EA" w:rsidRPr="007C25EA" w:rsidRDefault="007C25EA" w:rsidP="007C25EA">
            <w:pPr>
              <w:rPr>
                <w:lang w:val="tr-TR"/>
              </w:rPr>
            </w:pPr>
            <w:r w:rsidRPr="007C25EA">
              <w:rPr>
                <w:lang w:val="tr-TR"/>
              </w:rPr>
              <w:t>Para.12/ “Those in the north and north-east of the country faced an acute water crisis due to a combination of factors related to climate change, including low water levels of the Euphrates River, record low precipitation and higher than average temperatures. Access to water has been further diminished as a result of widespread destruction of and damage to water facilities, at times deliberate, over the course of the 11-year conflict, including at the Uluk water station, in the north-east,22 and most recently in Idlib in early January 2022. It is estimated that the country has up to 40 per cent less drinking water today than it did a decade ago”</w:t>
            </w:r>
          </w:p>
          <w:p w14:paraId="3375D7EB" w14:textId="77777777" w:rsidR="007C25EA" w:rsidRPr="007C25EA" w:rsidRDefault="007C25EA" w:rsidP="007C25EA">
            <w:pPr>
              <w:rPr>
                <w:lang w:val="tr-TR"/>
              </w:rPr>
            </w:pPr>
          </w:p>
        </w:tc>
        <w:tc>
          <w:tcPr>
            <w:tcW w:w="4111" w:type="dxa"/>
          </w:tcPr>
          <w:p w14:paraId="56D62145" w14:textId="0E2BFB03" w:rsidR="007C25EA" w:rsidRPr="007C25EA" w:rsidRDefault="007C25EA" w:rsidP="007C25EA">
            <w:pPr>
              <w:rPr>
                <w:lang w:val="tr-TR"/>
              </w:rPr>
            </w:pPr>
            <w:r w:rsidRPr="007C25EA">
              <w:rPr>
                <w:lang w:val="tr-TR"/>
              </w:rPr>
              <w:lastRenderedPageBreak/>
              <w:t>- There is no structural damage to Allouk Water Station. The station can operate at full capacity provided that it receives ininterrupted and adequate electricity power from Derbasiyah substation controlled by the terrorist organization PKK/YPG/SDF.</w:t>
            </w:r>
          </w:p>
          <w:p w14:paraId="4B3E00A7" w14:textId="484948FA" w:rsidR="007C25EA" w:rsidRPr="007C25EA" w:rsidRDefault="007C25EA" w:rsidP="007C25EA">
            <w:pPr>
              <w:rPr>
                <w:lang w:val="tr-TR"/>
              </w:rPr>
            </w:pPr>
            <w:r w:rsidRPr="007C25EA">
              <w:rPr>
                <w:lang w:val="tr-TR"/>
              </w:rPr>
              <w:t xml:space="preserve">- The ongoing crisis in Al Bab is a result of the regime’s deliberate policy to deprive the region of the provision of potable and agricultural water. </w:t>
            </w:r>
          </w:p>
          <w:p w14:paraId="24ABF4E4" w14:textId="77777777" w:rsidR="007C25EA" w:rsidRPr="007C25EA" w:rsidRDefault="007C25EA" w:rsidP="007C25EA">
            <w:pPr>
              <w:rPr>
                <w:lang w:val="tr-TR"/>
              </w:rPr>
            </w:pPr>
            <w:r w:rsidRPr="007C25EA">
              <w:rPr>
                <w:lang w:val="tr-TR"/>
              </w:rPr>
              <w:t>- It is estimated that the country has up to 40 per cent less drinking water today than it did a decade ago.</w:t>
            </w:r>
          </w:p>
        </w:tc>
      </w:tr>
      <w:tr w:rsidR="007C25EA" w:rsidRPr="007C25EA" w14:paraId="409A48AC" w14:textId="77777777" w:rsidTr="007C25EA">
        <w:tc>
          <w:tcPr>
            <w:tcW w:w="3402" w:type="dxa"/>
          </w:tcPr>
          <w:p w14:paraId="7929655D" w14:textId="77777777" w:rsidR="007C25EA" w:rsidRPr="007C25EA" w:rsidRDefault="007C25EA" w:rsidP="007C25EA">
            <w:pPr>
              <w:rPr>
                <w:lang w:val="tr-TR"/>
              </w:rPr>
            </w:pPr>
            <w:r w:rsidRPr="007C25EA">
              <w:rPr>
                <w:lang w:val="tr-TR"/>
              </w:rPr>
              <w:t>Para 15/ “Security Council resolution 2585 (2021), which was extended on 11 January 2022 without a vote, allowed cross-border United Nations humanitarian assistance in the northwest of the Syrian Arab Republic to continue only through the Bab al-Hawa crossing. Nevertheless, the delivery of critical aid was hindered by insufficient funding, the continued closure of additional border crossings, and impediments to cross-line operations in the northwest, including attacks along the aid route in territory controlled by Hay’at Tahrir al-Sham”</w:t>
            </w:r>
          </w:p>
          <w:p w14:paraId="44229B11" w14:textId="77777777" w:rsidR="007C25EA" w:rsidRPr="007C25EA" w:rsidRDefault="007C25EA" w:rsidP="007C25EA">
            <w:pPr>
              <w:rPr>
                <w:lang w:val="tr-TR"/>
              </w:rPr>
            </w:pPr>
          </w:p>
        </w:tc>
        <w:tc>
          <w:tcPr>
            <w:tcW w:w="4111" w:type="dxa"/>
          </w:tcPr>
          <w:p w14:paraId="6BE80F27" w14:textId="77777777" w:rsidR="007C25EA" w:rsidRPr="007C25EA" w:rsidRDefault="007C25EA" w:rsidP="007C25EA">
            <w:pPr>
              <w:rPr>
                <w:lang w:val="tr-TR"/>
              </w:rPr>
            </w:pPr>
            <w:r w:rsidRPr="007C25EA">
              <w:rPr>
                <w:lang w:val="tr-TR"/>
              </w:rPr>
              <w:t>- Continuous increase in the ceasefire violations in Idlib by the regime forces affects the humanitarian aid efforts negatively.</w:t>
            </w:r>
          </w:p>
        </w:tc>
      </w:tr>
      <w:tr w:rsidR="007C25EA" w:rsidRPr="007C25EA" w14:paraId="34907247" w14:textId="77777777" w:rsidTr="007C25EA">
        <w:tc>
          <w:tcPr>
            <w:tcW w:w="3402" w:type="dxa"/>
          </w:tcPr>
          <w:p w14:paraId="0D9BD946" w14:textId="77777777" w:rsidR="007C25EA" w:rsidRPr="007C25EA" w:rsidRDefault="007C25EA" w:rsidP="007C25EA">
            <w:pPr>
              <w:rPr>
                <w:lang w:val="tr-TR"/>
              </w:rPr>
            </w:pPr>
            <w:r w:rsidRPr="007C25EA">
              <w:rPr>
                <w:lang w:val="tr-TR"/>
              </w:rPr>
              <w:t>Para. 45 and onwards / On the Measures affecting property rights</w:t>
            </w:r>
          </w:p>
        </w:tc>
        <w:tc>
          <w:tcPr>
            <w:tcW w:w="4111" w:type="dxa"/>
          </w:tcPr>
          <w:p w14:paraId="0AB2D6EC" w14:textId="77777777" w:rsidR="007C25EA" w:rsidRPr="007C25EA" w:rsidRDefault="007C25EA" w:rsidP="007C25EA">
            <w:pPr>
              <w:rPr>
                <w:lang w:val="tr-TR"/>
              </w:rPr>
            </w:pPr>
            <w:r w:rsidRPr="007C25EA">
              <w:rPr>
                <w:lang w:val="tr-TR"/>
              </w:rPr>
              <w:t xml:space="preserve">-In addition to the elements included in the report,  regime’s hampering practices for Syrians who want to go back to their homes such as, unlawful confiscation of property, imposing punishment (from imposing fines to death penalty) for the returnees should be mentioned in the report.   </w:t>
            </w:r>
          </w:p>
          <w:p w14:paraId="09EBC27A" w14:textId="77777777" w:rsidR="007C25EA" w:rsidRPr="007C25EA" w:rsidRDefault="007C25EA" w:rsidP="007C25EA">
            <w:pPr>
              <w:rPr>
                <w:lang w:val="tr-TR"/>
              </w:rPr>
            </w:pPr>
          </w:p>
        </w:tc>
      </w:tr>
      <w:tr w:rsidR="007C25EA" w:rsidRPr="007C25EA" w14:paraId="57D101E8" w14:textId="77777777" w:rsidTr="007C25EA">
        <w:tc>
          <w:tcPr>
            <w:tcW w:w="3402" w:type="dxa"/>
          </w:tcPr>
          <w:p w14:paraId="627F352F" w14:textId="77777777" w:rsidR="007C25EA" w:rsidRPr="007C25EA" w:rsidRDefault="007C25EA" w:rsidP="007C25EA">
            <w:pPr>
              <w:rPr>
                <w:lang w:val="tr-TR"/>
              </w:rPr>
            </w:pPr>
            <w:r w:rsidRPr="007C25EA">
              <w:rPr>
                <w:lang w:val="tr-TR"/>
              </w:rPr>
              <w:t>Para. 51 and onwards / On the Idlip and Western Aleppo</w:t>
            </w:r>
          </w:p>
        </w:tc>
        <w:tc>
          <w:tcPr>
            <w:tcW w:w="4111" w:type="dxa"/>
          </w:tcPr>
          <w:p w14:paraId="31A203E7" w14:textId="77777777" w:rsidR="007C25EA" w:rsidRPr="007C25EA" w:rsidRDefault="007C25EA" w:rsidP="007C25EA">
            <w:pPr>
              <w:rPr>
                <w:lang w:val="tr-TR"/>
              </w:rPr>
            </w:pPr>
            <w:r w:rsidRPr="007C25EA">
              <w:rPr>
                <w:lang w:val="tr-TR"/>
              </w:rPr>
              <w:t>-Although the report openly refers to the attacks by the regime to civilians in Idlib and western Aleppo, there is no reference to the attacks by the PKK/YPG terrorist organization to civilians living in the region. Moreover, there is no response to our request for UN investigation on the attacks to civilian targets such as hospitals and water stations.</w:t>
            </w:r>
          </w:p>
          <w:p w14:paraId="2F7C8A43" w14:textId="77777777" w:rsidR="007C25EA" w:rsidRPr="007C25EA" w:rsidRDefault="007C25EA" w:rsidP="007C25EA">
            <w:pPr>
              <w:rPr>
                <w:lang w:val="tr-TR"/>
              </w:rPr>
            </w:pPr>
          </w:p>
        </w:tc>
      </w:tr>
      <w:tr w:rsidR="007C25EA" w:rsidRPr="007C25EA" w14:paraId="51054CE1" w14:textId="77777777" w:rsidTr="007C25EA">
        <w:tc>
          <w:tcPr>
            <w:tcW w:w="3402" w:type="dxa"/>
          </w:tcPr>
          <w:p w14:paraId="0F26C93A" w14:textId="77777777" w:rsidR="007C25EA" w:rsidRPr="007C25EA" w:rsidRDefault="007C25EA" w:rsidP="007C25EA">
            <w:pPr>
              <w:rPr>
                <w:lang w:val="tr-TR"/>
              </w:rPr>
            </w:pPr>
            <w:r w:rsidRPr="007C25EA">
              <w:rPr>
                <w:lang w:val="tr-TR"/>
              </w:rPr>
              <w:t>Para. 74 and onwards / On the northern Aleppo, Ras al-Ayn and Tal Abyad Regions</w:t>
            </w:r>
          </w:p>
        </w:tc>
        <w:tc>
          <w:tcPr>
            <w:tcW w:w="4111" w:type="dxa"/>
          </w:tcPr>
          <w:p w14:paraId="6CE78FEC" w14:textId="3E818313" w:rsidR="007C25EA" w:rsidRPr="007C25EA" w:rsidRDefault="007C25EA" w:rsidP="007C25EA">
            <w:pPr>
              <w:rPr>
                <w:lang w:val="tr-TR"/>
              </w:rPr>
            </w:pPr>
            <w:r w:rsidRPr="007C25EA">
              <w:rPr>
                <w:lang w:val="tr-TR"/>
              </w:rPr>
              <w:t xml:space="preserve">- Despite the fact that the Commission was provided with detailed information regarding the attacks by improvised explosive devices in the region, the report fails to attribute responsibility in some paragraphs for the attacks to the PKK/YPG and affiliated so- called SDF terrorist organization. Only implicit responsibility attributed to so-called SDF for the attacks to civilians appears. The report also fails to mention martyred Turkish soldiers by the PKK/YPG. </w:t>
            </w:r>
          </w:p>
          <w:p w14:paraId="0A8939F0" w14:textId="77777777" w:rsidR="007C25EA" w:rsidRPr="007C25EA" w:rsidRDefault="007C25EA" w:rsidP="007C25EA">
            <w:pPr>
              <w:rPr>
                <w:lang w:val="tr-TR"/>
              </w:rPr>
            </w:pPr>
            <w:r w:rsidRPr="007C25EA">
              <w:rPr>
                <w:lang w:val="tr-TR"/>
              </w:rPr>
              <w:t xml:space="preserve">- More investigation is needed to attribute direct responsibility for the allegations of abuses in the region. Moreover, there is no reference to exchange of letters btw Syrian Interim Government (SIG) and the Office of the SE for the Children and Armed Conflict and also SIG’s proposal for cooperation to prevent child recruitment.  </w:t>
            </w:r>
          </w:p>
          <w:p w14:paraId="4D806090" w14:textId="77777777" w:rsidR="007C25EA" w:rsidRPr="007C25EA" w:rsidRDefault="007C25EA" w:rsidP="007C25EA">
            <w:pPr>
              <w:rPr>
                <w:lang w:val="tr-TR"/>
              </w:rPr>
            </w:pPr>
          </w:p>
        </w:tc>
      </w:tr>
      <w:tr w:rsidR="007C25EA" w:rsidRPr="007C25EA" w14:paraId="66B99780" w14:textId="77777777" w:rsidTr="007C25EA">
        <w:tc>
          <w:tcPr>
            <w:tcW w:w="3402" w:type="dxa"/>
          </w:tcPr>
          <w:p w14:paraId="1D1DAC5B" w14:textId="77777777" w:rsidR="007C25EA" w:rsidRPr="007C25EA" w:rsidRDefault="007C25EA" w:rsidP="007C25EA">
            <w:pPr>
              <w:rPr>
                <w:lang w:val="tr-TR"/>
              </w:rPr>
            </w:pPr>
            <w:r w:rsidRPr="007C25EA">
              <w:rPr>
                <w:lang w:val="tr-TR"/>
              </w:rPr>
              <w:t>Para. 82 an onwards</w:t>
            </w:r>
          </w:p>
        </w:tc>
        <w:tc>
          <w:tcPr>
            <w:tcW w:w="4111" w:type="dxa"/>
          </w:tcPr>
          <w:p w14:paraId="77CC8043" w14:textId="77777777" w:rsidR="007C25EA" w:rsidRPr="007C25EA" w:rsidRDefault="007C25EA" w:rsidP="007C25EA">
            <w:pPr>
              <w:rPr>
                <w:lang w:val="tr-TR"/>
              </w:rPr>
            </w:pPr>
            <w:r w:rsidRPr="007C25EA">
              <w:rPr>
                <w:lang w:val="tr-TR"/>
              </w:rPr>
              <w:t xml:space="preserve">-“Presence of Turkish intelligence officials in interrogations” is a false allegation.  </w:t>
            </w:r>
          </w:p>
          <w:p w14:paraId="7B6181B3" w14:textId="77777777" w:rsidR="007C25EA" w:rsidRPr="007C25EA" w:rsidRDefault="007C25EA" w:rsidP="007C25EA">
            <w:pPr>
              <w:rPr>
                <w:lang w:val="tr-TR"/>
              </w:rPr>
            </w:pPr>
          </w:p>
        </w:tc>
      </w:tr>
      <w:tr w:rsidR="007C25EA" w:rsidRPr="007C25EA" w14:paraId="583CBA65" w14:textId="77777777" w:rsidTr="007C25EA">
        <w:tc>
          <w:tcPr>
            <w:tcW w:w="3402" w:type="dxa"/>
          </w:tcPr>
          <w:p w14:paraId="10FEDA27" w14:textId="77777777" w:rsidR="007C25EA" w:rsidRPr="007C25EA" w:rsidRDefault="007C25EA" w:rsidP="007C25EA">
            <w:pPr>
              <w:rPr>
                <w:lang w:val="en-US"/>
              </w:rPr>
            </w:pPr>
            <w:r w:rsidRPr="007C25EA">
              <w:rPr>
                <w:lang w:val="en-US"/>
              </w:rPr>
              <w:t>Para 93. / False evaluation regarding the role of Turkey.</w:t>
            </w:r>
          </w:p>
          <w:p w14:paraId="1C03CBBC" w14:textId="77777777" w:rsidR="007C25EA" w:rsidRPr="007C25EA" w:rsidRDefault="007C25EA" w:rsidP="007C25EA">
            <w:pPr>
              <w:rPr>
                <w:lang w:val="en-US"/>
              </w:rPr>
            </w:pPr>
          </w:p>
        </w:tc>
        <w:tc>
          <w:tcPr>
            <w:tcW w:w="4111" w:type="dxa"/>
          </w:tcPr>
          <w:p w14:paraId="4572BDF1" w14:textId="098E4B18" w:rsidR="007C25EA" w:rsidRPr="007C25EA" w:rsidRDefault="007C25EA" w:rsidP="007C25EA">
            <w:pPr>
              <w:rPr>
                <w:lang w:val="tr-TR"/>
              </w:rPr>
            </w:pPr>
            <w:r w:rsidRPr="007C25EA">
              <w:rPr>
                <w:lang w:val="tr-TR"/>
              </w:rPr>
              <w:t xml:space="preserve">-Areas that were cleared from terror due to counter-terrorism operations of the Turkish Armed Forces (TAF) and Syrian National Army (SNA) that is under the control of the Syrian Interim Government-the executive branch of the legitimate Syrian opposition-, thus deems the term “areas under effective Turkish control” false. This term also contradicts with the paragraphs referring to the control and responsibility of the Syrian National Army under section V., which in fact reflects the status quo on the ground. The Syrian National Army operates under the Ministry of Defense of the Syrian Interim Government. </w:t>
            </w:r>
          </w:p>
          <w:p w14:paraId="5DEDAEC6" w14:textId="77777777" w:rsidR="007C25EA" w:rsidRPr="007C25EA" w:rsidRDefault="007C25EA" w:rsidP="007C25EA">
            <w:pPr>
              <w:rPr>
                <w:lang w:val="tr-TR"/>
              </w:rPr>
            </w:pPr>
            <w:r w:rsidRPr="007C25EA">
              <w:rPr>
                <w:lang w:val="tr-TR"/>
              </w:rPr>
              <w:t>- Although the report mentions five countries as having military presence in Syria at para. 4, the report attributes the allegation of having “effective control” only to Turkey. This approach raises questions on the objectivity of the Commission. Then, status and responsibility of other forces should also be specified.</w:t>
            </w:r>
          </w:p>
          <w:p w14:paraId="0256D52C" w14:textId="77777777" w:rsidR="007C25EA" w:rsidRPr="007C25EA" w:rsidRDefault="007C25EA" w:rsidP="007C25EA">
            <w:pPr>
              <w:rPr>
                <w:lang w:val="tr-TR"/>
              </w:rPr>
            </w:pPr>
          </w:p>
        </w:tc>
      </w:tr>
      <w:tr w:rsidR="007C25EA" w:rsidRPr="007C25EA" w14:paraId="2C4F66E2" w14:textId="77777777" w:rsidTr="007C25EA">
        <w:tc>
          <w:tcPr>
            <w:tcW w:w="3402" w:type="dxa"/>
          </w:tcPr>
          <w:p w14:paraId="01FE1A31" w14:textId="77777777" w:rsidR="007C25EA" w:rsidRPr="007C25EA" w:rsidRDefault="007C25EA" w:rsidP="007C25EA">
            <w:pPr>
              <w:rPr>
                <w:lang w:val="en-US"/>
              </w:rPr>
            </w:pPr>
            <w:r w:rsidRPr="007C25EA">
              <w:rPr>
                <w:lang w:val="en-US"/>
              </w:rPr>
              <w:t xml:space="preserve">Para.94 and onwards/On “the north east Syrian Arab Republic” </w:t>
            </w:r>
          </w:p>
          <w:p w14:paraId="0C3F87EB" w14:textId="77777777" w:rsidR="007C25EA" w:rsidRPr="007C25EA" w:rsidRDefault="007C25EA" w:rsidP="007C25EA">
            <w:pPr>
              <w:rPr>
                <w:lang w:val="en-US"/>
              </w:rPr>
            </w:pPr>
          </w:p>
        </w:tc>
        <w:tc>
          <w:tcPr>
            <w:tcW w:w="4111" w:type="dxa"/>
          </w:tcPr>
          <w:p w14:paraId="1A95BF38" w14:textId="32E38D5E" w:rsidR="007C25EA" w:rsidRPr="007C25EA" w:rsidRDefault="007C25EA" w:rsidP="007C25EA">
            <w:pPr>
              <w:rPr>
                <w:lang w:val="tr-TR"/>
              </w:rPr>
            </w:pPr>
            <w:r w:rsidRPr="007C25EA">
              <w:rPr>
                <w:lang w:val="en-US"/>
              </w:rPr>
              <w:t>- First of all, the report fails to establish the link between the so-called “</w:t>
            </w:r>
            <w:r w:rsidRPr="007C25EA">
              <w:rPr>
                <w:i/>
                <w:iCs/>
                <w:lang w:val="en-US"/>
              </w:rPr>
              <w:t>Syrian Democratic Forces</w:t>
            </w:r>
            <w:r w:rsidRPr="007C25EA">
              <w:rPr>
                <w:lang w:val="en-US"/>
              </w:rPr>
              <w:t>” and the internationally recognized terrorist organization PKK.</w:t>
            </w:r>
          </w:p>
          <w:p w14:paraId="016B40C0" w14:textId="5EB32B15" w:rsidR="007C25EA" w:rsidRPr="007C25EA" w:rsidRDefault="007C25EA" w:rsidP="007C25EA">
            <w:pPr>
              <w:rPr>
                <w:lang w:val="en-US"/>
              </w:rPr>
            </w:pPr>
            <w:r w:rsidRPr="007C25EA">
              <w:rPr>
                <w:lang w:val="en-US"/>
              </w:rPr>
              <w:t>Secondly, report refers to the PKK/YPG-linked entity in the north east Syria as “self-administration” as if it is a legitimate authority.  The term “</w:t>
            </w:r>
            <w:proofErr w:type="spellStart"/>
            <w:r w:rsidRPr="007C25EA">
              <w:rPr>
                <w:lang w:val="en-US"/>
              </w:rPr>
              <w:t>self administration</w:t>
            </w:r>
            <w:proofErr w:type="spellEnd"/>
            <w:r w:rsidRPr="007C25EA">
              <w:rPr>
                <w:lang w:val="en-US"/>
              </w:rPr>
              <w:t xml:space="preserve">” lacks a legal basis and constitutes a deliberate attempt by the Commission to confer legitimacy to a region of a Member State, implicitly, as if it is a separate area, and upon an entity closely linked with a terrorist organization. This is a self-declared title. It has no legal basis. </w:t>
            </w:r>
          </w:p>
          <w:p w14:paraId="0A9FB7E1" w14:textId="77777777" w:rsidR="007C25EA" w:rsidRPr="007C25EA" w:rsidRDefault="007C25EA" w:rsidP="007C25EA">
            <w:pPr>
              <w:rPr>
                <w:lang w:val="tr-TR"/>
              </w:rPr>
            </w:pPr>
            <w:r w:rsidRPr="007C25EA">
              <w:rPr>
                <w:lang w:val="en-US"/>
              </w:rPr>
              <w:t xml:space="preserve">The report fails to provide the factual information that the PKK/YPG and affiliated so-called SDF, which consists minority in the area, is oppressing the Arab majority in the region, such as jailing Syrian teachers who refuse to teach Kurdish to Arab majority, moreover releases DEASH members in return of financial gains, </w:t>
            </w:r>
            <w:proofErr w:type="gramStart"/>
            <w:r w:rsidRPr="007C25EA">
              <w:rPr>
                <w:lang w:val="en-US"/>
              </w:rPr>
              <w:t>recruits</w:t>
            </w:r>
            <w:proofErr w:type="gramEnd"/>
            <w:r w:rsidRPr="007C25EA">
              <w:rPr>
                <w:lang w:val="en-US"/>
              </w:rPr>
              <w:t xml:space="preserve"> children</w:t>
            </w:r>
            <w:r w:rsidRPr="007C25EA">
              <w:rPr>
                <w:lang w:val="tr-TR"/>
              </w:rPr>
              <w:t>, violently oppressing the peaceful protesters protesting the so-called SDF, preventing Yezidis an even Syrian Kurds returning back to their homes.</w:t>
            </w:r>
          </w:p>
          <w:p w14:paraId="2C5DFA13" w14:textId="77777777" w:rsidR="007C25EA" w:rsidRPr="007C25EA" w:rsidRDefault="007C25EA" w:rsidP="007C25EA">
            <w:pPr>
              <w:rPr>
                <w:lang w:val="tr-TR"/>
              </w:rPr>
            </w:pPr>
          </w:p>
        </w:tc>
      </w:tr>
    </w:tbl>
    <w:p w14:paraId="4DF5D732" w14:textId="2F08ED0C" w:rsidR="0070670E" w:rsidRPr="00D160F9" w:rsidRDefault="00D160F9" w:rsidP="00D160F9">
      <w:pPr>
        <w:pStyle w:val="SingleTxtG"/>
        <w:spacing w:before="240" w:after="0"/>
        <w:jc w:val="center"/>
        <w:rPr>
          <w:rFonts w:eastAsia="Calibri"/>
          <w:u w:val="single"/>
        </w:rPr>
      </w:pPr>
      <w:r>
        <w:rPr>
          <w:u w:val="single"/>
        </w:rPr>
        <w:tab/>
      </w:r>
      <w:r>
        <w:rPr>
          <w:u w:val="single"/>
        </w:rPr>
        <w:tab/>
      </w:r>
      <w:r>
        <w:rPr>
          <w:u w:val="single"/>
        </w:rPr>
        <w:tab/>
      </w:r>
      <w:r w:rsidR="009E41F8">
        <w:rPr>
          <w:u w:val="single"/>
        </w:rPr>
        <w:tab/>
      </w:r>
    </w:p>
    <w:sectPr w:rsidR="0070670E" w:rsidRPr="00D160F9" w:rsidSect="00E97EED">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3055C" w14:textId="77777777" w:rsidR="007E7BAB" w:rsidRDefault="007E7BAB"/>
  </w:endnote>
  <w:endnote w:type="continuationSeparator" w:id="0">
    <w:p w14:paraId="5E77FDD4" w14:textId="77777777" w:rsidR="007E7BAB" w:rsidRDefault="007E7BAB"/>
  </w:endnote>
  <w:endnote w:type="continuationNotice" w:id="1">
    <w:p w14:paraId="20C417FD" w14:textId="77777777" w:rsidR="007E7BAB" w:rsidRDefault="007E7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A24A" w14:textId="5F322C7A" w:rsidR="00A931D1" w:rsidRPr="00E97EED" w:rsidRDefault="00A931D1"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DD3DF9">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98DA" w14:textId="23C4675C" w:rsidR="00A931D1" w:rsidRPr="00E97EED" w:rsidRDefault="00A931D1"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DD3DF9">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11B75" w14:textId="77777777" w:rsidR="007E7BAB" w:rsidRPr="000B175B" w:rsidRDefault="007E7BAB" w:rsidP="000B175B">
      <w:pPr>
        <w:tabs>
          <w:tab w:val="right" w:pos="2155"/>
        </w:tabs>
        <w:spacing w:after="80"/>
        <w:ind w:left="680"/>
        <w:rPr>
          <w:u w:val="single"/>
        </w:rPr>
      </w:pPr>
      <w:r>
        <w:rPr>
          <w:u w:val="single"/>
        </w:rPr>
        <w:tab/>
      </w:r>
    </w:p>
  </w:footnote>
  <w:footnote w:type="continuationSeparator" w:id="0">
    <w:p w14:paraId="280466D8" w14:textId="77777777" w:rsidR="007E7BAB" w:rsidRPr="00FC68B7" w:rsidRDefault="007E7BAB" w:rsidP="00FC68B7">
      <w:pPr>
        <w:tabs>
          <w:tab w:val="left" w:pos="2155"/>
        </w:tabs>
        <w:spacing w:after="80"/>
        <w:ind w:left="680"/>
        <w:rPr>
          <w:u w:val="single"/>
        </w:rPr>
      </w:pPr>
      <w:r>
        <w:rPr>
          <w:u w:val="single"/>
        </w:rPr>
        <w:tab/>
      </w:r>
    </w:p>
  </w:footnote>
  <w:footnote w:type="continuationNotice" w:id="1">
    <w:p w14:paraId="71484808" w14:textId="77777777" w:rsidR="007E7BAB" w:rsidRDefault="007E7BAB"/>
  </w:footnote>
  <w:footnote w:id="2">
    <w:p w14:paraId="571B3546" w14:textId="77777777" w:rsidR="00AE61DF" w:rsidRPr="00745265" w:rsidRDefault="00AE61DF" w:rsidP="00AE61DF">
      <w:pPr>
        <w:pStyle w:val="FootnoteText"/>
      </w:pPr>
      <w:r>
        <w:rPr>
          <w:rStyle w:val="FootnoteReference"/>
        </w:rPr>
        <w:tab/>
      </w:r>
      <w:r w:rsidRPr="00745265">
        <w:rPr>
          <w:rStyle w:val="FootnoteReference"/>
          <w:vertAlign w:val="baseline"/>
        </w:rPr>
        <w:t>*</w:t>
      </w:r>
      <w:r w:rsidRPr="00745265">
        <w:rPr>
          <w:rStyle w:val="FootnoteReference"/>
          <w:vertAlign w:val="baseline"/>
        </w:rPr>
        <w:tab/>
      </w:r>
      <w:r w:rsidRPr="00DD08A4">
        <w:rPr>
          <w:rStyle w:val="FootnoteReference"/>
          <w:vertAlign w:val="baseline"/>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A45D3" w14:textId="729431A7" w:rsidR="00A931D1" w:rsidRPr="00E97EED" w:rsidRDefault="00A931D1">
    <w:pPr>
      <w:pStyle w:val="Header"/>
    </w:pPr>
    <w:r>
      <w:t>A/HRC/4</w:t>
    </w:r>
    <w:r w:rsidR="007C25EA">
      <w:t>9</w:t>
    </w:r>
    <w:r>
      <w:t>/G/</w:t>
    </w:r>
    <w:r w:rsidR="007C25EA">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9CA9" w14:textId="6A363C45" w:rsidR="00A931D1" w:rsidRPr="00E97EED" w:rsidRDefault="00A931D1" w:rsidP="00E97EED">
    <w:pPr>
      <w:pStyle w:val="Header"/>
      <w:jc w:val="right"/>
    </w:pPr>
    <w:r>
      <w:t>A/HRC/4</w:t>
    </w:r>
    <w:r w:rsidR="0045702E">
      <w:t>9</w:t>
    </w:r>
    <w:r w:rsidR="00B7077C">
      <w:t>/G/</w:t>
    </w:r>
    <w:r w:rsidR="0045702E">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7462A9"/>
    <w:multiLevelType w:val="hybridMultilevel"/>
    <w:tmpl w:val="17E62078"/>
    <w:lvl w:ilvl="0" w:tplc="2500E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40AFF"/>
    <w:multiLevelType w:val="hybridMultilevel"/>
    <w:tmpl w:val="0BA4CED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15:restartNumberingAfterBreak="0">
    <w:nsid w:val="230A5F56"/>
    <w:multiLevelType w:val="hybridMultilevel"/>
    <w:tmpl w:val="4014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C4B93"/>
    <w:multiLevelType w:val="hybridMultilevel"/>
    <w:tmpl w:val="04F80B76"/>
    <w:styleLink w:val="ImportierterStil1"/>
    <w:lvl w:ilvl="0" w:tplc="08A865BA">
      <w:start w:val="1"/>
      <w:numFmt w:val="bullet"/>
      <w:lvlText w:val="·"/>
      <w:lvlJc w:val="left"/>
      <w:pPr>
        <w:tabs>
          <w:tab w:val="num" w:pos="67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1" w:hanging="328"/>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CC8241A">
      <w:start w:val="1"/>
      <w:numFmt w:val="bullet"/>
      <w:lvlText w:val="o"/>
      <w:lvlJc w:val="left"/>
      <w:pPr>
        <w:tabs>
          <w:tab w:val="left" w:pos="679"/>
          <w:tab w:val="left" w:pos="708"/>
          <w:tab w:val="num" w:pos="1395"/>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407" w:hanging="2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8AECF6E">
      <w:start w:val="1"/>
      <w:numFmt w:val="bullet"/>
      <w:lvlText w:val="▪"/>
      <w:lvlJc w:val="left"/>
      <w:pPr>
        <w:tabs>
          <w:tab w:val="left" w:pos="679"/>
          <w:tab w:val="left" w:pos="708"/>
          <w:tab w:val="left" w:pos="1416"/>
          <w:tab w:val="num" w:pos="2104"/>
          <w:tab w:val="left" w:pos="2124"/>
          <w:tab w:val="left" w:pos="2832"/>
          <w:tab w:val="left" w:pos="3540"/>
          <w:tab w:val="left" w:pos="4248"/>
          <w:tab w:val="left" w:pos="4956"/>
          <w:tab w:val="left" w:pos="5664"/>
          <w:tab w:val="left" w:pos="6372"/>
          <w:tab w:val="left" w:pos="7080"/>
          <w:tab w:val="left" w:pos="7788"/>
          <w:tab w:val="left" w:pos="8496"/>
          <w:tab w:val="left" w:pos="8566"/>
        </w:tabs>
        <w:ind w:left="2116"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F60D260">
      <w:start w:val="1"/>
      <w:numFmt w:val="bullet"/>
      <w:lvlText w:val="·"/>
      <w:lvlJc w:val="left"/>
      <w:pPr>
        <w:tabs>
          <w:tab w:val="left" w:pos="679"/>
          <w:tab w:val="left" w:pos="708"/>
          <w:tab w:val="left" w:pos="1416"/>
          <w:tab w:val="left" w:pos="2124"/>
          <w:tab w:val="num" w:pos="2813"/>
          <w:tab w:val="left" w:pos="2832"/>
          <w:tab w:val="left" w:pos="3540"/>
          <w:tab w:val="left" w:pos="4248"/>
          <w:tab w:val="left" w:pos="4956"/>
          <w:tab w:val="left" w:pos="5664"/>
          <w:tab w:val="left" w:pos="6372"/>
          <w:tab w:val="left" w:pos="7080"/>
          <w:tab w:val="left" w:pos="7788"/>
          <w:tab w:val="left" w:pos="8496"/>
          <w:tab w:val="left" w:pos="8566"/>
        </w:tabs>
        <w:ind w:left="2825"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2C651F2">
      <w:start w:val="1"/>
      <w:numFmt w:val="bullet"/>
      <w:lvlText w:val="o"/>
      <w:lvlJc w:val="left"/>
      <w:pPr>
        <w:tabs>
          <w:tab w:val="left" w:pos="679"/>
          <w:tab w:val="left" w:pos="708"/>
          <w:tab w:val="left" w:pos="1416"/>
          <w:tab w:val="left" w:pos="2124"/>
          <w:tab w:val="left" w:pos="2832"/>
          <w:tab w:val="num" w:pos="3522"/>
          <w:tab w:val="left" w:pos="3540"/>
          <w:tab w:val="left" w:pos="4248"/>
          <w:tab w:val="left" w:pos="4956"/>
          <w:tab w:val="left" w:pos="5664"/>
          <w:tab w:val="left" w:pos="6372"/>
          <w:tab w:val="left" w:pos="7080"/>
          <w:tab w:val="left" w:pos="7788"/>
          <w:tab w:val="left" w:pos="8496"/>
          <w:tab w:val="left" w:pos="8566"/>
        </w:tabs>
        <w:ind w:left="3534" w:hanging="2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EA21DCE">
      <w:start w:val="1"/>
      <w:numFmt w:val="bullet"/>
      <w:lvlText w:val="▪"/>
      <w:lvlJc w:val="left"/>
      <w:pPr>
        <w:tabs>
          <w:tab w:val="left" w:pos="679"/>
          <w:tab w:val="left" w:pos="708"/>
          <w:tab w:val="left" w:pos="1416"/>
          <w:tab w:val="left" w:pos="2124"/>
          <w:tab w:val="left" w:pos="2832"/>
          <w:tab w:val="left" w:pos="3540"/>
          <w:tab w:val="num" w:pos="4231"/>
          <w:tab w:val="left" w:pos="4248"/>
          <w:tab w:val="left" w:pos="4956"/>
          <w:tab w:val="left" w:pos="5664"/>
          <w:tab w:val="left" w:pos="6372"/>
          <w:tab w:val="left" w:pos="7080"/>
          <w:tab w:val="left" w:pos="7788"/>
          <w:tab w:val="left" w:pos="8496"/>
          <w:tab w:val="left" w:pos="8566"/>
        </w:tabs>
        <w:ind w:left="4243" w:hanging="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AEEABF14">
      <w:start w:val="1"/>
      <w:numFmt w:val="bullet"/>
      <w:lvlText w:val="·"/>
      <w:lvlJc w:val="left"/>
      <w:pPr>
        <w:tabs>
          <w:tab w:val="left" w:pos="679"/>
          <w:tab w:val="left" w:pos="708"/>
          <w:tab w:val="left" w:pos="1416"/>
          <w:tab w:val="left" w:pos="2124"/>
          <w:tab w:val="left" w:pos="2832"/>
          <w:tab w:val="left" w:pos="3540"/>
          <w:tab w:val="left" w:pos="4248"/>
          <w:tab w:val="num" w:pos="4940"/>
          <w:tab w:val="left" w:pos="4956"/>
          <w:tab w:val="left" w:pos="5664"/>
          <w:tab w:val="left" w:pos="6372"/>
          <w:tab w:val="left" w:pos="7080"/>
          <w:tab w:val="left" w:pos="7788"/>
          <w:tab w:val="left" w:pos="8496"/>
          <w:tab w:val="left" w:pos="8566"/>
        </w:tabs>
        <w:ind w:left="4952" w:hanging="19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E96DB9C">
      <w:start w:val="1"/>
      <w:numFmt w:val="bullet"/>
      <w:lvlText w:val="o"/>
      <w:lvlJc w:val="left"/>
      <w:pPr>
        <w:tabs>
          <w:tab w:val="left" w:pos="679"/>
          <w:tab w:val="left" w:pos="708"/>
          <w:tab w:val="left" w:pos="1416"/>
          <w:tab w:val="left" w:pos="2124"/>
          <w:tab w:val="left" w:pos="2832"/>
          <w:tab w:val="left" w:pos="3540"/>
          <w:tab w:val="left" w:pos="4248"/>
          <w:tab w:val="left" w:pos="4956"/>
          <w:tab w:val="num" w:pos="5649"/>
          <w:tab w:val="left" w:pos="5664"/>
          <w:tab w:val="left" w:pos="6372"/>
          <w:tab w:val="left" w:pos="7080"/>
          <w:tab w:val="left" w:pos="7788"/>
          <w:tab w:val="left" w:pos="8496"/>
          <w:tab w:val="left" w:pos="8566"/>
        </w:tabs>
        <w:ind w:left="5661" w:hanging="1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60FA4C">
      <w:start w:val="1"/>
      <w:numFmt w:val="bullet"/>
      <w:lvlText w:val="▪"/>
      <w:lvlJc w:val="left"/>
      <w:pPr>
        <w:tabs>
          <w:tab w:val="left" w:pos="679"/>
          <w:tab w:val="left" w:pos="708"/>
          <w:tab w:val="left" w:pos="1416"/>
          <w:tab w:val="left" w:pos="2124"/>
          <w:tab w:val="left" w:pos="2832"/>
          <w:tab w:val="left" w:pos="3540"/>
          <w:tab w:val="left" w:pos="4248"/>
          <w:tab w:val="left" w:pos="4956"/>
          <w:tab w:val="left" w:pos="5664"/>
          <w:tab w:val="num" w:pos="6358"/>
          <w:tab w:val="left" w:pos="6372"/>
          <w:tab w:val="left" w:pos="7080"/>
          <w:tab w:val="left" w:pos="7788"/>
          <w:tab w:val="left" w:pos="8496"/>
          <w:tab w:val="left" w:pos="8566"/>
        </w:tabs>
        <w:ind w:left="6370" w:hanging="1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 w15:restartNumberingAfterBreak="0">
    <w:nsid w:val="23DF6B02"/>
    <w:multiLevelType w:val="hybridMultilevel"/>
    <w:tmpl w:val="D0EC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1161B"/>
    <w:multiLevelType w:val="hybridMultilevel"/>
    <w:tmpl w:val="8182D10A"/>
    <w:lvl w:ilvl="0" w:tplc="0409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1080" w:hanging="360"/>
      </w:pPr>
      <w:rPr>
        <w:rFonts w:ascii="Wingdings" w:hAnsi="Wingdings" w:hint="default"/>
      </w:rPr>
    </w:lvl>
    <w:lvl w:ilvl="3" w:tplc="041F0001" w:tentative="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11"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44FCF"/>
    <w:multiLevelType w:val="hybridMultilevel"/>
    <w:tmpl w:val="0338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F4C3B"/>
    <w:multiLevelType w:val="hybridMultilevel"/>
    <w:tmpl w:val="276CBBE2"/>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F40F4"/>
    <w:multiLevelType w:val="hybridMultilevel"/>
    <w:tmpl w:val="3012ADD8"/>
    <w:lvl w:ilvl="0" w:tplc="0409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2D92E2A"/>
    <w:multiLevelType w:val="hybridMultilevel"/>
    <w:tmpl w:val="7E2C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D34EA"/>
    <w:multiLevelType w:val="hybridMultilevel"/>
    <w:tmpl w:val="04F80B76"/>
    <w:numStyleLink w:val="ImportierterStil1"/>
  </w:abstractNum>
  <w:abstractNum w:abstractNumId="18" w15:restartNumberingAfterBreak="0">
    <w:nsid w:val="59671D50"/>
    <w:multiLevelType w:val="hybridMultilevel"/>
    <w:tmpl w:val="E9F60432"/>
    <w:lvl w:ilvl="0" w:tplc="041F0001">
      <w:start w:val="1"/>
      <w:numFmt w:val="bullet"/>
      <w:lvlText w:val=""/>
      <w:lvlJc w:val="left"/>
      <w:pPr>
        <w:ind w:left="450" w:hanging="360"/>
      </w:pPr>
      <w:rPr>
        <w:rFonts w:ascii="Symbol" w:hAnsi="Symbol" w:hint="default"/>
      </w:rPr>
    </w:lvl>
    <w:lvl w:ilvl="1" w:tplc="15747300">
      <w:start w:val="1"/>
      <w:numFmt w:val="bullet"/>
      <w:lvlText w:val="o"/>
      <w:lvlJc w:val="left"/>
      <w:pPr>
        <w:ind w:left="630" w:hanging="360"/>
      </w:pPr>
      <w:rPr>
        <w:rFonts w:ascii="Courier New" w:hAnsi="Courier New" w:cs="Courier New" w:hint="default"/>
        <w:color w:val="auto"/>
      </w:rPr>
    </w:lvl>
    <w:lvl w:ilvl="2" w:tplc="041F0005">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9" w15:restartNumberingAfterBreak="0">
    <w:nsid w:val="5D432E12"/>
    <w:multiLevelType w:val="hybridMultilevel"/>
    <w:tmpl w:val="03005238"/>
    <w:lvl w:ilvl="0" w:tplc="BFD286CA">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B2919"/>
    <w:multiLevelType w:val="hybridMultilevel"/>
    <w:tmpl w:val="F6DAD38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510DF"/>
    <w:multiLevelType w:val="hybridMultilevel"/>
    <w:tmpl w:val="E1C857A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87149F4"/>
    <w:multiLevelType w:val="hybridMultilevel"/>
    <w:tmpl w:val="D0A00D7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5" w15:restartNumberingAfterBreak="0">
    <w:nsid w:val="7F4B2E47"/>
    <w:multiLevelType w:val="hybridMultilevel"/>
    <w:tmpl w:val="5496758E"/>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14"/>
  </w:num>
  <w:num w:numId="2">
    <w:abstractNumId w:val="5"/>
  </w:num>
  <w:num w:numId="3">
    <w:abstractNumId w:val="23"/>
  </w:num>
  <w:num w:numId="4">
    <w:abstractNumId w:val="3"/>
  </w:num>
  <w:num w:numId="5">
    <w:abstractNumId w:val="0"/>
  </w:num>
  <w:num w:numId="6">
    <w:abstractNumId w:val="1"/>
  </w:num>
  <w:num w:numId="7">
    <w:abstractNumId w:val="21"/>
  </w:num>
  <w:num w:numId="8">
    <w:abstractNumId w:val="2"/>
  </w:num>
  <w:num w:numId="9">
    <w:abstractNumId w:val="11"/>
  </w:num>
  <w:num w:numId="10">
    <w:abstractNumId w:val="19"/>
  </w:num>
  <w:num w:numId="11">
    <w:abstractNumId w:val="25"/>
  </w:num>
  <w:num w:numId="12">
    <w:abstractNumId w:val="22"/>
  </w:num>
  <w:num w:numId="13">
    <w:abstractNumId w:val="10"/>
  </w:num>
  <w:num w:numId="14">
    <w:abstractNumId w:val="6"/>
  </w:num>
  <w:num w:numId="15">
    <w:abstractNumId w:val="20"/>
  </w:num>
  <w:num w:numId="16">
    <w:abstractNumId w:val="24"/>
  </w:num>
  <w:num w:numId="17">
    <w:abstractNumId w:val="15"/>
  </w:num>
  <w:num w:numId="18">
    <w:abstractNumId w:val="8"/>
  </w:num>
  <w:num w:numId="19">
    <w:abstractNumId w:val="4"/>
  </w:num>
  <w:num w:numId="20">
    <w:abstractNumId w:val="17"/>
    <w:lvlOverride w:ilvl="0">
      <w:lvl w:ilvl="0" w:tplc="838621B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A22D86">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8566"/>
          </w:tabs>
          <w:ind w:left="1416"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F44B0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8566"/>
          </w:tabs>
          <w:ind w:left="2124"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120598">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8566"/>
          </w:tabs>
          <w:ind w:left="2832" w:hanging="2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CCD144">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8566"/>
          </w:tabs>
          <w:ind w:left="3540"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D09BAE">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8566"/>
          </w:tabs>
          <w:ind w:left="4248" w:hanging="2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804ED8">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566"/>
          </w:tabs>
          <w:ind w:left="4956" w:hanging="2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EE78F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8566"/>
          </w:tabs>
          <w:ind w:left="5664"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709A6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8566"/>
          </w:tabs>
          <w:ind w:left="6372" w:hanging="1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6"/>
  </w:num>
  <w:num w:numId="22">
    <w:abstractNumId w:val="7"/>
  </w:num>
  <w:num w:numId="23">
    <w:abstractNumId w:val="13"/>
  </w:num>
  <w:num w:numId="24">
    <w:abstractNumId w:val="18"/>
  </w:num>
  <w:num w:numId="25">
    <w:abstractNumId w:val="17"/>
    <w:lvlOverride w:ilvl="0">
      <w:lvl w:ilvl="0" w:tplc="838621B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44"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1">
      <w:lvl w:ilvl="1" w:tplc="54A22D86" w:tentative="1">
        <w:start w:val="1"/>
        <w:numFmt w:val="bullet"/>
        <w:lvlText w:val="o"/>
        <w:lvlJc w:val="left"/>
        <w:pPr>
          <w:ind w:left="1440" w:hanging="360"/>
        </w:pPr>
        <w:rPr>
          <w:rFonts w:ascii="Courier New" w:hAnsi="Courier New" w:cs="Courier New" w:hint="default"/>
        </w:rPr>
      </w:lvl>
    </w:lvlOverride>
    <w:lvlOverride w:ilvl="2">
      <w:lvl w:ilvl="2" w:tplc="F5F44B00" w:tentative="1">
        <w:start w:val="1"/>
        <w:numFmt w:val="bullet"/>
        <w:lvlText w:val=""/>
        <w:lvlJc w:val="left"/>
        <w:pPr>
          <w:ind w:left="2160" w:hanging="360"/>
        </w:pPr>
        <w:rPr>
          <w:rFonts w:ascii="Wingdings" w:hAnsi="Wingdings" w:hint="default"/>
        </w:rPr>
      </w:lvl>
    </w:lvlOverride>
    <w:lvlOverride w:ilvl="3">
      <w:lvl w:ilvl="3" w:tplc="C3120598" w:tentative="1">
        <w:start w:val="1"/>
        <w:numFmt w:val="bullet"/>
        <w:lvlText w:val=""/>
        <w:lvlJc w:val="left"/>
        <w:pPr>
          <w:ind w:left="2880" w:hanging="360"/>
        </w:pPr>
        <w:rPr>
          <w:rFonts w:ascii="Symbol" w:hAnsi="Symbol" w:hint="default"/>
        </w:rPr>
      </w:lvl>
    </w:lvlOverride>
    <w:lvlOverride w:ilvl="4">
      <w:lvl w:ilvl="4" w:tplc="FCCCD144" w:tentative="1">
        <w:start w:val="1"/>
        <w:numFmt w:val="bullet"/>
        <w:lvlText w:val="o"/>
        <w:lvlJc w:val="left"/>
        <w:pPr>
          <w:ind w:left="3600" w:hanging="360"/>
        </w:pPr>
        <w:rPr>
          <w:rFonts w:ascii="Courier New" w:hAnsi="Courier New" w:cs="Courier New" w:hint="default"/>
        </w:rPr>
      </w:lvl>
    </w:lvlOverride>
    <w:lvlOverride w:ilvl="5">
      <w:lvl w:ilvl="5" w:tplc="CED09BAE" w:tentative="1">
        <w:start w:val="1"/>
        <w:numFmt w:val="bullet"/>
        <w:lvlText w:val=""/>
        <w:lvlJc w:val="left"/>
        <w:pPr>
          <w:ind w:left="4320" w:hanging="360"/>
        </w:pPr>
        <w:rPr>
          <w:rFonts w:ascii="Wingdings" w:hAnsi="Wingdings" w:hint="default"/>
        </w:rPr>
      </w:lvl>
    </w:lvlOverride>
    <w:lvlOverride w:ilvl="6">
      <w:lvl w:ilvl="6" w:tplc="10804ED8" w:tentative="1">
        <w:start w:val="1"/>
        <w:numFmt w:val="bullet"/>
        <w:lvlText w:val=""/>
        <w:lvlJc w:val="left"/>
        <w:pPr>
          <w:ind w:left="5040" w:hanging="360"/>
        </w:pPr>
        <w:rPr>
          <w:rFonts w:ascii="Symbol" w:hAnsi="Symbol" w:hint="default"/>
        </w:rPr>
      </w:lvl>
    </w:lvlOverride>
    <w:lvlOverride w:ilvl="7">
      <w:lvl w:ilvl="7" w:tplc="3BEE78F0" w:tentative="1">
        <w:start w:val="1"/>
        <w:numFmt w:val="bullet"/>
        <w:lvlText w:val="o"/>
        <w:lvlJc w:val="left"/>
        <w:pPr>
          <w:ind w:left="5760" w:hanging="360"/>
        </w:pPr>
        <w:rPr>
          <w:rFonts w:ascii="Courier New" w:hAnsi="Courier New" w:cs="Courier New" w:hint="default"/>
        </w:rPr>
      </w:lvl>
    </w:lvlOverride>
    <w:lvlOverride w:ilvl="8">
      <w:lvl w:ilvl="8" w:tplc="F8709A6E" w:tentative="1">
        <w:start w:val="1"/>
        <w:numFmt w:val="bullet"/>
        <w:lvlText w:val=""/>
        <w:lvlJc w:val="left"/>
        <w:pPr>
          <w:ind w:left="6480" w:hanging="360"/>
        </w:pPr>
        <w:rPr>
          <w:rFonts w:ascii="Wingdings" w:hAnsi="Wingdings" w:hint="default"/>
        </w:rPr>
      </w:lvl>
    </w:lvlOverride>
  </w:num>
  <w:num w:numId="26">
    <w:abstractNumId w:val="9"/>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ZA" w:vendorID="64" w:dllVersion="6" w:nlCheck="1" w:checkStyle="1"/>
  <w:activeWritingStyle w:appName="MSWord" w:lang="en-US" w:vendorID="64" w:dllVersion="6" w:nlCheck="1" w:checkStyle="0"/>
  <w:activeWritingStyle w:appName="MSWord" w:lang="fr-CA" w:vendorID="64" w:dllVersion="6" w:nlCheck="1" w:checkStyle="0"/>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820"/>
    <w:rsid w:val="00007F7F"/>
    <w:rsid w:val="00015A34"/>
    <w:rsid w:val="00022DB5"/>
    <w:rsid w:val="0002336C"/>
    <w:rsid w:val="000403D1"/>
    <w:rsid w:val="00041D88"/>
    <w:rsid w:val="000434F8"/>
    <w:rsid w:val="000449AA"/>
    <w:rsid w:val="0004560E"/>
    <w:rsid w:val="00050F6B"/>
    <w:rsid w:val="00053E9E"/>
    <w:rsid w:val="0005662A"/>
    <w:rsid w:val="00072C8C"/>
    <w:rsid w:val="00073E70"/>
    <w:rsid w:val="00076DB5"/>
    <w:rsid w:val="00081CA9"/>
    <w:rsid w:val="0008548D"/>
    <w:rsid w:val="00086832"/>
    <w:rsid w:val="000876EB"/>
    <w:rsid w:val="00091419"/>
    <w:rsid w:val="000931C0"/>
    <w:rsid w:val="000A11F7"/>
    <w:rsid w:val="000B086B"/>
    <w:rsid w:val="000B175B"/>
    <w:rsid w:val="000B2851"/>
    <w:rsid w:val="000B3A0F"/>
    <w:rsid w:val="000B4A3B"/>
    <w:rsid w:val="000B5C1B"/>
    <w:rsid w:val="000C59D8"/>
    <w:rsid w:val="000D1851"/>
    <w:rsid w:val="000E0415"/>
    <w:rsid w:val="000F183A"/>
    <w:rsid w:val="001103E7"/>
    <w:rsid w:val="001129EB"/>
    <w:rsid w:val="001234F8"/>
    <w:rsid w:val="00125795"/>
    <w:rsid w:val="0012611F"/>
    <w:rsid w:val="00146D32"/>
    <w:rsid w:val="001509BA"/>
    <w:rsid w:val="00167F00"/>
    <w:rsid w:val="00177E93"/>
    <w:rsid w:val="001B4B04"/>
    <w:rsid w:val="001C6663"/>
    <w:rsid w:val="001C7895"/>
    <w:rsid w:val="001D26DF"/>
    <w:rsid w:val="001D4089"/>
    <w:rsid w:val="001D739E"/>
    <w:rsid w:val="001E2790"/>
    <w:rsid w:val="001F1717"/>
    <w:rsid w:val="00200B30"/>
    <w:rsid w:val="002012C8"/>
    <w:rsid w:val="002043DB"/>
    <w:rsid w:val="00210DAA"/>
    <w:rsid w:val="00211E0B"/>
    <w:rsid w:val="00211E72"/>
    <w:rsid w:val="00214047"/>
    <w:rsid w:val="0022130F"/>
    <w:rsid w:val="00237785"/>
    <w:rsid w:val="002377F9"/>
    <w:rsid w:val="002410DD"/>
    <w:rsid w:val="002412C5"/>
    <w:rsid w:val="00241466"/>
    <w:rsid w:val="00247FF9"/>
    <w:rsid w:val="00253D58"/>
    <w:rsid w:val="002540E3"/>
    <w:rsid w:val="00262CBC"/>
    <w:rsid w:val="0027725F"/>
    <w:rsid w:val="002839F9"/>
    <w:rsid w:val="00286124"/>
    <w:rsid w:val="00293F28"/>
    <w:rsid w:val="002A11CD"/>
    <w:rsid w:val="002A3185"/>
    <w:rsid w:val="002A7BAB"/>
    <w:rsid w:val="002C21F0"/>
    <w:rsid w:val="002E6596"/>
    <w:rsid w:val="003107FA"/>
    <w:rsid w:val="003155DC"/>
    <w:rsid w:val="003229D8"/>
    <w:rsid w:val="00325C39"/>
    <w:rsid w:val="003314D1"/>
    <w:rsid w:val="00335A2F"/>
    <w:rsid w:val="00341937"/>
    <w:rsid w:val="003469B9"/>
    <w:rsid w:val="00347D35"/>
    <w:rsid w:val="0035022F"/>
    <w:rsid w:val="0038445F"/>
    <w:rsid w:val="00384EEA"/>
    <w:rsid w:val="00386A39"/>
    <w:rsid w:val="003924E4"/>
    <w:rsid w:val="0039277A"/>
    <w:rsid w:val="003953E7"/>
    <w:rsid w:val="0039709D"/>
    <w:rsid w:val="003972E0"/>
    <w:rsid w:val="003975ED"/>
    <w:rsid w:val="003A09C0"/>
    <w:rsid w:val="003A5526"/>
    <w:rsid w:val="003B14A6"/>
    <w:rsid w:val="003C2CC4"/>
    <w:rsid w:val="003D4AFF"/>
    <w:rsid w:val="003D4B23"/>
    <w:rsid w:val="003E41F5"/>
    <w:rsid w:val="003F3192"/>
    <w:rsid w:val="00403FE8"/>
    <w:rsid w:val="00404F91"/>
    <w:rsid w:val="00424421"/>
    <w:rsid w:val="00424C80"/>
    <w:rsid w:val="004325CB"/>
    <w:rsid w:val="004368BA"/>
    <w:rsid w:val="0044503A"/>
    <w:rsid w:val="00446DE4"/>
    <w:rsid w:val="00447761"/>
    <w:rsid w:val="00451EC3"/>
    <w:rsid w:val="0045702E"/>
    <w:rsid w:val="004606F3"/>
    <w:rsid w:val="004721B1"/>
    <w:rsid w:val="0048212E"/>
    <w:rsid w:val="004855A7"/>
    <w:rsid w:val="004859EC"/>
    <w:rsid w:val="00496A15"/>
    <w:rsid w:val="004B739C"/>
    <w:rsid w:val="004B75D2"/>
    <w:rsid w:val="004C0AB2"/>
    <w:rsid w:val="004D1140"/>
    <w:rsid w:val="004E3CEF"/>
    <w:rsid w:val="004F088F"/>
    <w:rsid w:val="004F1598"/>
    <w:rsid w:val="004F55ED"/>
    <w:rsid w:val="00502BAF"/>
    <w:rsid w:val="00516D01"/>
    <w:rsid w:val="0052176C"/>
    <w:rsid w:val="00524700"/>
    <w:rsid w:val="005260E9"/>
    <w:rsid w:val="005261E5"/>
    <w:rsid w:val="005420F2"/>
    <w:rsid w:val="00542574"/>
    <w:rsid w:val="00543245"/>
    <w:rsid w:val="005436AB"/>
    <w:rsid w:val="00545C52"/>
    <w:rsid w:val="00546675"/>
    <w:rsid w:val="00546924"/>
    <w:rsid w:val="00546DBF"/>
    <w:rsid w:val="00553D76"/>
    <w:rsid w:val="005552B5"/>
    <w:rsid w:val="0055531D"/>
    <w:rsid w:val="0056117B"/>
    <w:rsid w:val="00562621"/>
    <w:rsid w:val="00571365"/>
    <w:rsid w:val="00572B8A"/>
    <w:rsid w:val="005837E5"/>
    <w:rsid w:val="005A0E16"/>
    <w:rsid w:val="005A6661"/>
    <w:rsid w:val="005B3706"/>
    <w:rsid w:val="005B3DB3"/>
    <w:rsid w:val="005B6E48"/>
    <w:rsid w:val="005C19DC"/>
    <w:rsid w:val="005C67D5"/>
    <w:rsid w:val="005D4C24"/>
    <w:rsid w:val="005D53BE"/>
    <w:rsid w:val="005E1712"/>
    <w:rsid w:val="005E2A5B"/>
    <w:rsid w:val="00611FC4"/>
    <w:rsid w:val="006176FB"/>
    <w:rsid w:val="00640B26"/>
    <w:rsid w:val="00655B60"/>
    <w:rsid w:val="006679F0"/>
    <w:rsid w:val="00670741"/>
    <w:rsid w:val="006912F7"/>
    <w:rsid w:val="00695E86"/>
    <w:rsid w:val="00696BD6"/>
    <w:rsid w:val="006A6B9D"/>
    <w:rsid w:val="006A7392"/>
    <w:rsid w:val="006B3189"/>
    <w:rsid w:val="006B7D65"/>
    <w:rsid w:val="006C0230"/>
    <w:rsid w:val="006C716C"/>
    <w:rsid w:val="006D169A"/>
    <w:rsid w:val="006D3067"/>
    <w:rsid w:val="006D5504"/>
    <w:rsid w:val="006D6DA6"/>
    <w:rsid w:val="006E564B"/>
    <w:rsid w:val="006F13F0"/>
    <w:rsid w:val="006F5035"/>
    <w:rsid w:val="006F5777"/>
    <w:rsid w:val="007065EB"/>
    <w:rsid w:val="0070670E"/>
    <w:rsid w:val="00710B65"/>
    <w:rsid w:val="00720183"/>
    <w:rsid w:val="00722568"/>
    <w:rsid w:val="00724228"/>
    <w:rsid w:val="0072632A"/>
    <w:rsid w:val="00726A74"/>
    <w:rsid w:val="0074200B"/>
    <w:rsid w:val="007660CB"/>
    <w:rsid w:val="00771C9C"/>
    <w:rsid w:val="00774493"/>
    <w:rsid w:val="007A6296"/>
    <w:rsid w:val="007A79E4"/>
    <w:rsid w:val="007B6BA5"/>
    <w:rsid w:val="007C1B62"/>
    <w:rsid w:val="007C25EA"/>
    <w:rsid w:val="007C3390"/>
    <w:rsid w:val="007C4F4B"/>
    <w:rsid w:val="007D2CDC"/>
    <w:rsid w:val="007D5327"/>
    <w:rsid w:val="007E19D2"/>
    <w:rsid w:val="007E49EE"/>
    <w:rsid w:val="007E7BAB"/>
    <w:rsid w:val="007F109A"/>
    <w:rsid w:val="007F6611"/>
    <w:rsid w:val="008057C2"/>
    <w:rsid w:val="00813A7C"/>
    <w:rsid w:val="008155C3"/>
    <w:rsid w:val="008175E9"/>
    <w:rsid w:val="0082243E"/>
    <w:rsid w:val="008242D7"/>
    <w:rsid w:val="00856CD2"/>
    <w:rsid w:val="00861BC6"/>
    <w:rsid w:val="00871FD5"/>
    <w:rsid w:val="008847BB"/>
    <w:rsid w:val="008946B0"/>
    <w:rsid w:val="008979B1"/>
    <w:rsid w:val="008A3E56"/>
    <w:rsid w:val="008A6141"/>
    <w:rsid w:val="008A6B25"/>
    <w:rsid w:val="008A6C4F"/>
    <w:rsid w:val="008B0225"/>
    <w:rsid w:val="008B21A2"/>
    <w:rsid w:val="008C1E4D"/>
    <w:rsid w:val="008C5B00"/>
    <w:rsid w:val="008D777F"/>
    <w:rsid w:val="008E0E46"/>
    <w:rsid w:val="008F7742"/>
    <w:rsid w:val="00900F39"/>
    <w:rsid w:val="0090452C"/>
    <w:rsid w:val="00904DF3"/>
    <w:rsid w:val="00907C3F"/>
    <w:rsid w:val="0092237C"/>
    <w:rsid w:val="009233F3"/>
    <w:rsid w:val="00933A5B"/>
    <w:rsid w:val="0093707B"/>
    <w:rsid w:val="009400EB"/>
    <w:rsid w:val="009427E3"/>
    <w:rsid w:val="00946575"/>
    <w:rsid w:val="00956D9B"/>
    <w:rsid w:val="00963CBA"/>
    <w:rsid w:val="009654B7"/>
    <w:rsid w:val="009702B2"/>
    <w:rsid w:val="0098449A"/>
    <w:rsid w:val="009852B3"/>
    <w:rsid w:val="0099079E"/>
    <w:rsid w:val="00990DA5"/>
    <w:rsid w:val="00991261"/>
    <w:rsid w:val="009917A2"/>
    <w:rsid w:val="00993E3B"/>
    <w:rsid w:val="009A0B83"/>
    <w:rsid w:val="009A2E31"/>
    <w:rsid w:val="009A40B9"/>
    <w:rsid w:val="009A7665"/>
    <w:rsid w:val="009B3800"/>
    <w:rsid w:val="009C7179"/>
    <w:rsid w:val="009D088A"/>
    <w:rsid w:val="009D22AC"/>
    <w:rsid w:val="009D50DB"/>
    <w:rsid w:val="009E1C4E"/>
    <w:rsid w:val="009E41F8"/>
    <w:rsid w:val="009E5DBA"/>
    <w:rsid w:val="009E647D"/>
    <w:rsid w:val="009E7218"/>
    <w:rsid w:val="009E7B56"/>
    <w:rsid w:val="009F45B3"/>
    <w:rsid w:val="00A0036A"/>
    <w:rsid w:val="00A05E0B"/>
    <w:rsid w:val="00A06193"/>
    <w:rsid w:val="00A1427D"/>
    <w:rsid w:val="00A258CF"/>
    <w:rsid w:val="00A43B36"/>
    <w:rsid w:val="00A4634F"/>
    <w:rsid w:val="00A51CF3"/>
    <w:rsid w:val="00A55918"/>
    <w:rsid w:val="00A55ACF"/>
    <w:rsid w:val="00A72F22"/>
    <w:rsid w:val="00A73D32"/>
    <w:rsid w:val="00A748A6"/>
    <w:rsid w:val="00A879A4"/>
    <w:rsid w:val="00A87E95"/>
    <w:rsid w:val="00A92E29"/>
    <w:rsid w:val="00A931D1"/>
    <w:rsid w:val="00AA654D"/>
    <w:rsid w:val="00AC56BA"/>
    <w:rsid w:val="00AC5AE2"/>
    <w:rsid w:val="00AD09E9"/>
    <w:rsid w:val="00AE61DF"/>
    <w:rsid w:val="00AF0301"/>
    <w:rsid w:val="00AF0576"/>
    <w:rsid w:val="00AF3628"/>
    <w:rsid w:val="00AF3829"/>
    <w:rsid w:val="00B037F0"/>
    <w:rsid w:val="00B05875"/>
    <w:rsid w:val="00B124B2"/>
    <w:rsid w:val="00B2327D"/>
    <w:rsid w:val="00B2718F"/>
    <w:rsid w:val="00B27A0C"/>
    <w:rsid w:val="00B30179"/>
    <w:rsid w:val="00B3317B"/>
    <w:rsid w:val="00B334DC"/>
    <w:rsid w:val="00B34563"/>
    <w:rsid w:val="00B3631A"/>
    <w:rsid w:val="00B425F1"/>
    <w:rsid w:val="00B53013"/>
    <w:rsid w:val="00B67F5E"/>
    <w:rsid w:val="00B7077C"/>
    <w:rsid w:val="00B73E65"/>
    <w:rsid w:val="00B81E12"/>
    <w:rsid w:val="00B85D90"/>
    <w:rsid w:val="00B87110"/>
    <w:rsid w:val="00B95669"/>
    <w:rsid w:val="00B97FA8"/>
    <w:rsid w:val="00BA3546"/>
    <w:rsid w:val="00BA569F"/>
    <w:rsid w:val="00BA5D03"/>
    <w:rsid w:val="00BB00EC"/>
    <w:rsid w:val="00BB3D57"/>
    <w:rsid w:val="00BC1385"/>
    <w:rsid w:val="00BC74E9"/>
    <w:rsid w:val="00BD087E"/>
    <w:rsid w:val="00BD4E6C"/>
    <w:rsid w:val="00BE618E"/>
    <w:rsid w:val="00BE655C"/>
    <w:rsid w:val="00C2088B"/>
    <w:rsid w:val="00C217E7"/>
    <w:rsid w:val="00C219FA"/>
    <w:rsid w:val="00C24693"/>
    <w:rsid w:val="00C27B63"/>
    <w:rsid w:val="00C35F0B"/>
    <w:rsid w:val="00C3655E"/>
    <w:rsid w:val="00C4639B"/>
    <w:rsid w:val="00C463DD"/>
    <w:rsid w:val="00C53BD8"/>
    <w:rsid w:val="00C53ECC"/>
    <w:rsid w:val="00C562B3"/>
    <w:rsid w:val="00C64458"/>
    <w:rsid w:val="00C70486"/>
    <w:rsid w:val="00C73AE0"/>
    <w:rsid w:val="00C745C3"/>
    <w:rsid w:val="00C75E01"/>
    <w:rsid w:val="00C9594F"/>
    <w:rsid w:val="00C96511"/>
    <w:rsid w:val="00CA13F3"/>
    <w:rsid w:val="00CA2A58"/>
    <w:rsid w:val="00CB1352"/>
    <w:rsid w:val="00CB634E"/>
    <w:rsid w:val="00CC0B55"/>
    <w:rsid w:val="00CD6995"/>
    <w:rsid w:val="00CE4A8F"/>
    <w:rsid w:val="00CF0214"/>
    <w:rsid w:val="00CF36E3"/>
    <w:rsid w:val="00CF586F"/>
    <w:rsid w:val="00CF7D43"/>
    <w:rsid w:val="00D11129"/>
    <w:rsid w:val="00D160F9"/>
    <w:rsid w:val="00D168CF"/>
    <w:rsid w:val="00D2031B"/>
    <w:rsid w:val="00D22332"/>
    <w:rsid w:val="00D25FE2"/>
    <w:rsid w:val="00D31289"/>
    <w:rsid w:val="00D43252"/>
    <w:rsid w:val="00D43B23"/>
    <w:rsid w:val="00D50AB8"/>
    <w:rsid w:val="00D550F9"/>
    <w:rsid w:val="00D572B0"/>
    <w:rsid w:val="00D62E90"/>
    <w:rsid w:val="00D6588A"/>
    <w:rsid w:val="00D76BE5"/>
    <w:rsid w:val="00D9115D"/>
    <w:rsid w:val="00D91638"/>
    <w:rsid w:val="00D96278"/>
    <w:rsid w:val="00D978C6"/>
    <w:rsid w:val="00DA67AD"/>
    <w:rsid w:val="00DA742B"/>
    <w:rsid w:val="00DB18CE"/>
    <w:rsid w:val="00DB5566"/>
    <w:rsid w:val="00DC5600"/>
    <w:rsid w:val="00DD08A4"/>
    <w:rsid w:val="00DD3DF9"/>
    <w:rsid w:val="00DE3EC0"/>
    <w:rsid w:val="00DE5B7B"/>
    <w:rsid w:val="00E10D2C"/>
    <w:rsid w:val="00E11593"/>
    <w:rsid w:val="00E12B6B"/>
    <w:rsid w:val="00E130AB"/>
    <w:rsid w:val="00E21E48"/>
    <w:rsid w:val="00E32AB1"/>
    <w:rsid w:val="00E438D9"/>
    <w:rsid w:val="00E460A3"/>
    <w:rsid w:val="00E559AB"/>
    <w:rsid w:val="00E5644E"/>
    <w:rsid w:val="00E6025A"/>
    <w:rsid w:val="00E7260F"/>
    <w:rsid w:val="00E806EE"/>
    <w:rsid w:val="00E8211D"/>
    <w:rsid w:val="00E828F5"/>
    <w:rsid w:val="00E96630"/>
    <w:rsid w:val="00E97EED"/>
    <w:rsid w:val="00EB0FB9"/>
    <w:rsid w:val="00EC4CB8"/>
    <w:rsid w:val="00ED0CA9"/>
    <w:rsid w:val="00ED1291"/>
    <w:rsid w:val="00ED7A2A"/>
    <w:rsid w:val="00EE5B31"/>
    <w:rsid w:val="00EE6A62"/>
    <w:rsid w:val="00EE6B71"/>
    <w:rsid w:val="00EF1D7F"/>
    <w:rsid w:val="00EF5BDB"/>
    <w:rsid w:val="00F02895"/>
    <w:rsid w:val="00F07FD9"/>
    <w:rsid w:val="00F23933"/>
    <w:rsid w:val="00F24119"/>
    <w:rsid w:val="00F40E75"/>
    <w:rsid w:val="00F42CD9"/>
    <w:rsid w:val="00F4568A"/>
    <w:rsid w:val="00F528D7"/>
    <w:rsid w:val="00F52936"/>
    <w:rsid w:val="00F54083"/>
    <w:rsid w:val="00F677CB"/>
    <w:rsid w:val="00F67B04"/>
    <w:rsid w:val="00F768C1"/>
    <w:rsid w:val="00F96C21"/>
    <w:rsid w:val="00FA10EE"/>
    <w:rsid w:val="00FA7DF3"/>
    <w:rsid w:val="00FB58D6"/>
    <w:rsid w:val="00FC0640"/>
    <w:rsid w:val="00FC68B7"/>
    <w:rsid w:val="00FD2CD3"/>
    <w:rsid w:val="00FD304E"/>
    <w:rsid w:val="00FD7C12"/>
    <w:rsid w:val="00FE4445"/>
    <w:rsid w:val="00FF4B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93BBA"/>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7C2"/>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qFormat/>
    <w:rsid w:val="00086832"/>
    <w:pPr>
      <w:ind w:left="720"/>
      <w:contextualSpacing/>
    </w:pPr>
  </w:style>
  <w:style w:type="character" w:customStyle="1" w:styleId="FootnoteTextChar">
    <w:name w:val="Footnote Text Char"/>
    <w:aliases w:val="5_G Char"/>
    <w:basedOn w:val="DefaultParagraphFont"/>
    <w:link w:val="FootnoteText"/>
    <w:uiPriority w:val="99"/>
    <w:rsid w:val="00FA10EE"/>
    <w:rPr>
      <w:sz w:val="18"/>
      <w:lang w:val="en-GB" w:eastAsia="en-US"/>
    </w:rPr>
  </w:style>
  <w:style w:type="numbering" w:customStyle="1" w:styleId="ImportierterStil1">
    <w:name w:val="Importierter Stil: 1"/>
    <w:rsid w:val="00B34563"/>
    <w:pPr>
      <w:numPr>
        <w:numId w:val="18"/>
      </w:numPr>
    </w:pPr>
  </w:style>
  <w:style w:type="paragraph" w:styleId="NormalWeb">
    <w:name w:val="Normal (Web)"/>
    <w:basedOn w:val="Normal"/>
    <w:uiPriority w:val="99"/>
    <w:unhideWhenUsed/>
    <w:rsid w:val="00386A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F76D-8127-4B59-AA3C-64C267F0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4</Pages>
  <Words>1283</Words>
  <Characters>7315</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Veronique Lanz</cp:lastModifiedBy>
  <cp:revision>2</cp:revision>
  <cp:lastPrinted>2008-01-29T08:30:00Z</cp:lastPrinted>
  <dcterms:created xsi:type="dcterms:W3CDTF">2022-05-16T13:26:00Z</dcterms:created>
  <dcterms:modified xsi:type="dcterms:W3CDTF">2022-05-16T13:26:00Z</dcterms:modified>
</cp:coreProperties>
</file>