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81"/>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55F3A" w:rsidRPr="00495DB5" w14:paraId="2F6AE380" w14:textId="77777777" w:rsidTr="00F55F3A">
        <w:trPr>
          <w:trHeight w:val="851"/>
        </w:trPr>
        <w:tc>
          <w:tcPr>
            <w:tcW w:w="1259" w:type="dxa"/>
            <w:tcBorders>
              <w:top w:val="nil"/>
              <w:left w:val="nil"/>
              <w:bottom w:val="single" w:sz="4" w:space="0" w:color="auto"/>
              <w:right w:val="nil"/>
            </w:tcBorders>
          </w:tcPr>
          <w:p w14:paraId="1AA8FEDF" w14:textId="77777777" w:rsidR="00F55F3A" w:rsidRPr="00577915" w:rsidRDefault="00F55F3A" w:rsidP="00F55F3A">
            <w:pPr>
              <w:pStyle w:val="Heading3"/>
              <w:suppressAutoHyphens/>
            </w:pPr>
          </w:p>
        </w:tc>
        <w:tc>
          <w:tcPr>
            <w:tcW w:w="2236" w:type="dxa"/>
            <w:tcBorders>
              <w:top w:val="nil"/>
              <w:left w:val="nil"/>
              <w:bottom w:val="single" w:sz="4" w:space="0" w:color="auto"/>
              <w:right w:val="nil"/>
            </w:tcBorders>
            <w:vAlign w:val="bottom"/>
          </w:tcPr>
          <w:p w14:paraId="60467D83" w14:textId="5B806AA3" w:rsidR="00F55F3A" w:rsidRPr="00B67EF7" w:rsidRDefault="00F55F3A" w:rsidP="00F55F3A">
            <w:pPr>
              <w:suppressAutoHyphens/>
              <w:spacing w:after="80" w:line="300" w:lineRule="exact"/>
            </w:pPr>
            <w:bookmarkStart w:id="0" w:name="_GoBack"/>
            <w:bookmarkEnd w:id="0"/>
          </w:p>
        </w:tc>
        <w:tc>
          <w:tcPr>
            <w:tcW w:w="6144" w:type="dxa"/>
            <w:gridSpan w:val="2"/>
            <w:tcBorders>
              <w:top w:val="nil"/>
              <w:left w:val="nil"/>
              <w:bottom w:val="single" w:sz="4" w:space="0" w:color="auto"/>
              <w:right w:val="nil"/>
            </w:tcBorders>
            <w:vAlign w:val="bottom"/>
          </w:tcPr>
          <w:p w14:paraId="0B49F5E4" w14:textId="77777777" w:rsidR="00F55F3A" w:rsidRPr="002E7581" w:rsidRDefault="00F55F3A" w:rsidP="00F55F3A">
            <w:pPr>
              <w:suppressAutoHyphens/>
              <w:spacing w:after="20"/>
              <w:jc w:val="right"/>
              <w:rPr>
                <w:lang w:val="fr-CH"/>
              </w:rPr>
            </w:pPr>
            <w:r w:rsidRPr="00386994">
              <w:rPr>
                <w:sz w:val="40"/>
                <w:szCs w:val="40"/>
                <w:lang w:val="fr-CH"/>
              </w:rPr>
              <w:t>A</w:t>
            </w:r>
            <w:r w:rsidRPr="002E7581">
              <w:rPr>
                <w:lang w:val="fr-CH"/>
              </w:rPr>
              <w:t>/HRC/47/NI/</w:t>
            </w:r>
            <w:r>
              <w:rPr>
                <w:lang w:val="fr-CH"/>
              </w:rPr>
              <w:t>2</w:t>
            </w:r>
            <w:r w:rsidRPr="002E7581">
              <w:rPr>
                <w:lang w:val="fr-CH"/>
              </w:rPr>
              <w:t xml:space="preserve"> </w:t>
            </w:r>
          </w:p>
        </w:tc>
      </w:tr>
      <w:tr w:rsidR="00F55F3A" w:rsidRPr="00577915" w14:paraId="490B647F" w14:textId="77777777" w:rsidTr="00F55F3A">
        <w:trPr>
          <w:trHeight w:val="2835"/>
        </w:trPr>
        <w:tc>
          <w:tcPr>
            <w:tcW w:w="1259" w:type="dxa"/>
            <w:tcBorders>
              <w:top w:val="single" w:sz="4" w:space="0" w:color="auto"/>
              <w:left w:val="nil"/>
              <w:bottom w:val="single" w:sz="12" w:space="0" w:color="auto"/>
              <w:right w:val="nil"/>
            </w:tcBorders>
          </w:tcPr>
          <w:p w14:paraId="32A67DC4" w14:textId="4E753078" w:rsidR="00F55F3A" w:rsidRPr="00577915" w:rsidRDefault="00F55F3A" w:rsidP="00F55F3A">
            <w:pPr>
              <w:spacing w:before="120"/>
              <w:jc w:val="center"/>
            </w:pPr>
          </w:p>
        </w:tc>
        <w:tc>
          <w:tcPr>
            <w:tcW w:w="5450" w:type="dxa"/>
            <w:gridSpan w:val="2"/>
            <w:tcBorders>
              <w:top w:val="single" w:sz="4" w:space="0" w:color="auto"/>
              <w:left w:val="nil"/>
              <w:bottom w:val="single" w:sz="12" w:space="0" w:color="auto"/>
              <w:right w:val="nil"/>
            </w:tcBorders>
          </w:tcPr>
          <w:p w14:paraId="3833A0FE" w14:textId="2441D759" w:rsidR="00F55F3A" w:rsidRPr="00577915" w:rsidRDefault="00996D83" w:rsidP="00F55F3A">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2FB4137B" w14:textId="77777777" w:rsidR="00F55F3A" w:rsidRDefault="00F55F3A" w:rsidP="00F55F3A">
            <w:pPr>
              <w:spacing w:before="240" w:line="240" w:lineRule="exact"/>
            </w:pPr>
            <w:r>
              <w:t>Distr.: General</w:t>
            </w:r>
          </w:p>
          <w:p w14:paraId="2A5C1C0B" w14:textId="77777777" w:rsidR="00F55F3A" w:rsidRDefault="00F55F3A" w:rsidP="00F55F3A">
            <w:pPr>
              <w:spacing w:line="240" w:lineRule="exact"/>
            </w:pPr>
            <w:r>
              <w:t>1 July 2021</w:t>
            </w:r>
          </w:p>
          <w:p w14:paraId="2AAC9AFA" w14:textId="77777777" w:rsidR="00F55F3A" w:rsidRDefault="00F55F3A" w:rsidP="00F55F3A"/>
          <w:p w14:paraId="3AC23F83" w14:textId="77777777" w:rsidR="00F55F3A" w:rsidRPr="00577915" w:rsidRDefault="00F55F3A" w:rsidP="00F55F3A">
            <w:r>
              <w:t>Original: English</w:t>
            </w:r>
          </w:p>
        </w:tc>
      </w:tr>
    </w:tbl>
    <w:p w14:paraId="4A09CC1F" w14:textId="77777777" w:rsidR="001C7E90" w:rsidRPr="00F57EA5" w:rsidRDefault="001C7E90" w:rsidP="001C7E90">
      <w:pPr>
        <w:spacing w:before="120"/>
        <w:rPr>
          <w:b/>
          <w:sz w:val="24"/>
          <w:szCs w:val="24"/>
        </w:rPr>
      </w:pPr>
      <w:r w:rsidRPr="00F57EA5">
        <w:rPr>
          <w:b/>
          <w:sz w:val="24"/>
          <w:szCs w:val="24"/>
        </w:rPr>
        <w:t>Human Rights Council</w:t>
      </w:r>
    </w:p>
    <w:p w14:paraId="74E8951B" w14:textId="047460CF" w:rsidR="001C7E90" w:rsidRDefault="00F47589" w:rsidP="001C7E90">
      <w:pPr>
        <w:rPr>
          <w:b/>
        </w:rPr>
      </w:pPr>
      <w:r>
        <w:rPr>
          <w:b/>
        </w:rPr>
        <w:t>Forty-seventh</w:t>
      </w:r>
      <w:r w:rsidR="001C7E90">
        <w:rPr>
          <w:b/>
        </w:rPr>
        <w:t xml:space="preserve"> session</w:t>
      </w:r>
    </w:p>
    <w:p w14:paraId="7FB2A9C1" w14:textId="0610B501" w:rsidR="00E94B93" w:rsidRPr="00E94B93" w:rsidRDefault="00245873" w:rsidP="001C7E90">
      <w:pPr>
        <w:rPr>
          <w:bCs/>
        </w:rPr>
      </w:pPr>
      <w:r>
        <w:rPr>
          <w:bCs/>
        </w:rPr>
        <w:t>21 June</w:t>
      </w:r>
      <w:r w:rsidR="00F57EA5">
        <w:rPr>
          <w:bCs/>
        </w:rPr>
        <w:t>–</w:t>
      </w:r>
      <w:r>
        <w:rPr>
          <w:bCs/>
        </w:rPr>
        <w:t>9</w:t>
      </w:r>
      <w:r w:rsidR="00F57EA5">
        <w:rPr>
          <w:bCs/>
        </w:rPr>
        <w:t xml:space="preserve"> July 2021</w:t>
      </w:r>
    </w:p>
    <w:p w14:paraId="66599951" w14:textId="77777777" w:rsidR="001E66D4" w:rsidRDefault="001E66D4" w:rsidP="001E66D4">
      <w:r>
        <w:t>Agenda 3</w:t>
      </w:r>
    </w:p>
    <w:p w14:paraId="165B94F7" w14:textId="6C01D4AB" w:rsidR="001E66D4" w:rsidRDefault="001E66D4" w:rsidP="001E66D4">
      <w:pPr>
        <w:rPr>
          <w:b/>
          <w:bCs/>
        </w:rPr>
      </w:pPr>
      <w:r w:rsidRPr="00C0010B">
        <w:rPr>
          <w:b/>
          <w:bCs/>
        </w:rPr>
        <w:t>Promotion and protection of all human rights,</w:t>
      </w:r>
      <w:r>
        <w:rPr>
          <w:b/>
          <w:bCs/>
        </w:rPr>
        <w:t xml:space="preserve"> </w:t>
      </w:r>
      <w:r>
        <w:rPr>
          <w:b/>
          <w:bCs/>
        </w:rPr>
        <w:t>civil</w:t>
      </w:r>
      <w:proofErr w:type="gramStart"/>
      <w:r>
        <w:rPr>
          <w:b/>
          <w:bCs/>
        </w:rPr>
        <w:t>,</w:t>
      </w:r>
      <w:proofErr w:type="gramEnd"/>
      <w:r>
        <w:rPr>
          <w:b/>
          <w:bCs/>
        </w:rPr>
        <w:br/>
      </w:r>
      <w:r w:rsidRPr="00C0010B">
        <w:rPr>
          <w:b/>
          <w:bCs/>
        </w:rPr>
        <w:t>political, economic, social and cultural rights,</w:t>
      </w:r>
    </w:p>
    <w:p w14:paraId="1F5D6F30" w14:textId="526E87B8" w:rsidR="001C7E90" w:rsidRPr="00B67EF7" w:rsidRDefault="001E66D4" w:rsidP="001E66D4">
      <w:pPr>
        <w:rPr>
          <w:b/>
          <w:bCs/>
        </w:rPr>
      </w:pPr>
      <w:proofErr w:type="gramStart"/>
      <w:r w:rsidRPr="00C0010B">
        <w:rPr>
          <w:b/>
          <w:bCs/>
        </w:rPr>
        <w:t>including</w:t>
      </w:r>
      <w:proofErr w:type="gramEnd"/>
      <w:r w:rsidRPr="00C0010B">
        <w:rPr>
          <w:b/>
          <w:bCs/>
        </w:rPr>
        <w:t xml:space="preserve"> the right to </w:t>
      </w:r>
      <w:proofErr w:type="spellStart"/>
      <w:r w:rsidRPr="00C0010B">
        <w:rPr>
          <w:b/>
          <w:bCs/>
        </w:rPr>
        <w:t>developmen</w:t>
      </w:r>
      <w:proofErr w:type="spellEnd"/>
    </w:p>
    <w:p w14:paraId="5E7F42A0" w14:textId="6E00BEE1" w:rsidR="00B67EF7" w:rsidRPr="00DC6CE8" w:rsidRDefault="00B67EF7" w:rsidP="00B67EF7">
      <w:pPr>
        <w:pStyle w:val="HChG"/>
        <w:rPr>
          <w:bCs/>
        </w:rPr>
      </w:pPr>
      <w:r w:rsidRPr="00B67EF7">
        <w:rPr>
          <w:bCs/>
          <w:lang w:val="en-GB"/>
        </w:rPr>
        <w:tab/>
      </w:r>
      <w:r w:rsidRPr="00B67EF7">
        <w:rPr>
          <w:bCs/>
          <w:lang w:val="en-GB"/>
        </w:rPr>
        <w:tab/>
      </w:r>
      <w:r w:rsidR="001E66D4">
        <w:rPr>
          <w:lang w:val="en-GB"/>
        </w:rPr>
        <w:t>Written submission by the State of the United Kingdom:</w:t>
      </w:r>
      <w:r w:rsidR="001E66D4" w:rsidRPr="003530BE">
        <w:rPr>
          <w:lang w:val="en-GB"/>
        </w:rPr>
        <w:t xml:space="preserve"> </w:t>
      </w:r>
      <w:r w:rsidR="001E66D4">
        <w:rPr>
          <w:lang w:val="en-GB"/>
        </w:rPr>
        <w:t>Equality and Human Rights Commission (EHRC) and the Northern Ireland Human Rights Commission (NIHRC)</w:t>
      </w:r>
      <w:r w:rsidR="001E66D4" w:rsidRPr="00DC6CE8">
        <w:rPr>
          <w:rStyle w:val="FootnoteReference"/>
          <w:b w:val="0"/>
          <w:bCs/>
        </w:rPr>
        <w:t xml:space="preserve"> </w:t>
      </w:r>
      <w:r w:rsidR="00245873" w:rsidRPr="00245873">
        <w:rPr>
          <w:rStyle w:val="FootnoteReference"/>
          <w:b w:val="0"/>
          <w:sz w:val="20"/>
          <w:vertAlign w:val="baseline"/>
          <w:lang w:val="en-GB"/>
        </w:rPr>
        <w:footnoteReference w:customMarkFollows="1" w:id="2"/>
        <w:t>*</w:t>
      </w:r>
    </w:p>
    <w:p w14:paraId="532BEB2F" w14:textId="77777777" w:rsidR="00B67EF7" w:rsidRPr="00DC6CE8" w:rsidRDefault="00B67EF7" w:rsidP="00B67EF7">
      <w:pPr>
        <w:pStyle w:val="H1G"/>
      </w:pPr>
      <w:r w:rsidRPr="00DC6CE8">
        <w:tab/>
      </w:r>
      <w:r w:rsidRPr="00DC6CE8">
        <w:tab/>
        <w:t>Note by the Secretariat</w:t>
      </w:r>
    </w:p>
    <w:p w14:paraId="74C1AFD4" w14:textId="77777777" w:rsidR="001E66D4" w:rsidRPr="00C0010B" w:rsidRDefault="001E66D4" w:rsidP="001E66D4">
      <w:pPr>
        <w:pStyle w:val="HChG"/>
        <w:spacing w:before="0" w:after="120" w:line="240" w:lineRule="atLeast"/>
        <w:ind w:firstLine="567"/>
        <w:jc w:val="both"/>
        <w:rPr>
          <w:bCs/>
          <w:szCs w:val="28"/>
          <w:lang w:val="en-CA"/>
        </w:rPr>
      </w:pPr>
      <w:r w:rsidRPr="001E66D4">
        <w:rPr>
          <w:b w:val="0"/>
          <w:sz w:val="20"/>
        </w:rPr>
        <w:t>The Secretariat of the Human Rights Council hereby transmits the communication submitted by the Equality and Human Rights Commission (EHRC) and the Northern Ireland Human Rights Commission (NIHRC</w:t>
      </w:r>
      <w:r w:rsidRPr="001E66D4">
        <w:rPr>
          <w:rStyle w:val="FootnoteReference"/>
          <w:b w:val="0"/>
          <w:sz w:val="20"/>
          <w:vertAlign w:val="baseline"/>
        </w:rPr>
        <w:t>)</w:t>
      </w:r>
      <w:r w:rsidRPr="0023080F">
        <w:rPr>
          <w:rStyle w:val="FootnoteReference"/>
          <w:b w:val="0"/>
          <w:sz w:val="20"/>
          <w:vertAlign w:val="baseline"/>
        </w:rPr>
        <w:footnoteReference w:customMarkFollows="1" w:id="3"/>
        <w:t>**</w:t>
      </w:r>
      <w:r w:rsidRPr="001E66D4">
        <w:rPr>
          <w:b w:val="0"/>
          <w:sz w:val="20"/>
        </w:rPr>
        <w:t>, reproduced below in accordance with rule 7(b) of the rules of procedures described in the annex to Council resolution 5/1, according to which participation of national human rights institutions is to be based on arrangements and practices agreed upon by the Commission on Human Rights, including resolution 2005/74 of 20 April 2005.</w:t>
      </w:r>
      <w:r w:rsidR="00245873">
        <w:br w:type="page"/>
      </w:r>
      <w:r>
        <w:rPr>
          <w:bCs/>
          <w:szCs w:val="28"/>
          <w:lang w:val="en-CA"/>
        </w:rPr>
        <w:t xml:space="preserve">Report of the </w:t>
      </w:r>
      <w:r w:rsidRPr="000477AD">
        <w:rPr>
          <w:bCs/>
          <w:szCs w:val="28"/>
          <w:lang w:val="en-CA"/>
        </w:rPr>
        <w:t xml:space="preserve">EHRC and the </w:t>
      </w:r>
      <w:r>
        <w:rPr>
          <w:bCs/>
          <w:szCs w:val="28"/>
          <w:lang w:val="en-CA"/>
        </w:rPr>
        <w:t xml:space="preserve">NIHRC following the UN Special Rapporteur on the Right to Privacy’s visit to the UK in June 2018 </w:t>
      </w:r>
    </w:p>
    <w:p w14:paraId="458341F7" w14:textId="77777777" w:rsidR="001E66D4" w:rsidRPr="00C0010B" w:rsidRDefault="001E66D4" w:rsidP="001E66D4">
      <w:pPr>
        <w:pStyle w:val="H1G"/>
        <w:ind w:left="2268"/>
      </w:pPr>
      <w:r w:rsidRPr="00C0010B">
        <w:t>Oversight regime for UK surveillance powers</w:t>
      </w:r>
    </w:p>
    <w:p w14:paraId="57867493" w14:textId="77777777" w:rsidR="001E66D4" w:rsidRPr="00C633A1" w:rsidRDefault="001E66D4" w:rsidP="001E66D4">
      <w:pPr>
        <w:spacing w:after="120" w:line="240" w:lineRule="atLeast"/>
        <w:ind w:left="1134" w:right="1134"/>
        <w:jc w:val="both"/>
        <w:rPr>
          <w:rFonts w:eastAsia="Calibri"/>
        </w:rPr>
      </w:pPr>
      <w:r w:rsidRPr="00C633A1">
        <w:rPr>
          <w:rFonts w:eastAsia="Calibri"/>
        </w:rPr>
        <w:t>In July 2018, the EHRC prepared a submission to the Special Rapporteur and this, as well as the End of Mis</w:t>
      </w:r>
      <w:r>
        <w:rPr>
          <w:rFonts w:eastAsia="Calibri"/>
        </w:rPr>
        <w:t>sion</w:t>
      </w:r>
      <w:r>
        <w:rPr>
          <w:rStyle w:val="FootnoteReference"/>
          <w:rFonts w:eastAsia="Calibri"/>
        </w:rPr>
        <w:footnoteReference w:id="4"/>
      </w:r>
      <w:r w:rsidRPr="00C633A1">
        <w:rPr>
          <w:rFonts w:eastAsia="Calibri"/>
        </w:rPr>
        <w:t xml:space="preserve"> statement prepared by the Special Rapporteur, highlighted the recent reform of surveillance oversight that was brought about through the passage of the Investi</w:t>
      </w:r>
      <w:r>
        <w:rPr>
          <w:rFonts w:eastAsia="Calibri"/>
        </w:rPr>
        <w:t>gatory Powers Act 2016 (IPA).</w:t>
      </w:r>
      <w:r>
        <w:rPr>
          <w:rStyle w:val="FootnoteReference"/>
          <w:rFonts w:eastAsia="Calibri"/>
        </w:rPr>
        <w:footnoteReference w:id="5"/>
      </w:r>
      <w:r>
        <w:rPr>
          <w:rFonts w:eastAsia="Calibri"/>
        </w:rPr>
        <w:t xml:space="preserve"> </w:t>
      </w:r>
      <w:r w:rsidRPr="00C633A1">
        <w:rPr>
          <w:rFonts w:eastAsia="Calibri"/>
        </w:rPr>
        <w:t>While improved and harmonised oversight of the different aspects of the UK’s surveillance regime was long overdue, EHRC and NIHRC have highlighted a number of concerns, predominantly around the compatibility of the act’s bulk powers with the right to privacy.</w:t>
      </w:r>
    </w:p>
    <w:p w14:paraId="5C330F0E" w14:textId="77777777" w:rsidR="001E66D4" w:rsidRPr="00C0010B" w:rsidRDefault="001E66D4" w:rsidP="001E66D4">
      <w:pPr>
        <w:spacing w:after="120" w:line="240" w:lineRule="atLeast"/>
        <w:ind w:left="1134" w:right="1134"/>
        <w:jc w:val="both"/>
        <w:rPr>
          <w:rFonts w:asciiTheme="majorBidi" w:hAnsiTheme="majorBidi" w:cstheme="majorBidi"/>
        </w:rPr>
      </w:pPr>
      <w:r w:rsidRPr="00C633A1">
        <w:rPr>
          <w:rFonts w:eastAsia="Calibri"/>
        </w:rPr>
        <w:t>In its briefing to the Special Rapporteur, the EHRC raised concerns regarding the IPA, including:</w:t>
      </w:r>
    </w:p>
    <w:p w14:paraId="2DD57C41" w14:textId="77777777" w:rsidR="001E66D4" w:rsidRPr="00C633A1" w:rsidRDefault="001E66D4" w:rsidP="001E66D4">
      <w:pPr>
        <w:pStyle w:val="ListParagraph"/>
        <w:numPr>
          <w:ilvl w:val="0"/>
          <w:numId w:val="20"/>
        </w:numPr>
        <w:spacing w:after="120" w:line="240" w:lineRule="atLeast"/>
        <w:ind w:left="1134" w:right="1134" w:firstLine="0"/>
        <w:jc w:val="both"/>
        <w:rPr>
          <w:rFonts w:asciiTheme="majorBidi" w:hAnsiTheme="majorBidi" w:cstheme="majorBidi"/>
          <w:bCs/>
        </w:rPr>
      </w:pPr>
      <w:r w:rsidRPr="00C633A1">
        <w:rPr>
          <w:rFonts w:asciiTheme="majorBidi" w:hAnsiTheme="majorBidi" w:cstheme="majorBidi"/>
          <w:bCs/>
        </w:rPr>
        <w:t xml:space="preserve">Significant gaps in the requirement for judicial authorisation for some surveillance powers. </w:t>
      </w:r>
    </w:p>
    <w:p w14:paraId="720CA03A" w14:textId="77777777" w:rsidR="001E66D4" w:rsidRPr="00C633A1" w:rsidRDefault="001E66D4" w:rsidP="001E66D4">
      <w:pPr>
        <w:pStyle w:val="ListParagraph"/>
        <w:numPr>
          <w:ilvl w:val="0"/>
          <w:numId w:val="20"/>
        </w:numPr>
        <w:spacing w:after="120" w:line="240" w:lineRule="atLeast"/>
        <w:ind w:left="1134" w:right="1134" w:firstLine="0"/>
        <w:jc w:val="both"/>
        <w:rPr>
          <w:rFonts w:asciiTheme="majorBidi" w:hAnsiTheme="majorBidi" w:cstheme="majorBidi"/>
          <w:bCs/>
        </w:rPr>
      </w:pPr>
      <w:r w:rsidRPr="00C633A1">
        <w:rPr>
          <w:rFonts w:asciiTheme="majorBidi" w:hAnsiTheme="majorBidi" w:cstheme="majorBidi"/>
          <w:bCs/>
        </w:rPr>
        <w:t xml:space="preserve">The adequacy of safeguards for sharing intercepted material overseas. </w:t>
      </w:r>
    </w:p>
    <w:p w14:paraId="696BD05F" w14:textId="77777777" w:rsidR="001E66D4" w:rsidRPr="00C633A1" w:rsidRDefault="001E66D4" w:rsidP="001E66D4">
      <w:pPr>
        <w:pStyle w:val="ListParagraph"/>
        <w:numPr>
          <w:ilvl w:val="0"/>
          <w:numId w:val="20"/>
        </w:numPr>
        <w:spacing w:after="120" w:line="240" w:lineRule="atLeast"/>
        <w:ind w:left="1134" w:right="1134" w:firstLine="0"/>
        <w:jc w:val="both"/>
        <w:rPr>
          <w:rFonts w:asciiTheme="majorBidi" w:hAnsiTheme="majorBidi" w:cstheme="majorBidi"/>
          <w:bCs/>
        </w:rPr>
      </w:pPr>
      <w:r w:rsidRPr="00C633A1">
        <w:rPr>
          <w:rFonts w:asciiTheme="majorBidi" w:hAnsiTheme="majorBidi" w:cstheme="majorBidi"/>
          <w:bCs/>
        </w:rPr>
        <w:t>Whether the power to intercept and access internet connection records (weblogs) is sufficiently clear, workable in practice, and proportionate.</w:t>
      </w:r>
    </w:p>
    <w:p w14:paraId="6825BDBA" w14:textId="77777777" w:rsidR="001E66D4" w:rsidRPr="00991090" w:rsidRDefault="001E66D4" w:rsidP="001E66D4">
      <w:pPr>
        <w:pStyle w:val="ListParagraph"/>
        <w:numPr>
          <w:ilvl w:val="0"/>
          <w:numId w:val="20"/>
        </w:numPr>
        <w:spacing w:after="120" w:line="240" w:lineRule="atLeast"/>
        <w:ind w:left="1134" w:right="1134" w:firstLine="0"/>
        <w:jc w:val="both"/>
        <w:rPr>
          <w:rFonts w:asciiTheme="majorBidi" w:hAnsiTheme="majorBidi" w:cstheme="majorBidi"/>
          <w:bCs/>
        </w:rPr>
      </w:pPr>
      <w:r w:rsidRPr="00C633A1">
        <w:rPr>
          <w:rFonts w:asciiTheme="majorBidi" w:hAnsiTheme="majorBidi" w:cstheme="majorBidi"/>
          <w:bCs/>
        </w:rPr>
        <w:t>Whether safeguards and oversight of the exercise of “bulk powers” are adequate to ensure they are used only where it is necessary and proportionate to do so.</w:t>
      </w:r>
    </w:p>
    <w:p w14:paraId="0AEC7405" w14:textId="77777777" w:rsidR="001E66D4" w:rsidRDefault="001E66D4" w:rsidP="001E66D4">
      <w:pPr>
        <w:spacing w:after="120" w:line="240" w:lineRule="atLeast"/>
        <w:ind w:left="1134" w:right="1134"/>
        <w:jc w:val="both"/>
        <w:rPr>
          <w:rFonts w:asciiTheme="majorBidi" w:hAnsiTheme="majorBidi" w:cstheme="majorBidi"/>
          <w:bCs/>
        </w:rPr>
      </w:pPr>
      <w:r w:rsidRPr="005202AF">
        <w:rPr>
          <w:rFonts w:asciiTheme="majorBidi" w:hAnsiTheme="majorBidi" w:cstheme="majorBidi"/>
          <w:bCs/>
        </w:rPr>
        <w:t>A number of these topics have subsequently been the subject of domestic and regional litigation:</w:t>
      </w:r>
    </w:p>
    <w:p w14:paraId="2C2BA96D" w14:textId="77777777" w:rsidR="001E66D4" w:rsidRPr="00991090" w:rsidRDefault="001E66D4" w:rsidP="001E66D4">
      <w:pPr>
        <w:pStyle w:val="ListParagraph"/>
        <w:numPr>
          <w:ilvl w:val="0"/>
          <w:numId w:val="20"/>
        </w:numPr>
        <w:spacing w:after="120" w:line="240" w:lineRule="atLeast"/>
        <w:ind w:left="1134" w:right="1134" w:firstLine="0"/>
        <w:jc w:val="both"/>
        <w:rPr>
          <w:rFonts w:asciiTheme="majorBidi" w:hAnsiTheme="majorBidi" w:cstheme="majorBidi"/>
          <w:bCs/>
        </w:rPr>
      </w:pPr>
      <w:r w:rsidRPr="00991090">
        <w:rPr>
          <w:rFonts w:asciiTheme="majorBidi" w:hAnsiTheme="majorBidi" w:cstheme="majorBidi"/>
          <w:bCs/>
        </w:rPr>
        <w:t>In April 2018, the UK High Court found that Part 4 of the IPA, which permits bulk retention of communications data, was incompatible in certain respects with fundamental rights in EU law.</w:t>
      </w:r>
      <w:r w:rsidRPr="005202AF">
        <w:rPr>
          <w:vertAlign w:val="superscript"/>
        </w:rPr>
        <w:footnoteReference w:id="6"/>
      </w:r>
      <w:r w:rsidRPr="00991090">
        <w:rPr>
          <w:rFonts w:asciiTheme="majorBidi" w:hAnsiTheme="majorBidi" w:cstheme="majorBidi"/>
          <w:bCs/>
        </w:rPr>
        <w:t xml:space="preserve"> This was on the grounds that access to retained data was (a) not subject to prior review by a court or an independent administrative body, and (b) not limited to the purpose of combating “serious crime”.</w:t>
      </w:r>
      <w:r w:rsidRPr="00991090">
        <w:rPr>
          <w:rFonts w:asciiTheme="majorBidi" w:hAnsiTheme="majorBidi" w:cstheme="majorBidi"/>
          <w:bCs/>
          <w:vertAlign w:val="superscript"/>
        </w:rPr>
        <w:t xml:space="preserve"> </w:t>
      </w:r>
      <w:r w:rsidRPr="005202AF">
        <w:rPr>
          <w:vertAlign w:val="superscript"/>
        </w:rPr>
        <w:footnoteReference w:id="7"/>
      </w:r>
      <w:r w:rsidRPr="00991090">
        <w:rPr>
          <w:rFonts w:asciiTheme="majorBidi" w:hAnsiTheme="majorBidi" w:cstheme="majorBidi"/>
          <w:bCs/>
        </w:rPr>
        <w:t xml:space="preserve"> While amending legislation was later passed,</w:t>
      </w:r>
      <w:r w:rsidRPr="005202AF">
        <w:rPr>
          <w:vertAlign w:val="superscript"/>
        </w:rPr>
        <w:footnoteReference w:id="8"/>
      </w:r>
      <w:r w:rsidRPr="00991090">
        <w:rPr>
          <w:rFonts w:asciiTheme="majorBidi" w:hAnsiTheme="majorBidi" w:cstheme="majorBidi"/>
          <w:bCs/>
        </w:rPr>
        <w:t xml:space="preserve"> one aspect remains partially outside judicial control: the targeted acquisition and disclosure of communications data.</w:t>
      </w:r>
    </w:p>
    <w:p w14:paraId="220F8AA0" w14:textId="77777777" w:rsidR="001E66D4" w:rsidRPr="00991090" w:rsidRDefault="001E66D4" w:rsidP="001E66D4">
      <w:pPr>
        <w:pStyle w:val="ListParagraph"/>
        <w:numPr>
          <w:ilvl w:val="0"/>
          <w:numId w:val="20"/>
        </w:numPr>
        <w:spacing w:after="120" w:line="240" w:lineRule="atLeast"/>
        <w:ind w:left="1134" w:right="1134" w:firstLine="0"/>
        <w:jc w:val="both"/>
        <w:rPr>
          <w:rFonts w:asciiTheme="majorBidi" w:hAnsiTheme="majorBidi" w:cstheme="majorBidi"/>
          <w:bCs/>
        </w:rPr>
      </w:pPr>
      <w:r w:rsidRPr="00991090">
        <w:rPr>
          <w:rFonts w:asciiTheme="majorBidi" w:hAnsiTheme="majorBidi" w:cstheme="majorBidi"/>
          <w:bCs/>
        </w:rPr>
        <w:t>In 2017, the Investigatory Powers Tribunal (IPT) referred questions to the Court of Justice of the European Union concerning the collection of bulk communications data by UK security and intelligence agencies from mobile network operators.</w:t>
      </w:r>
      <w:r w:rsidRPr="005202AF">
        <w:rPr>
          <w:vertAlign w:val="superscript"/>
        </w:rPr>
        <w:footnoteReference w:id="9"/>
      </w:r>
      <w:r w:rsidRPr="00991090">
        <w:rPr>
          <w:rFonts w:asciiTheme="majorBidi" w:hAnsiTheme="majorBidi" w:cstheme="majorBidi"/>
          <w:bCs/>
        </w:rPr>
        <w:t xml:space="preserve"> In October 2020, the Court of Justice ruled that EU law applies every time a national government forces telecommunications providers to process data, including when it is done for the purposes of national security. The court also stated that EU law sets out privacy safeguards regarding the collection of data by national governments.</w:t>
      </w:r>
      <w:r w:rsidRPr="005202AF">
        <w:rPr>
          <w:vertAlign w:val="superscript"/>
        </w:rPr>
        <w:footnoteReference w:id="10"/>
      </w:r>
    </w:p>
    <w:p w14:paraId="4945CF4D" w14:textId="77777777" w:rsidR="001E66D4" w:rsidRPr="00991090" w:rsidRDefault="001E66D4" w:rsidP="001E66D4">
      <w:pPr>
        <w:pStyle w:val="ListParagraph"/>
        <w:numPr>
          <w:ilvl w:val="0"/>
          <w:numId w:val="20"/>
        </w:numPr>
        <w:spacing w:after="120" w:line="240" w:lineRule="atLeast"/>
        <w:ind w:left="1134" w:right="1134" w:firstLine="0"/>
        <w:jc w:val="both"/>
        <w:rPr>
          <w:rFonts w:asciiTheme="majorBidi" w:hAnsiTheme="majorBidi" w:cstheme="majorBidi"/>
          <w:bCs/>
        </w:rPr>
      </w:pPr>
      <w:r w:rsidRPr="00991090">
        <w:rPr>
          <w:rFonts w:asciiTheme="majorBidi" w:hAnsiTheme="majorBidi" w:cstheme="majorBidi"/>
          <w:bCs/>
        </w:rPr>
        <w:t>On 25 May 2021, the Grand Chamber of the European Court of Human Rights (</w:t>
      </w:r>
      <w:proofErr w:type="spellStart"/>
      <w:r w:rsidRPr="00991090">
        <w:rPr>
          <w:rFonts w:asciiTheme="majorBidi" w:hAnsiTheme="majorBidi" w:cstheme="majorBidi"/>
          <w:bCs/>
        </w:rPr>
        <w:t>ECtHR</w:t>
      </w:r>
      <w:proofErr w:type="spellEnd"/>
      <w:r w:rsidRPr="00991090">
        <w:rPr>
          <w:rFonts w:asciiTheme="majorBidi" w:hAnsiTheme="majorBidi" w:cstheme="majorBidi"/>
          <w:bCs/>
        </w:rPr>
        <w:t>) ruled in a case brought by multiple civil society organisations that the UK’s historic bulk intercept intelligence regime breached Articles 8 and 10 of the European Convention on Human Rights (ECHR).</w:t>
      </w:r>
      <w:r w:rsidRPr="005202AF">
        <w:rPr>
          <w:vertAlign w:val="superscript"/>
        </w:rPr>
        <w:footnoteReference w:id="11"/>
      </w:r>
      <w:r w:rsidRPr="00991090">
        <w:rPr>
          <w:rFonts w:asciiTheme="majorBidi" w:hAnsiTheme="majorBidi" w:cstheme="majorBidi"/>
          <w:bCs/>
        </w:rPr>
        <w:t xml:space="preserve"> The </w:t>
      </w:r>
      <w:proofErr w:type="spellStart"/>
      <w:r w:rsidRPr="00991090">
        <w:rPr>
          <w:rFonts w:asciiTheme="majorBidi" w:hAnsiTheme="majorBidi" w:cstheme="majorBidi"/>
          <w:bCs/>
        </w:rPr>
        <w:t>ECtHR</w:t>
      </w:r>
      <w:proofErr w:type="spellEnd"/>
      <w:r w:rsidRPr="00991090">
        <w:rPr>
          <w:rFonts w:asciiTheme="majorBidi" w:hAnsiTheme="majorBidi" w:cstheme="majorBidi"/>
          <w:bCs/>
        </w:rPr>
        <w:t xml:space="preserve"> emphasised the importance of ‘end-to-end-safeguards’ to minimise the risk of bulk interception powers being abused. Further to this, all fundamental safeguards of any Article 8 compliant bulk interception regime will now require assessment of ‘necessity’ and ‘proportionality’ at each stage of the process, independent authorisation at the outset when the object and scope of the operation are being defined, and supervision and independent ex post facto review. This ruling will help clarify the procedural safeguards </w:t>
      </w:r>
      <w:r w:rsidRPr="00991090">
        <w:rPr>
          <w:bCs/>
        </w:rPr>
        <w:t xml:space="preserve">that the ECHR requires to protect democracies from the increasing surveillance that technology enables. In 2019, the European Network of National Human Rights Institutions (ENNHRI) Legal Working Group, which includes the EHRC and NIHRC, submitted a third-party intervention to the </w:t>
      </w:r>
      <w:proofErr w:type="spellStart"/>
      <w:r w:rsidRPr="00991090">
        <w:rPr>
          <w:bCs/>
        </w:rPr>
        <w:t>ECtHR</w:t>
      </w:r>
      <w:proofErr w:type="spellEnd"/>
      <w:r w:rsidRPr="00991090">
        <w:rPr>
          <w:bCs/>
        </w:rPr>
        <w:t xml:space="preserve">, which provided recommendations and examples of good practice as to how robust, independent and effective </w:t>
      </w:r>
      <w:r w:rsidRPr="00991090">
        <w:rPr>
          <w:rFonts w:eastAsia="Calibri"/>
        </w:rPr>
        <w:t>oversight of intelligence sharing can be guaranteed both in law and in practice</w:t>
      </w:r>
      <w:r w:rsidRPr="00991090">
        <w:rPr>
          <w:rFonts w:ascii="Calibri" w:eastAsia="Calibri" w:hAnsi="Calibri"/>
          <w:sz w:val="22"/>
          <w:szCs w:val="22"/>
        </w:rPr>
        <w:t>.</w:t>
      </w:r>
      <w:r w:rsidRPr="005F5A34">
        <w:rPr>
          <w:rFonts w:ascii="Calibri" w:eastAsia="Calibri" w:hAnsi="Calibri"/>
          <w:sz w:val="22"/>
          <w:szCs w:val="22"/>
          <w:vertAlign w:val="superscript"/>
        </w:rPr>
        <w:footnoteReference w:id="12"/>
      </w:r>
    </w:p>
    <w:p w14:paraId="162E9923" w14:textId="77777777" w:rsidR="001E66D4" w:rsidRPr="00991090" w:rsidRDefault="001E66D4" w:rsidP="001E66D4">
      <w:pPr>
        <w:pStyle w:val="ListParagraph"/>
        <w:spacing w:after="120" w:line="240" w:lineRule="atLeast"/>
        <w:ind w:left="1134" w:right="1134"/>
        <w:jc w:val="both"/>
        <w:rPr>
          <w:b/>
          <w:sz w:val="24"/>
          <w:szCs w:val="24"/>
        </w:rPr>
      </w:pPr>
      <w:r w:rsidRPr="00991090">
        <w:rPr>
          <w:b/>
          <w:sz w:val="24"/>
          <w:szCs w:val="24"/>
        </w:rPr>
        <w:t>Privacy concerns in COVID-19 response</w:t>
      </w:r>
    </w:p>
    <w:p w14:paraId="14B5973A" w14:textId="77777777" w:rsidR="001E66D4" w:rsidRPr="00991090" w:rsidRDefault="001E66D4" w:rsidP="0023080F">
      <w:pPr>
        <w:pStyle w:val="ListParagraph"/>
        <w:spacing w:after="120" w:line="240" w:lineRule="atLeast"/>
        <w:ind w:left="1134" w:right="1134"/>
        <w:jc w:val="both"/>
        <w:rPr>
          <w:rFonts w:asciiTheme="majorBidi" w:hAnsiTheme="majorBidi" w:cstheme="majorBidi"/>
          <w:bCs/>
        </w:rPr>
      </w:pPr>
      <w:r w:rsidRPr="00236439">
        <w:t>The UK Government’s response to the</w:t>
      </w:r>
      <w:r>
        <w:t xml:space="preserve"> COVID-19</w:t>
      </w:r>
      <w:r w:rsidRPr="00236439">
        <w:t xml:space="preserve"> pandemic has given rise to various </w:t>
      </w:r>
      <w:r w:rsidRPr="00A4540C">
        <w:t>privacy concerns</w:t>
      </w:r>
      <w:r w:rsidRPr="00236439">
        <w:t>,</w:t>
      </w:r>
      <w:r>
        <w:rPr>
          <w:rStyle w:val="FootnoteReference"/>
        </w:rPr>
        <w:footnoteReference w:id="13"/>
      </w:r>
      <w:r w:rsidRPr="00236439">
        <w:t xml:space="preserve"> including </w:t>
      </w:r>
      <w:r>
        <w:t xml:space="preserve">in relation to initial </w:t>
      </w:r>
      <w:r w:rsidRPr="00236439">
        <w:t>proposals for the </w:t>
      </w:r>
      <w:r w:rsidRPr="00A4540C">
        <w:t>NHSX contact tracing app</w:t>
      </w:r>
      <w:r w:rsidRPr="00236439">
        <w:t> for England to s</w:t>
      </w:r>
      <w:r>
        <w:t xml:space="preserve">tore data on a central server. However, </w:t>
      </w:r>
      <w:r w:rsidRPr="00236439">
        <w:t>in June 2020 the UK Government reversed these proposals and </w:t>
      </w:r>
      <w:r w:rsidRPr="00A4540C">
        <w:t>announced</w:t>
      </w:r>
      <w:r w:rsidRPr="00236439">
        <w:t> plans to adopt a </w:t>
      </w:r>
      <w:r w:rsidRPr="00A4540C">
        <w:t>decentralised model</w:t>
      </w:r>
      <w:r w:rsidRPr="00236439">
        <w:t>,</w:t>
      </w:r>
      <w:r>
        <w:rPr>
          <w:rStyle w:val="FootnoteReference"/>
        </w:rPr>
        <w:footnoteReference w:id="14"/>
      </w:r>
      <w:r>
        <w:t xml:space="preserve"> </w:t>
      </w:r>
      <w:r w:rsidRPr="00236439">
        <w:t>providing greater protection against abuse of data.</w:t>
      </w:r>
      <w:r>
        <w:t xml:space="preserve"> </w:t>
      </w:r>
      <w:r w:rsidRPr="00236439">
        <w:t>In July 2020, following a legal challenge, the Department of Health and Social Care </w:t>
      </w:r>
      <w:r w:rsidRPr="00A4540C">
        <w:t>admitted</w:t>
      </w:r>
      <w:r w:rsidRPr="00236439">
        <w:t> to launching the NHS Test and Trace service for England without carrying out a Data Protection Impact Assessment (DPIA) addressing</w:t>
      </w:r>
      <w:r>
        <w:t xml:space="preserve"> all aspects of the programme.</w:t>
      </w:r>
      <w:r>
        <w:rPr>
          <w:rStyle w:val="FootnoteReference"/>
        </w:rPr>
        <w:footnoteReference w:id="15"/>
      </w:r>
      <w:r>
        <w:t xml:space="preserve"> A</w:t>
      </w:r>
      <w:r w:rsidRPr="00236439">
        <w:t xml:space="preserve"> DPIA </w:t>
      </w:r>
      <w:r>
        <w:t>was</w:t>
      </w:r>
      <w:r w:rsidRPr="00236439">
        <w:t> </w:t>
      </w:r>
      <w:r>
        <w:t xml:space="preserve">later </w:t>
      </w:r>
      <w:r w:rsidRPr="00A4540C">
        <w:t>published</w:t>
      </w:r>
      <w:r w:rsidRPr="00236439">
        <w:t> </w:t>
      </w:r>
      <w:r>
        <w:t>following the legal challenge,</w:t>
      </w:r>
      <w:r>
        <w:rPr>
          <w:rStyle w:val="FootnoteReference"/>
        </w:rPr>
        <w:footnoteReference w:id="16"/>
      </w:r>
      <w:r>
        <w:t xml:space="preserve"> </w:t>
      </w:r>
      <w:r w:rsidRPr="00236439">
        <w:t>but </w:t>
      </w:r>
      <w:r w:rsidRPr="00A4540C">
        <w:t>concerns remain</w:t>
      </w:r>
      <w:r w:rsidRPr="00236439">
        <w:t> about aspects of the contact tracing system.</w:t>
      </w:r>
      <w:r>
        <w:rPr>
          <w:rStyle w:val="FootnoteReference"/>
        </w:rPr>
        <w:footnoteReference w:id="17"/>
      </w:r>
      <w:r>
        <w:t xml:space="preserve"> </w:t>
      </w:r>
    </w:p>
    <w:p w14:paraId="1E9663F3" w14:textId="77777777" w:rsidR="001E66D4" w:rsidRDefault="001E66D4" w:rsidP="0023080F">
      <w:pPr>
        <w:spacing w:after="120" w:line="240" w:lineRule="atLeast"/>
        <w:ind w:left="1134" w:right="1134"/>
        <w:jc w:val="both"/>
      </w:pPr>
      <w:r>
        <w:t>The EHRC is also concerned that s</w:t>
      </w:r>
      <w:r w:rsidRPr="00132ED8">
        <w:t xml:space="preserve">afeguards in the Investigatory Powers Act 2016 </w:t>
      </w:r>
      <w:r>
        <w:t>have been</w:t>
      </w:r>
      <w:r w:rsidRPr="00132ED8">
        <w:t xml:space="preserve"> weakened by the </w:t>
      </w:r>
      <w:r w:rsidRPr="004371B7">
        <w:t>Coronavirus Act 2020</w:t>
      </w:r>
      <w:r>
        <w:t>,</w:t>
      </w:r>
      <w:r>
        <w:rPr>
          <w:rStyle w:val="FootnoteReference"/>
        </w:rPr>
        <w:footnoteReference w:id="18"/>
      </w:r>
      <w:r>
        <w:t xml:space="preserve"> which gave</w:t>
      </w:r>
      <w:r w:rsidRPr="00132ED8">
        <w:t xml:space="preserve"> the Home Secretary the </w:t>
      </w:r>
      <w:r w:rsidRPr="004371B7">
        <w:t>power</w:t>
      </w:r>
      <w:r w:rsidRPr="00132ED8">
        <w:t> to increase the life</w:t>
      </w:r>
      <w:r>
        <w:t>span of an urgent warrant from five</w:t>
      </w:r>
      <w:r w:rsidRPr="00132ED8">
        <w:t xml:space="preserve"> to 12 working days, although such powers are time-limited.</w:t>
      </w:r>
      <w:r>
        <w:rPr>
          <w:rStyle w:val="FootnoteReference"/>
        </w:rPr>
        <w:footnoteReference w:id="19"/>
      </w:r>
    </w:p>
    <w:p w14:paraId="0A8532F4" w14:textId="77777777" w:rsidR="001E66D4" w:rsidRDefault="001E66D4" w:rsidP="0023080F">
      <w:pPr>
        <w:spacing w:after="120" w:line="240" w:lineRule="atLeast"/>
        <w:ind w:left="1134" w:right="1134"/>
        <w:jc w:val="both"/>
      </w:pPr>
      <w:r>
        <w:t>In Northern Ireland, the Children Social Care (Coronavirus) (Temporary Modification of Children’s Social Care) Regulations (NI) 2020</w:t>
      </w:r>
      <w:r>
        <w:rPr>
          <w:rStyle w:val="FootnoteReference"/>
        </w:rPr>
        <w:footnoteReference w:id="20"/>
      </w:r>
      <w:r>
        <w:t>, extended the time period for statutory reviews and permitted the use of remote technology for visits to children in care and inspections of premises, as a response to the pandemic. The NIHRC advised both the Department of Health NI and Committee for Health on the particular need to ensure compliance with the privacy rights of children and young people during a pandemic, in order to ensure full participation in decisions affecting them.</w:t>
      </w:r>
      <w:r>
        <w:rPr>
          <w:rStyle w:val="FootnoteReference"/>
        </w:rPr>
        <w:footnoteReference w:id="21"/>
      </w:r>
      <w:r>
        <w:t xml:space="preserve"> The most recent proposal to extend was withdrawn following continuing concerns from the NIHRC, and other NGOs, about the privacy of children and young people. </w:t>
      </w:r>
    </w:p>
    <w:p w14:paraId="33006DAB" w14:textId="77777777" w:rsidR="001E66D4" w:rsidRPr="00991090" w:rsidRDefault="001E66D4" w:rsidP="0023080F">
      <w:pPr>
        <w:spacing w:after="120" w:line="240" w:lineRule="atLeast"/>
        <w:ind w:left="1134" w:right="1134"/>
        <w:jc w:val="both"/>
      </w:pPr>
      <w:r w:rsidRPr="00991090">
        <w:rPr>
          <w:rFonts w:asciiTheme="majorBidi" w:hAnsiTheme="majorBidi" w:cstheme="majorBidi"/>
          <w:b/>
          <w:bCs/>
          <w:sz w:val="24"/>
          <w:szCs w:val="24"/>
        </w:rPr>
        <w:t>Policing, data retention, and facial recognition technology</w:t>
      </w:r>
    </w:p>
    <w:p w14:paraId="5B32AD15" w14:textId="77777777" w:rsidR="001E66D4" w:rsidRPr="00D23321" w:rsidRDefault="001E66D4" w:rsidP="0023080F">
      <w:pPr>
        <w:spacing w:after="120" w:line="240" w:lineRule="atLeast"/>
        <w:ind w:left="1134" w:right="1134"/>
        <w:jc w:val="both"/>
        <w:rPr>
          <w:rFonts w:eastAsia="Calibri"/>
        </w:rPr>
      </w:pPr>
      <w:r w:rsidRPr="00D23321">
        <w:rPr>
          <w:rFonts w:eastAsia="Calibri"/>
        </w:rPr>
        <w:t xml:space="preserve">Following EHRC’s submission to the UN Special Rapporteur on the Right to Privacy, the </w:t>
      </w:r>
      <w:proofErr w:type="spellStart"/>
      <w:r w:rsidRPr="00D23321">
        <w:rPr>
          <w:rFonts w:eastAsia="Calibri"/>
        </w:rPr>
        <w:t>ECtHR</w:t>
      </w:r>
      <w:proofErr w:type="spellEnd"/>
      <w:r w:rsidRPr="00D23321">
        <w:rPr>
          <w:rFonts w:eastAsia="Calibri"/>
        </w:rPr>
        <w:t xml:space="preserve"> has ruled on </w:t>
      </w:r>
      <w:r w:rsidRPr="00D23321">
        <w:rPr>
          <w:rFonts w:eastAsia="Calibri"/>
          <w:i/>
        </w:rPr>
        <w:t>Catt v the United Kingdom.</w:t>
      </w:r>
      <w:r w:rsidRPr="00D23321">
        <w:rPr>
          <w:rFonts w:eastAsia="Calibri"/>
          <w:i/>
          <w:vertAlign w:val="superscript"/>
        </w:rPr>
        <w:footnoteReference w:id="22"/>
      </w:r>
      <w:r w:rsidRPr="00D23321">
        <w:rPr>
          <w:rFonts w:eastAsia="Calibri"/>
          <w:i/>
        </w:rPr>
        <w:t xml:space="preserve"> </w:t>
      </w:r>
      <w:r w:rsidRPr="00D23321">
        <w:rPr>
          <w:rFonts w:eastAsia="Calibri"/>
        </w:rPr>
        <w:t xml:space="preserve">The </w:t>
      </w:r>
      <w:proofErr w:type="spellStart"/>
      <w:r w:rsidRPr="00D23321">
        <w:rPr>
          <w:rFonts w:eastAsia="Calibri"/>
        </w:rPr>
        <w:t>ECtHR</w:t>
      </w:r>
      <w:proofErr w:type="spellEnd"/>
      <w:r w:rsidRPr="00D23321">
        <w:rPr>
          <w:rFonts w:eastAsia="Calibri"/>
        </w:rPr>
        <w:t xml:space="preserve"> found that the UK Government violated the right </w:t>
      </w:r>
      <w:r>
        <w:rPr>
          <w:rFonts w:eastAsia="Calibri"/>
        </w:rPr>
        <w:t>to privacy (Article 8 E</w:t>
      </w:r>
      <w:r w:rsidRPr="00D23321">
        <w:rPr>
          <w:rFonts w:eastAsia="Calibri"/>
        </w:rPr>
        <w:t>C</w:t>
      </w:r>
      <w:r>
        <w:rPr>
          <w:rFonts w:eastAsia="Calibri"/>
        </w:rPr>
        <w:t>H</w:t>
      </w:r>
      <w:r w:rsidRPr="00D23321">
        <w:rPr>
          <w:rFonts w:eastAsia="Calibri"/>
        </w:rPr>
        <w:t xml:space="preserve">R) of the applicant and while there was a pressing need to collect the personal data about the applicant, there was no pressing need to retain it. The ruling called for increased safeguards for personal data collected overtly by the police. The </w:t>
      </w:r>
      <w:proofErr w:type="spellStart"/>
      <w:r w:rsidRPr="00D23321">
        <w:rPr>
          <w:rFonts w:eastAsia="Calibri"/>
        </w:rPr>
        <w:t>ECtHR</w:t>
      </w:r>
      <w:proofErr w:type="spellEnd"/>
      <w:r w:rsidRPr="00D23321">
        <w:rPr>
          <w:rFonts w:eastAsia="Calibri"/>
        </w:rPr>
        <w:t xml:space="preserve"> also noted that the absence of effective safeguards was of particular concern in relation to personal information about political opinions, where retention could have a ‘chilling effect’ on the right to engage in peaceful protest.</w:t>
      </w:r>
    </w:p>
    <w:p w14:paraId="4226F0F8" w14:textId="77777777" w:rsidR="001E66D4" w:rsidRDefault="001E66D4" w:rsidP="0023080F">
      <w:pPr>
        <w:spacing w:after="120" w:line="240" w:lineRule="atLeast"/>
        <w:ind w:left="1134" w:right="1134"/>
        <w:jc w:val="both"/>
        <w:rPr>
          <w:rFonts w:eastAsia="Calibri"/>
        </w:rPr>
      </w:pPr>
      <w:r w:rsidRPr="00D23321">
        <w:rPr>
          <w:rFonts w:eastAsia="Calibri"/>
        </w:rPr>
        <w:t>The use of automated facial recognition in policing, and its impact on privacy rights, has become an increasing concern in recent years. In August 2020, the Court of Appeal found that there were ‘fundamental deficiencies’ in the legal framework governing the use of automated facial recognition, and that its use was in breach of the right to privacy (Article 8 ECHR), the Data Protection Act 2018 and the Public Sector Equality Duty.</w:t>
      </w:r>
      <w:r w:rsidRPr="00D23321">
        <w:rPr>
          <w:rFonts w:eastAsia="Calibri"/>
          <w:vertAlign w:val="superscript"/>
        </w:rPr>
        <w:footnoteReference w:id="23"/>
      </w:r>
      <w:r>
        <w:rPr>
          <w:rFonts w:eastAsia="Calibri"/>
        </w:rPr>
        <w:t xml:space="preserve"> </w:t>
      </w:r>
      <w:r w:rsidRPr="00D23321">
        <w:rPr>
          <w:rFonts w:eastAsia="Calibri"/>
        </w:rPr>
        <w:t>The Information Commissioner’s Office (ICO) has previously stated</w:t>
      </w:r>
      <w:r w:rsidRPr="00D23321">
        <w:rPr>
          <w:rFonts w:eastAsia="Calibri"/>
          <w:vertAlign w:val="superscript"/>
        </w:rPr>
        <w:footnoteReference w:id="24"/>
      </w:r>
      <w:r w:rsidRPr="00D23321">
        <w:rPr>
          <w:rFonts w:eastAsia="Calibri"/>
        </w:rPr>
        <w:t xml:space="preserve"> that data protection law sets high standards in relation to the use of Live Facial Recognition (LFR) in a law enforcement context and when used in public places. Furthermore, in its latest opinion,</w:t>
      </w:r>
      <w:r w:rsidRPr="00D23321">
        <w:rPr>
          <w:rFonts w:eastAsia="Calibri"/>
          <w:vertAlign w:val="superscript"/>
        </w:rPr>
        <w:footnoteReference w:id="25"/>
      </w:r>
      <w:r w:rsidRPr="00D23321">
        <w:rPr>
          <w:rFonts w:eastAsia="Calibri"/>
        </w:rPr>
        <w:t xml:space="preserve"> the ICO highlights the concern that “LFR systems may also work less effectively for people from different demographic groups. This could potentially lead to unfairness in the form of discrimination and bias.”</w:t>
      </w:r>
    </w:p>
    <w:p w14:paraId="299E5D57" w14:textId="77777777" w:rsidR="001E66D4" w:rsidRPr="00991090" w:rsidRDefault="001E66D4" w:rsidP="0023080F">
      <w:pPr>
        <w:spacing w:after="120" w:line="240" w:lineRule="atLeast"/>
        <w:ind w:left="1134" w:right="1134"/>
        <w:jc w:val="both"/>
        <w:rPr>
          <w:rFonts w:eastAsia="Calibri"/>
          <w:sz w:val="24"/>
          <w:szCs w:val="24"/>
        </w:rPr>
      </w:pPr>
      <w:r w:rsidRPr="00991090">
        <w:rPr>
          <w:rFonts w:asciiTheme="majorBidi" w:hAnsiTheme="majorBidi" w:cstheme="majorBidi"/>
          <w:b/>
          <w:bCs/>
          <w:sz w:val="24"/>
          <w:szCs w:val="24"/>
        </w:rPr>
        <w:t>Northern Ireland: Biometric retention and legacy issues</w:t>
      </w:r>
    </w:p>
    <w:p w14:paraId="3B6FA840" w14:textId="77777777" w:rsidR="001E66D4" w:rsidRDefault="001E66D4" w:rsidP="0023080F">
      <w:pPr>
        <w:pStyle w:val="ListParagraph"/>
        <w:suppressAutoHyphens/>
        <w:spacing w:after="120" w:line="240" w:lineRule="atLeast"/>
        <w:ind w:left="1134" w:right="1134"/>
        <w:jc w:val="both"/>
        <w:rPr>
          <w:rFonts w:eastAsia="Calibri"/>
        </w:rPr>
      </w:pPr>
      <w:r w:rsidRPr="001D15CD">
        <w:rPr>
          <w:rFonts w:eastAsia="Calibri"/>
        </w:rPr>
        <w:t xml:space="preserve">Due to political disagreement on the application for legacy investigations, legislation to give effect to the </w:t>
      </w:r>
      <w:proofErr w:type="spellStart"/>
      <w:r w:rsidRPr="001D15CD">
        <w:rPr>
          <w:rFonts w:eastAsia="Calibri"/>
        </w:rPr>
        <w:t>ECtHR</w:t>
      </w:r>
      <w:proofErr w:type="spellEnd"/>
      <w:r w:rsidRPr="001D15CD">
        <w:rPr>
          <w:rFonts w:eastAsia="Calibri"/>
        </w:rPr>
        <w:t xml:space="preserve"> judgment of </w:t>
      </w:r>
      <w:r w:rsidRPr="001D15CD">
        <w:rPr>
          <w:rFonts w:eastAsia="Calibri"/>
          <w:i/>
        </w:rPr>
        <w:t xml:space="preserve">S and </w:t>
      </w:r>
      <w:proofErr w:type="spellStart"/>
      <w:r w:rsidRPr="001D15CD">
        <w:rPr>
          <w:rFonts w:eastAsia="Calibri"/>
          <w:i/>
        </w:rPr>
        <w:t>Marper</w:t>
      </w:r>
      <w:proofErr w:type="spellEnd"/>
      <w:r w:rsidRPr="001D15CD">
        <w:rPr>
          <w:rFonts w:eastAsia="Calibri"/>
          <w:i/>
        </w:rPr>
        <w:t xml:space="preserve"> v the United Kingdom</w:t>
      </w:r>
      <w:r w:rsidRPr="001D15CD">
        <w:rPr>
          <w:rFonts w:eastAsia="Calibri"/>
          <w:i/>
          <w:vertAlign w:val="superscript"/>
        </w:rPr>
        <w:footnoteReference w:id="26"/>
      </w:r>
      <w:r w:rsidRPr="001D15CD">
        <w:rPr>
          <w:rFonts w:eastAsia="Calibri"/>
          <w:i/>
        </w:rPr>
        <w:t xml:space="preserve"> </w:t>
      </w:r>
      <w:r w:rsidRPr="001D15CD">
        <w:rPr>
          <w:rFonts w:eastAsia="Calibri"/>
        </w:rPr>
        <w:t>was passed by the NI Assembly but never commenced in NI.</w:t>
      </w:r>
      <w:r w:rsidRPr="001D15CD">
        <w:rPr>
          <w:rFonts w:eastAsia="Calibri"/>
          <w:vertAlign w:val="superscript"/>
        </w:rPr>
        <w:footnoteReference w:id="27"/>
      </w:r>
      <w:r w:rsidRPr="001D15CD">
        <w:rPr>
          <w:rFonts w:eastAsia="Calibri"/>
        </w:rPr>
        <w:t xml:space="preserve"> The NIHRC initiated legal action against the Police Service of NI (PSNI) in respect of its interim arrangements for the retention and disposal of DNA and fingerprints. This case was settled by way of an agreement to produce an ECHR compliant process in the absence of political agreement. A draft was produced by PSNI with input from NIHRC and an agreement was reached in principle to destroy significant amounts of biometric material. This process has been overtaken by the </w:t>
      </w:r>
      <w:proofErr w:type="spellStart"/>
      <w:r w:rsidRPr="001D15CD">
        <w:rPr>
          <w:rFonts w:eastAsia="Calibri"/>
        </w:rPr>
        <w:t>ECtHR</w:t>
      </w:r>
      <w:proofErr w:type="spellEnd"/>
      <w:r w:rsidRPr="001D15CD">
        <w:rPr>
          <w:rFonts w:eastAsia="Calibri"/>
        </w:rPr>
        <w:t xml:space="preserve"> judgment in </w:t>
      </w:r>
      <w:proofErr w:type="spellStart"/>
      <w:r w:rsidRPr="001D15CD">
        <w:rPr>
          <w:rFonts w:eastAsia="Calibri"/>
          <w:i/>
        </w:rPr>
        <w:t>Gaughran</w:t>
      </w:r>
      <w:proofErr w:type="spellEnd"/>
      <w:r w:rsidRPr="001D15CD">
        <w:rPr>
          <w:rFonts w:eastAsia="Calibri"/>
          <w:i/>
        </w:rPr>
        <w:t xml:space="preserve"> v the United Kingdom</w:t>
      </w:r>
      <w:r w:rsidRPr="001D15CD">
        <w:rPr>
          <w:rFonts w:eastAsia="Calibri"/>
        </w:rPr>
        <w:t>, which held that the policy of indefinite retention, without reference to the seriousness or the offence and in the absence of the possibility of review, was a disproportionate interference with the right to privacy (Article 8 ECHR).</w:t>
      </w:r>
      <w:r w:rsidRPr="001D15CD">
        <w:rPr>
          <w:rFonts w:eastAsia="Calibri"/>
          <w:vertAlign w:val="superscript"/>
        </w:rPr>
        <w:footnoteReference w:id="28"/>
      </w:r>
      <w:r w:rsidRPr="001D15CD">
        <w:rPr>
          <w:rFonts w:eastAsia="Calibri"/>
        </w:rPr>
        <w:t xml:space="preserve"> With a view to addressing this finding, the Department of Justice NI has consulted on proposals to amend the legislation; proposing an end to indefinite retention and instead using the 75, 50 and 25 year model for retaining DNA and fingerprints of convicted individuals. It has also proposed that this new approach would include a review system that would be put in regulations, which </w:t>
      </w:r>
      <w:r>
        <w:rPr>
          <w:rFonts w:eastAsia="Calibri"/>
        </w:rPr>
        <w:t>has</w:t>
      </w:r>
      <w:r w:rsidRPr="001D15CD">
        <w:rPr>
          <w:rFonts w:eastAsia="Calibri"/>
        </w:rPr>
        <w:t xml:space="preserve"> yet to be published. The NIHRC has continuing concerns that even revised proposals are too broad and disproportionate in terms of the balance between interference with Article 8 and the protection of the public.</w:t>
      </w:r>
      <w:r w:rsidRPr="001D15CD">
        <w:rPr>
          <w:rFonts w:eastAsia="Calibri"/>
          <w:vertAlign w:val="superscript"/>
        </w:rPr>
        <w:footnoteReference w:id="29"/>
      </w:r>
      <w:r w:rsidRPr="001D15CD">
        <w:rPr>
          <w:rFonts w:eastAsia="Calibri"/>
        </w:rPr>
        <w:t xml:space="preserve"> Separate and more wide-ranging arrangements are made to retain biometric material for the purposes of legacy investigations.</w:t>
      </w:r>
    </w:p>
    <w:p w14:paraId="3679F281" w14:textId="27235091" w:rsidR="001E66D4" w:rsidRDefault="001E66D4" w:rsidP="0023080F">
      <w:pPr>
        <w:pStyle w:val="ListParagraph"/>
        <w:suppressAutoHyphens/>
        <w:spacing w:after="120" w:line="240" w:lineRule="atLeast"/>
        <w:ind w:left="1134" w:right="1134"/>
        <w:jc w:val="both"/>
        <w:rPr>
          <w:rFonts w:eastAsia="Calibri"/>
        </w:rPr>
      </w:pPr>
      <w:r w:rsidRPr="001D15CD">
        <w:rPr>
          <w:rFonts w:eastAsia="Calibri"/>
        </w:rPr>
        <w:t>The implications of biometric retention on legacy investigations has also been highlighted by the NIHRC to the Committee of Ministers, in response to the action plan provided by the UK Government that suggested that the Data Protection Act 2018 and the oversight of the Information Commissioner’s Office has addressed the issue for both legacy and non-legacy investigations. As a result, no further legislative reform was necessary elsewhere in the UK.</w:t>
      </w:r>
      <w:r w:rsidRPr="001D15CD">
        <w:rPr>
          <w:rFonts w:eastAsia="Calibri"/>
          <w:vertAlign w:val="superscript"/>
        </w:rPr>
        <w:footnoteReference w:id="30"/>
      </w:r>
      <w:r w:rsidRPr="001D15CD">
        <w:rPr>
          <w:rFonts w:eastAsia="Calibri"/>
        </w:rPr>
        <w:t xml:space="preserve"> On legacy investigations, the NIHRC remains concerned at the ongoing failure of the UK Government to introduce legislation regarding the investigation of conflict-related deaths, and Article 3 ECHR (prohibition of torture) cases. Legislation to address these mechanisms was anticipated following an extensive consultation process on a draft Bill. However, after a roll back on commitments in March 2020, no further progress has been made</w:t>
      </w:r>
      <w:r w:rsidRPr="001D15CD">
        <w:rPr>
          <w:rFonts w:eastAsia="Calibri"/>
          <w:vertAlign w:val="superscript"/>
        </w:rPr>
        <w:footnoteReference w:id="31"/>
      </w:r>
      <w:r w:rsidRPr="001D15CD">
        <w:rPr>
          <w:rFonts w:eastAsia="Calibri"/>
        </w:rPr>
        <w:t>.  Indeed, the issue of wider retention of biometric material is currently dealt with by way of transitional legislation permitting the continued retention of data under counter-terrorism powers, first introduced in 2013 and renewed periodically, most recently in 2020 for another two years.</w:t>
      </w:r>
      <w:r w:rsidRPr="001D15CD">
        <w:rPr>
          <w:rFonts w:eastAsia="Calibri"/>
          <w:vertAlign w:val="superscript"/>
        </w:rPr>
        <w:footnoteReference w:id="32"/>
      </w:r>
    </w:p>
    <w:p w14:paraId="10D69D8D" w14:textId="5CE33831" w:rsidR="001E66D4" w:rsidRPr="001E66D4" w:rsidRDefault="001E66D4" w:rsidP="0023080F">
      <w:pPr>
        <w:pStyle w:val="ListParagraph"/>
        <w:suppressAutoHyphens/>
        <w:spacing w:after="120" w:line="240" w:lineRule="atLeast"/>
        <w:ind w:left="1134" w:right="1134"/>
        <w:jc w:val="center"/>
        <w:rPr>
          <w:rFonts w:eastAsia="Calibri"/>
          <w:u w:val="single"/>
        </w:rPr>
      </w:pPr>
      <w:r>
        <w:rPr>
          <w:rFonts w:eastAsia="Calibri"/>
          <w:u w:val="single"/>
        </w:rPr>
        <w:tab/>
      </w:r>
      <w:r>
        <w:rPr>
          <w:rFonts w:eastAsia="Calibri"/>
          <w:u w:val="single"/>
        </w:rPr>
        <w:tab/>
      </w:r>
      <w:r>
        <w:rPr>
          <w:rFonts w:eastAsia="Calibri"/>
          <w:u w:val="single"/>
        </w:rPr>
        <w:tab/>
      </w:r>
      <w:r w:rsidR="0023080F">
        <w:rPr>
          <w:rFonts w:eastAsia="Calibri"/>
          <w:u w:val="single"/>
        </w:rPr>
        <w:tab/>
      </w:r>
    </w:p>
    <w:sectPr w:rsidR="001E66D4" w:rsidRPr="001E66D4" w:rsidSect="00245873">
      <w:headerReference w:type="even" r:id="rId8"/>
      <w:headerReference w:type="default" r:id="rId9"/>
      <w:footerReference w:type="even" r:id="rId10"/>
      <w:footerReference w:type="default" r:id="rId11"/>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3A91" w14:textId="77777777" w:rsidR="008C5D8C" w:rsidRDefault="008C5D8C"/>
  </w:endnote>
  <w:endnote w:type="continuationSeparator" w:id="0">
    <w:p w14:paraId="6627AD92" w14:textId="77777777" w:rsidR="008C5D8C" w:rsidRDefault="008C5D8C"/>
  </w:endnote>
  <w:endnote w:type="continuationNotice" w:id="1">
    <w:p w14:paraId="36A032DA" w14:textId="77777777" w:rsidR="008C5D8C" w:rsidRDefault="008C5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15ED" w14:textId="17A33288" w:rsidR="00DB7780" w:rsidRPr="00EA277E" w:rsidRDefault="00DB7780" w:rsidP="00EA277E">
    <w:pPr>
      <w:pStyle w:val="Footer"/>
      <w:tabs>
        <w:tab w:val="right" w:pos="9598"/>
      </w:tabs>
      <w:rPr>
        <w:b/>
        <w:noProof/>
        <w:sz w:val="18"/>
      </w:rPr>
    </w:pPr>
    <w:r w:rsidRPr="00EA277E">
      <w:rPr>
        <w:b/>
        <w:noProof/>
        <w:sz w:val="18"/>
      </w:rPr>
      <w:fldChar w:fldCharType="begin"/>
    </w:r>
    <w:r w:rsidRPr="00EA277E">
      <w:rPr>
        <w:b/>
        <w:noProof/>
        <w:sz w:val="18"/>
      </w:rPr>
      <w:instrText xml:space="preserve"> PAGE   \* MERGEFORMAT </w:instrText>
    </w:r>
    <w:r w:rsidRPr="00EA277E">
      <w:rPr>
        <w:b/>
        <w:noProof/>
        <w:sz w:val="18"/>
      </w:rPr>
      <w:fldChar w:fldCharType="separate"/>
    </w:r>
    <w:r w:rsidR="00996D83">
      <w:rPr>
        <w:b/>
        <w:noProof/>
        <w:sz w:val="18"/>
      </w:rPr>
      <w:t>4</w:t>
    </w:r>
    <w:r w:rsidRPr="00EA277E">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9815" w14:textId="38A750BB" w:rsidR="00DB7780" w:rsidRPr="00587B49" w:rsidRDefault="00DB7780" w:rsidP="00587B49">
    <w:pPr>
      <w:pStyle w:val="Footer"/>
      <w:tabs>
        <w:tab w:val="right" w:pos="9598"/>
      </w:tabs>
      <w:rPr>
        <w:b/>
        <w:sz w:val="18"/>
      </w:rPr>
    </w:pPr>
    <w:r>
      <w:tab/>
    </w:r>
    <w:r w:rsidRPr="00587B49">
      <w:rPr>
        <w:b/>
        <w:sz w:val="18"/>
      </w:rPr>
      <w:fldChar w:fldCharType="begin"/>
    </w:r>
    <w:r w:rsidRPr="00587B49">
      <w:rPr>
        <w:b/>
        <w:sz w:val="18"/>
      </w:rPr>
      <w:instrText xml:space="preserve"> PAGE  \* MERGEFORMAT </w:instrText>
    </w:r>
    <w:r w:rsidRPr="00587B49">
      <w:rPr>
        <w:b/>
        <w:sz w:val="18"/>
      </w:rPr>
      <w:fldChar w:fldCharType="separate"/>
    </w:r>
    <w:r w:rsidR="00996D83">
      <w:rPr>
        <w:b/>
        <w:noProof/>
        <w:sz w:val="18"/>
      </w:rPr>
      <w:t>5</w:t>
    </w:r>
    <w:r w:rsidRPr="00587B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5CE52" w14:textId="77777777" w:rsidR="008C5D8C" w:rsidRPr="000B175B" w:rsidRDefault="008C5D8C" w:rsidP="000B175B">
      <w:pPr>
        <w:tabs>
          <w:tab w:val="right" w:pos="2155"/>
        </w:tabs>
        <w:spacing w:after="80"/>
        <w:ind w:left="680"/>
        <w:rPr>
          <w:u w:val="single"/>
        </w:rPr>
      </w:pPr>
      <w:r>
        <w:rPr>
          <w:u w:val="single"/>
        </w:rPr>
        <w:tab/>
      </w:r>
    </w:p>
  </w:footnote>
  <w:footnote w:type="continuationSeparator" w:id="0">
    <w:p w14:paraId="3E2A3C92" w14:textId="77777777" w:rsidR="008C5D8C" w:rsidRPr="00FC68B7" w:rsidRDefault="008C5D8C" w:rsidP="00FC68B7">
      <w:pPr>
        <w:tabs>
          <w:tab w:val="left" w:pos="2155"/>
        </w:tabs>
        <w:spacing w:after="80"/>
        <w:ind w:left="680"/>
        <w:rPr>
          <w:u w:val="single"/>
        </w:rPr>
      </w:pPr>
      <w:r>
        <w:rPr>
          <w:u w:val="single"/>
        </w:rPr>
        <w:tab/>
      </w:r>
    </w:p>
  </w:footnote>
  <w:footnote w:type="continuationNotice" w:id="1">
    <w:p w14:paraId="61E58000" w14:textId="77777777" w:rsidR="008C5D8C" w:rsidRDefault="008C5D8C"/>
  </w:footnote>
  <w:footnote w:id="2">
    <w:p w14:paraId="47B5DC1D" w14:textId="6B88D418" w:rsidR="00245873" w:rsidRPr="00245873" w:rsidRDefault="00245873">
      <w:pPr>
        <w:pStyle w:val="FootnoteText"/>
        <w:rPr>
          <w:lang w:val="en-GB"/>
        </w:rPr>
      </w:pPr>
      <w:r>
        <w:rPr>
          <w:rStyle w:val="FootnoteReference"/>
        </w:rPr>
        <w:tab/>
      </w:r>
      <w:r w:rsidRPr="00245873">
        <w:rPr>
          <w:rStyle w:val="FootnoteReference"/>
          <w:sz w:val="20"/>
          <w:vertAlign w:val="baseline"/>
        </w:rPr>
        <w:t>*</w:t>
      </w:r>
      <w:r>
        <w:rPr>
          <w:rStyle w:val="FootnoteReference"/>
          <w:sz w:val="20"/>
          <w:vertAlign w:val="baseline"/>
        </w:rPr>
        <w:tab/>
      </w:r>
      <w:r w:rsidRPr="00C67968">
        <w:t>National human rights institution with A</w:t>
      </w:r>
      <w:r>
        <w:rPr>
          <w:lang w:val="en-US"/>
        </w:rPr>
        <w:t xml:space="preserve"> </w:t>
      </w:r>
      <w:r>
        <w:t xml:space="preserve">status accreditation from the </w:t>
      </w:r>
      <w:r>
        <w:rPr>
          <w:szCs w:val="18"/>
          <w:lang w:val="en-CA"/>
        </w:rPr>
        <w:t xml:space="preserve">Global Alliance </w:t>
      </w:r>
      <w:r w:rsidRPr="00680DEF">
        <w:rPr>
          <w:szCs w:val="18"/>
          <w:lang w:val="en-CA"/>
        </w:rPr>
        <w:t>of National Institutions for</w:t>
      </w:r>
      <w:r>
        <w:rPr>
          <w:szCs w:val="18"/>
          <w:lang w:val="en-CA"/>
        </w:rPr>
        <w:t xml:space="preserve"> </w:t>
      </w:r>
      <w:r w:rsidRPr="00680DEF">
        <w:rPr>
          <w:szCs w:val="18"/>
          <w:lang w:val="en-CA"/>
        </w:rPr>
        <w:t>the Promotion and Protection of Human Rights</w:t>
      </w:r>
      <w:r w:rsidRPr="00C67968">
        <w:t>.</w:t>
      </w:r>
    </w:p>
  </w:footnote>
  <w:footnote w:id="3">
    <w:p w14:paraId="6B29630A" w14:textId="77777777" w:rsidR="001E66D4" w:rsidRPr="00C67968" w:rsidRDefault="001E66D4" w:rsidP="001E66D4">
      <w:pPr>
        <w:pStyle w:val="FootnoteText"/>
      </w:pPr>
      <w:r>
        <w:tab/>
      </w:r>
      <w:r w:rsidRPr="0023080F">
        <w:rPr>
          <w:rStyle w:val="FootnoteReference"/>
          <w:sz w:val="20"/>
          <w:vertAlign w:val="baseline"/>
        </w:rPr>
        <w:t>**</w:t>
      </w:r>
      <w:r>
        <w:rPr>
          <w:sz w:val="20"/>
        </w:rPr>
        <w:tab/>
      </w:r>
      <w:r>
        <w:t xml:space="preserve">Circulated </w:t>
      </w:r>
      <w:r>
        <w:rPr>
          <w:lang w:val="en-US"/>
        </w:rPr>
        <w:t xml:space="preserve">as received, </w:t>
      </w:r>
      <w:r>
        <w:t>in the language of submission only</w:t>
      </w:r>
      <w:r w:rsidRPr="00397D06">
        <w:rPr>
          <w:rFonts w:eastAsia="SimSun"/>
          <w:szCs w:val="24"/>
          <w:lang w:val="en-US" w:eastAsia="zh-CN"/>
        </w:rPr>
        <w:t>.</w:t>
      </w:r>
    </w:p>
  </w:footnote>
  <w:footnote w:id="4">
    <w:p w14:paraId="377FAFDC" w14:textId="01BC0C6B" w:rsidR="001E66D4" w:rsidRPr="0023080F" w:rsidRDefault="0023080F" w:rsidP="0023080F">
      <w:pPr>
        <w:pStyle w:val="FootnoteText"/>
        <w:rPr>
          <w:lang w:val="en-GB"/>
        </w:rPr>
      </w:pPr>
      <w:r>
        <w:tab/>
      </w:r>
      <w:r w:rsidR="001E66D4">
        <w:rPr>
          <w:rStyle w:val="FootnoteReference"/>
        </w:rPr>
        <w:footnoteRef/>
      </w:r>
      <w:r>
        <w:tab/>
      </w:r>
      <w:r w:rsidR="001E66D4">
        <w:t xml:space="preserve"> </w:t>
      </w:r>
      <w:r w:rsidR="001E66D4">
        <w:t xml:space="preserve">UN Special Rapporteur on the Right to Privacy </w:t>
      </w:r>
      <w:hyperlink r:id="rId1" w:history="1">
        <w:r w:rsidR="001E66D4" w:rsidRPr="00516529">
          <w:rPr>
            <w:rStyle w:val="Hyperlink"/>
          </w:rPr>
          <w:t>End of Mission Report</w:t>
        </w:r>
      </w:hyperlink>
      <w:r>
        <w:rPr>
          <w:rStyle w:val="Hyperlink"/>
          <w:lang w:val="en-GB"/>
        </w:rPr>
        <w:t>.</w:t>
      </w:r>
    </w:p>
  </w:footnote>
  <w:footnote w:id="5">
    <w:p w14:paraId="388A569A" w14:textId="76469CB2" w:rsidR="001E66D4" w:rsidRPr="00C633A1" w:rsidRDefault="0023080F" w:rsidP="0023080F">
      <w:pPr>
        <w:pStyle w:val="FootnoteText"/>
        <w:rPr>
          <w:lang w:val="en-GB"/>
        </w:rPr>
      </w:pPr>
      <w:r>
        <w:tab/>
      </w:r>
      <w:r w:rsidR="001E66D4">
        <w:rPr>
          <w:rStyle w:val="FootnoteReference"/>
        </w:rPr>
        <w:footnoteRef/>
      </w:r>
      <w:r>
        <w:tab/>
      </w:r>
      <w:r w:rsidR="001E66D4">
        <w:t xml:space="preserve"> </w:t>
      </w:r>
      <w:hyperlink r:id="rId2" w:history="1">
        <w:r w:rsidR="001E66D4" w:rsidRPr="00C633A1">
          <w:rPr>
            <w:rStyle w:val="Hyperlink"/>
            <w:lang w:val="en-GB"/>
          </w:rPr>
          <w:t>Investigatory Powers Act</w:t>
        </w:r>
      </w:hyperlink>
      <w:r w:rsidR="001E66D4" w:rsidRPr="00C633A1">
        <w:rPr>
          <w:lang w:val="en-GB"/>
        </w:rPr>
        <w:t>, 2016</w:t>
      </w:r>
      <w:r>
        <w:rPr>
          <w:lang w:val="en-GB"/>
        </w:rPr>
        <w:t>.</w:t>
      </w:r>
    </w:p>
  </w:footnote>
  <w:footnote w:id="6">
    <w:p w14:paraId="2E2916F5" w14:textId="2FB0BF40" w:rsidR="001E66D4" w:rsidRDefault="0023080F" w:rsidP="0023080F">
      <w:pPr>
        <w:pStyle w:val="FootnoteText"/>
      </w:pPr>
      <w:r>
        <w:tab/>
      </w:r>
      <w:r w:rsidR="001E66D4">
        <w:rPr>
          <w:rStyle w:val="FootnoteReference"/>
        </w:rPr>
        <w:footnoteRef/>
      </w:r>
      <w:r>
        <w:tab/>
      </w:r>
      <w:r w:rsidR="001E66D4">
        <w:t xml:space="preserve"> </w:t>
      </w:r>
      <w:hyperlink r:id="rId3" w:history="1">
        <w:r w:rsidR="001E66D4" w:rsidRPr="001022B5">
          <w:rPr>
            <w:rStyle w:val="Hyperlink"/>
          </w:rPr>
          <w:t>R (National Council for Civil Liberties) v Secretary of State for the Home Department and Secretary of State for Foreign and Commonwealth Affairs</w:t>
        </w:r>
      </w:hyperlink>
      <w:r w:rsidR="001E66D4">
        <w:t xml:space="preserve"> [2018] EWHC 975 (Admin). </w:t>
      </w:r>
    </w:p>
  </w:footnote>
  <w:footnote w:id="7">
    <w:p w14:paraId="796273A4" w14:textId="4DB58B18" w:rsidR="001E66D4" w:rsidRDefault="0023080F" w:rsidP="0023080F">
      <w:pPr>
        <w:pStyle w:val="FootnoteText"/>
      </w:pPr>
      <w:r>
        <w:tab/>
      </w:r>
      <w:r w:rsidR="001E66D4">
        <w:rPr>
          <w:rStyle w:val="FootnoteReference"/>
        </w:rPr>
        <w:footnoteRef/>
      </w:r>
      <w:r>
        <w:tab/>
      </w:r>
      <w:r w:rsidR="001E66D4">
        <w:t xml:space="preserve"> </w:t>
      </w:r>
      <w:r w:rsidR="001E66D4">
        <w:t xml:space="preserve">Above, para. 186. </w:t>
      </w:r>
    </w:p>
  </w:footnote>
  <w:footnote w:id="8">
    <w:p w14:paraId="50FB5516" w14:textId="2365D0B0" w:rsidR="001E66D4" w:rsidRDefault="0023080F" w:rsidP="0023080F">
      <w:pPr>
        <w:pStyle w:val="FootnoteText"/>
      </w:pPr>
      <w:r>
        <w:tab/>
      </w:r>
      <w:r w:rsidR="001E66D4">
        <w:rPr>
          <w:rStyle w:val="FootnoteReference"/>
        </w:rPr>
        <w:footnoteRef/>
      </w:r>
      <w:r>
        <w:tab/>
      </w:r>
      <w:r w:rsidR="001E66D4">
        <w:t xml:space="preserve"> </w:t>
      </w:r>
      <w:r w:rsidR="001E66D4" w:rsidRPr="001022B5">
        <w:t xml:space="preserve">Data Retention and Acquisition Regulations 2018 (SI 2018/1123) </w:t>
      </w:r>
      <w:proofErr w:type="spellStart"/>
      <w:r w:rsidR="001E66D4" w:rsidRPr="001022B5">
        <w:t>reg</w:t>
      </w:r>
      <w:proofErr w:type="spellEnd"/>
      <w:r w:rsidR="001E66D4" w:rsidRPr="001022B5">
        <w:t xml:space="preserve"> 1(4) read with Investigatory Powers Act 2016 (Commencement No 11) Regulations 2019 (SI 2019/174) </w:t>
      </w:r>
      <w:proofErr w:type="spellStart"/>
      <w:r w:rsidR="001E66D4" w:rsidRPr="001022B5">
        <w:t>reg</w:t>
      </w:r>
      <w:proofErr w:type="spellEnd"/>
      <w:r w:rsidR="001E66D4" w:rsidRPr="001022B5">
        <w:t xml:space="preserve"> 2(c), which bring IPA s. 61(1) fully into force.</w:t>
      </w:r>
    </w:p>
  </w:footnote>
  <w:footnote w:id="9">
    <w:p w14:paraId="54FC063B" w14:textId="13457353" w:rsidR="001E66D4" w:rsidRDefault="0023080F" w:rsidP="0023080F">
      <w:pPr>
        <w:pStyle w:val="FootnoteText"/>
      </w:pPr>
      <w:r>
        <w:tab/>
      </w:r>
      <w:r w:rsidR="001E66D4">
        <w:rPr>
          <w:rStyle w:val="FootnoteReference"/>
        </w:rPr>
        <w:footnoteRef/>
      </w:r>
      <w:r>
        <w:tab/>
      </w:r>
      <w:r w:rsidR="001E66D4">
        <w:t xml:space="preserve"> </w:t>
      </w:r>
      <w:hyperlink r:id="rId4" w:history="1">
        <w:r w:rsidR="001E66D4" w:rsidRPr="008251CA">
          <w:rPr>
            <w:rStyle w:val="Hyperlink"/>
          </w:rPr>
          <w:t>Privacy International v Secretary of State for Foreign and Commonwealth Affairs &amp; Others</w:t>
        </w:r>
      </w:hyperlink>
      <w:r w:rsidR="001E66D4">
        <w:t xml:space="preserve">, </w:t>
      </w:r>
      <w:r w:rsidR="001E66D4" w:rsidRPr="00A4540C">
        <w:t>Order for Reference to the Court of Justice of the European Union</w:t>
      </w:r>
      <w:r w:rsidR="001E66D4">
        <w:t>, Case No. IPT/15/110/CH.</w:t>
      </w:r>
    </w:p>
  </w:footnote>
  <w:footnote w:id="10">
    <w:p w14:paraId="6387EC15" w14:textId="1EA773E6" w:rsidR="001E66D4" w:rsidRDefault="0023080F" w:rsidP="0023080F">
      <w:pPr>
        <w:pStyle w:val="FootnoteText"/>
      </w:pPr>
      <w:r>
        <w:tab/>
      </w:r>
      <w:r w:rsidR="001E66D4">
        <w:rPr>
          <w:rStyle w:val="FootnoteReference"/>
        </w:rPr>
        <w:footnoteRef/>
      </w:r>
      <w:r>
        <w:tab/>
      </w:r>
      <w:r w:rsidR="001E66D4">
        <w:t xml:space="preserve"> </w:t>
      </w:r>
      <w:hyperlink r:id="rId5" w:history="1">
        <w:r w:rsidR="001E66D4" w:rsidRPr="009561AF">
          <w:rPr>
            <w:rStyle w:val="Hyperlink"/>
          </w:rPr>
          <w:t>Privacy International v Secretary of State for Foreign and Commonwealth Affairs &amp; Others</w:t>
        </w:r>
      </w:hyperlink>
      <w:r w:rsidR="001E66D4">
        <w:t xml:space="preserve">, </w:t>
      </w:r>
      <w:r w:rsidR="001E66D4" w:rsidRPr="00A4540C">
        <w:t>Judgment of the Court of Justice of the European Union (Grand Chamber)</w:t>
      </w:r>
      <w:r w:rsidR="001E66D4">
        <w:t>, Case C-623/17, 6 October 2020.</w:t>
      </w:r>
    </w:p>
  </w:footnote>
  <w:footnote w:id="11">
    <w:p w14:paraId="7078DBFC" w14:textId="015B2791" w:rsidR="001E66D4" w:rsidRDefault="00C93562" w:rsidP="0023080F">
      <w:pPr>
        <w:pStyle w:val="FootnoteText"/>
      </w:pPr>
      <w:r>
        <w:tab/>
      </w:r>
      <w:r w:rsidR="001E66D4">
        <w:rPr>
          <w:rStyle w:val="FootnoteReference"/>
        </w:rPr>
        <w:footnoteRef/>
      </w:r>
      <w:r>
        <w:tab/>
      </w:r>
      <w:r w:rsidR="001E66D4">
        <w:t xml:space="preserve"> </w:t>
      </w:r>
      <w:hyperlink r:id="rId6" w:anchor="{%22documentcollectionid2%22:[%22GRANDCHAMBER%22,%22CHAMBER%22],%22itemid%22:[%22001-210077%22]}" w:history="1">
        <w:r w:rsidR="001E66D4" w:rsidRPr="009561AF">
          <w:rPr>
            <w:rStyle w:val="Hyperlink"/>
          </w:rPr>
          <w:t xml:space="preserve">Big Brother Watch and Others v </w:t>
        </w:r>
        <w:r w:rsidR="001E66D4">
          <w:rPr>
            <w:rStyle w:val="Hyperlink"/>
          </w:rPr>
          <w:t xml:space="preserve">the </w:t>
        </w:r>
        <w:r w:rsidR="001E66D4" w:rsidRPr="009561AF">
          <w:rPr>
            <w:rStyle w:val="Hyperlink"/>
          </w:rPr>
          <w:t>U</w:t>
        </w:r>
        <w:r w:rsidR="001E66D4">
          <w:rPr>
            <w:rStyle w:val="Hyperlink"/>
          </w:rPr>
          <w:t xml:space="preserve">nited </w:t>
        </w:r>
        <w:r w:rsidR="001E66D4" w:rsidRPr="009561AF">
          <w:rPr>
            <w:rStyle w:val="Hyperlink"/>
          </w:rPr>
          <w:t>K</w:t>
        </w:r>
        <w:r w:rsidR="001E66D4">
          <w:rPr>
            <w:rStyle w:val="Hyperlink"/>
          </w:rPr>
          <w:t>ingdom</w:t>
        </w:r>
        <w:r w:rsidR="001E66D4" w:rsidRPr="009561AF">
          <w:rPr>
            <w:rStyle w:val="Hyperlink"/>
          </w:rPr>
          <w:t xml:space="preserve"> (Grand Chamber)</w:t>
        </w:r>
      </w:hyperlink>
      <w:r w:rsidR="001E66D4">
        <w:t>, Application N</w:t>
      </w:r>
      <w:r w:rsidR="001E66D4" w:rsidRPr="009561AF">
        <w:t>os. 58170/13, 62322/14, 24960/15</w:t>
      </w:r>
      <w:r w:rsidR="001E66D4">
        <w:t>, 25 May 2021.</w:t>
      </w:r>
    </w:p>
  </w:footnote>
  <w:footnote w:id="12">
    <w:p w14:paraId="679C4423" w14:textId="4ACFBB9C" w:rsidR="001E66D4" w:rsidRDefault="00C93562" w:rsidP="0023080F">
      <w:pPr>
        <w:pStyle w:val="FootnoteText"/>
      </w:pPr>
      <w:r>
        <w:tab/>
      </w:r>
      <w:r w:rsidR="001E66D4">
        <w:rPr>
          <w:rStyle w:val="FootnoteReference"/>
        </w:rPr>
        <w:footnoteRef/>
      </w:r>
      <w:r>
        <w:tab/>
      </w:r>
      <w:r w:rsidR="001E66D4">
        <w:t xml:space="preserve"> </w:t>
      </w:r>
      <w:r w:rsidR="001E66D4" w:rsidRPr="006F10C1">
        <w:t>Big Brother Watch an</w:t>
      </w:r>
      <w:r w:rsidR="001E66D4">
        <w:t xml:space="preserve">d Others v the United Kingdom, </w:t>
      </w:r>
      <w:r w:rsidR="001E66D4" w:rsidRPr="006F10C1">
        <w:t xml:space="preserve">Application Nos. </w:t>
      </w:r>
      <w:r w:rsidR="001E66D4">
        <w:t xml:space="preserve">58170/13, 62322/14 and 24960/15, </w:t>
      </w:r>
      <w:hyperlink r:id="rId7" w:history="1">
        <w:r w:rsidR="001E66D4" w:rsidRPr="006F10C1">
          <w:rPr>
            <w:rStyle w:val="Hyperlink"/>
          </w:rPr>
          <w:t>Written submissions of the European Network of National Human Rights Institutions</w:t>
        </w:r>
      </w:hyperlink>
      <w:r w:rsidR="001E66D4">
        <w:t xml:space="preserve">, 26 April 2019. </w:t>
      </w:r>
    </w:p>
  </w:footnote>
  <w:footnote w:id="13">
    <w:p w14:paraId="70EEDAA3" w14:textId="675B7E9D" w:rsidR="001E66D4" w:rsidRDefault="00C93562" w:rsidP="0023080F">
      <w:pPr>
        <w:pStyle w:val="FootnoteText"/>
      </w:pPr>
      <w:r>
        <w:tab/>
      </w:r>
      <w:r w:rsidR="001E66D4">
        <w:rPr>
          <w:rStyle w:val="FootnoteReference"/>
        </w:rPr>
        <w:footnoteRef/>
      </w:r>
      <w:r>
        <w:tab/>
      </w:r>
      <w:r w:rsidR="001E66D4">
        <w:t xml:space="preserve"> </w:t>
      </w:r>
      <w:r w:rsidR="001E66D4" w:rsidRPr="008251CA">
        <w:t>Joint Committee on Human Rights</w:t>
      </w:r>
      <w:r w:rsidR="001E66D4">
        <w:t xml:space="preserve"> (2020), </w:t>
      </w:r>
      <w:hyperlink r:id="rId8" w:history="1">
        <w:r w:rsidR="001E66D4" w:rsidRPr="008251CA">
          <w:rPr>
            <w:rStyle w:val="Hyperlink"/>
          </w:rPr>
          <w:t>Human Rights and the Government’s Response to Covid-19: Digital Contact Tracing</w:t>
        </w:r>
      </w:hyperlink>
      <w:r w:rsidR="001E66D4">
        <w:t>.</w:t>
      </w:r>
    </w:p>
  </w:footnote>
  <w:footnote w:id="14">
    <w:p w14:paraId="16469CF3" w14:textId="2470F393" w:rsidR="001E66D4" w:rsidRDefault="00C93562" w:rsidP="0023080F">
      <w:pPr>
        <w:pStyle w:val="FootnoteText"/>
      </w:pPr>
      <w:r>
        <w:tab/>
      </w:r>
      <w:r w:rsidR="001E66D4">
        <w:rPr>
          <w:rStyle w:val="FootnoteReference"/>
        </w:rPr>
        <w:footnoteRef/>
      </w:r>
      <w:r>
        <w:tab/>
      </w:r>
      <w:r w:rsidR="001E66D4">
        <w:t xml:space="preserve"> </w:t>
      </w:r>
      <w:r w:rsidR="001E66D4">
        <w:t xml:space="preserve">Department of Health and Social Care (2020), </w:t>
      </w:r>
      <w:hyperlink r:id="rId9" w:history="1">
        <w:r w:rsidR="001E66D4" w:rsidRPr="006F10C1">
          <w:rPr>
            <w:rStyle w:val="Hyperlink"/>
          </w:rPr>
          <w:t>Health and Social Care Secretary's statement on coronavirus (COVID-19): 18 June 2020</w:t>
        </w:r>
      </w:hyperlink>
      <w:r w:rsidR="001E66D4">
        <w:t xml:space="preserve">; Department of Health and Social Care (2020), </w:t>
      </w:r>
      <w:hyperlink r:id="rId10" w:history="1">
        <w:r w:rsidR="001E66D4" w:rsidRPr="006F10C1">
          <w:rPr>
            <w:rStyle w:val="Hyperlink"/>
          </w:rPr>
          <w:t>Breaking chains of COVID-19 transmission to help people return to more normal lives: developing the NHS Test and Trace service</w:t>
        </w:r>
      </w:hyperlink>
      <w:r w:rsidR="001E66D4">
        <w:t>.</w:t>
      </w:r>
    </w:p>
  </w:footnote>
  <w:footnote w:id="15">
    <w:p w14:paraId="2DFFC1F6" w14:textId="3246C522" w:rsidR="001E66D4" w:rsidRDefault="00C93562" w:rsidP="0023080F">
      <w:pPr>
        <w:pStyle w:val="FootnoteText"/>
      </w:pPr>
      <w:r>
        <w:tab/>
      </w:r>
      <w:r w:rsidR="001E66D4">
        <w:rPr>
          <w:rStyle w:val="FootnoteReference"/>
        </w:rPr>
        <w:footnoteRef/>
      </w:r>
      <w:r>
        <w:tab/>
      </w:r>
      <w:r w:rsidR="001E66D4">
        <w:t xml:space="preserve"> </w:t>
      </w:r>
      <w:r w:rsidR="001E66D4">
        <w:t xml:space="preserve">Government Legal Department (2020), </w:t>
      </w:r>
      <w:hyperlink r:id="rId11" w:history="1">
        <w:r w:rsidR="001E66D4" w:rsidRPr="000C7818">
          <w:rPr>
            <w:rStyle w:val="Hyperlink"/>
          </w:rPr>
          <w:t>Letter RE: Open Rights Group and the NHS Test &amp; Trace Programme</w:t>
        </w:r>
      </w:hyperlink>
      <w:r w:rsidR="001E66D4">
        <w:t>.</w:t>
      </w:r>
    </w:p>
  </w:footnote>
  <w:footnote w:id="16">
    <w:p w14:paraId="47C0D03C" w14:textId="22CB9A5C" w:rsidR="001E66D4" w:rsidRDefault="00C93562" w:rsidP="0023080F">
      <w:pPr>
        <w:pStyle w:val="FootnoteText"/>
      </w:pPr>
      <w:r>
        <w:tab/>
      </w:r>
      <w:r w:rsidR="001E66D4">
        <w:rPr>
          <w:rStyle w:val="FootnoteReference"/>
        </w:rPr>
        <w:footnoteRef/>
      </w:r>
      <w:r>
        <w:tab/>
      </w:r>
      <w:r w:rsidR="001E66D4">
        <w:t xml:space="preserve"> </w:t>
      </w:r>
      <w:r w:rsidR="001E66D4">
        <w:t xml:space="preserve">Department of Health and Social Care (2020), </w:t>
      </w:r>
      <w:hyperlink r:id="rId12" w:history="1">
        <w:r w:rsidR="001E66D4" w:rsidRPr="000C7818">
          <w:rPr>
            <w:rStyle w:val="Hyperlink"/>
          </w:rPr>
          <w:t>NHS COVID-19 app: privacy information</w:t>
        </w:r>
      </w:hyperlink>
      <w:r w:rsidR="001E66D4">
        <w:t>.</w:t>
      </w:r>
    </w:p>
  </w:footnote>
  <w:footnote w:id="17">
    <w:p w14:paraId="4B016DC8" w14:textId="095B7431" w:rsidR="001E66D4" w:rsidRPr="000C7818" w:rsidRDefault="00C93562" w:rsidP="0023080F">
      <w:pPr>
        <w:pStyle w:val="FootnoteText"/>
        <w:rPr>
          <w:rStyle w:val="Hyperlink"/>
        </w:rPr>
      </w:pPr>
      <w:r>
        <w:tab/>
      </w:r>
      <w:r w:rsidR="001E66D4">
        <w:rPr>
          <w:rStyle w:val="FootnoteReference"/>
        </w:rPr>
        <w:footnoteRef/>
      </w:r>
      <w:r>
        <w:tab/>
      </w:r>
      <w:r w:rsidR="001E66D4">
        <w:t xml:space="preserve"> </w:t>
      </w:r>
      <w:r w:rsidR="001E66D4" w:rsidRPr="008251CA">
        <w:t>Joint Committee on Human Rights</w:t>
      </w:r>
      <w:r w:rsidR="001E66D4">
        <w:t xml:space="preserve"> (2020), </w:t>
      </w:r>
      <w:r w:rsidR="001E66D4">
        <w:fldChar w:fldCharType="begin"/>
      </w:r>
      <w:r w:rsidR="001E66D4">
        <w:instrText xml:space="preserve"> HYPERLINK "https://committees.parliament.uk/publications/2649/documents/26914/default/" </w:instrText>
      </w:r>
      <w:r w:rsidR="001E66D4">
        <w:fldChar w:fldCharType="separate"/>
      </w:r>
      <w:r w:rsidR="001E66D4" w:rsidRPr="000C7818">
        <w:rPr>
          <w:rStyle w:val="Hyperlink"/>
        </w:rPr>
        <w:t>The Government’s response to COVID-19: human rights</w:t>
      </w:r>
    </w:p>
    <w:p w14:paraId="10DD5F49" w14:textId="77777777" w:rsidR="001E66D4" w:rsidRDefault="001E66D4" w:rsidP="001E66D4">
      <w:pPr>
        <w:pStyle w:val="FootnoteText"/>
        <w:tabs>
          <w:tab w:val="clear" w:pos="1021"/>
        </w:tabs>
        <w:ind w:firstLine="0"/>
      </w:pPr>
      <w:r w:rsidRPr="000C7818">
        <w:rPr>
          <w:rStyle w:val="Hyperlink"/>
        </w:rPr>
        <w:t>implications</w:t>
      </w:r>
      <w:r>
        <w:fldChar w:fldCharType="end"/>
      </w:r>
      <w:r>
        <w:t>, p.50-52.</w:t>
      </w:r>
    </w:p>
  </w:footnote>
  <w:footnote w:id="18">
    <w:p w14:paraId="179D2DE4" w14:textId="62EBB62F" w:rsidR="001E66D4" w:rsidRDefault="00C93562" w:rsidP="0023080F">
      <w:pPr>
        <w:pStyle w:val="FootnoteText"/>
      </w:pPr>
      <w:r>
        <w:tab/>
      </w:r>
      <w:r w:rsidR="001E66D4">
        <w:rPr>
          <w:rStyle w:val="FootnoteReference"/>
        </w:rPr>
        <w:footnoteRef/>
      </w:r>
      <w:r>
        <w:tab/>
      </w:r>
      <w:r w:rsidR="001E66D4">
        <w:t xml:space="preserve"> </w:t>
      </w:r>
      <w:r w:rsidR="001E66D4">
        <w:t xml:space="preserve">Coronavirus Act 2020, sections 22 and 23. </w:t>
      </w:r>
    </w:p>
  </w:footnote>
  <w:footnote w:id="19">
    <w:p w14:paraId="03F64A6A" w14:textId="658C3B43" w:rsidR="001E66D4" w:rsidRDefault="00C93562" w:rsidP="0023080F">
      <w:pPr>
        <w:pStyle w:val="FootnoteText"/>
      </w:pPr>
      <w:r>
        <w:tab/>
      </w:r>
      <w:r w:rsidR="001E66D4">
        <w:rPr>
          <w:rStyle w:val="FootnoteReference"/>
        </w:rPr>
        <w:footnoteRef/>
      </w:r>
      <w:r>
        <w:tab/>
      </w:r>
      <w:r w:rsidR="001E66D4">
        <w:t xml:space="preserve"> </w:t>
      </w:r>
      <w:hyperlink r:id="rId13" w:history="1">
        <w:r w:rsidR="001E66D4" w:rsidRPr="008251CA">
          <w:rPr>
            <w:rStyle w:val="Hyperlink"/>
          </w:rPr>
          <w:t>The Investigatory Powers (Temporary Judicial Commissioners and Modification of Time Limits) Regulations 2020</w:t>
        </w:r>
      </w:hyperlink>
      <w:r w:rsidR="001E66D4">
        <w:t>.</w:t>
      </w:r>
    </w:p>
  </w:footnote>
  <w:footnote w:id="20">
    <w:p w14:paraId="1A917C08" w14:textId="4892A493" w:rsidR="001E66D4" w:rsidRPr="00C93562" w:rsidRDefault="0023080F" w:rsidP="0023080F">
      <w:pPr>
        <w:pStyle w:val="FootnoteText"/>
        <w:rPr>
          <w:lang w:val="en-GB"/>
        </w:rPr>
      </w:pPr>
      <w:r>
        <w:tab/>
      </w:r>
      <w:r w:rsidR="001E66D4">
        <w:rPr>
          <w:rStyle w:val="FootnoteReference"/>
        </w:rPr>
        <w:footnoteRef/>
      </w:r>
      <w:r>
        <w:tab/>
      </w:r>
      <w:r w:rsidR="001E66D4">
        <w:t xml:space="preserve"> </w:t>
      </w:r>
      <w:hyperlink r:id="rId14" w:history="1">
        <w:r w:rsidR="001E66D4" w:rsidRPr="00304F7D">
          <w:rPr>
            <w:rStyle w:val="Hyperlink"/>
          </w:rPr>
          <w:t>Children Social Care (Coronavirus) (Temporary Modification of Children’s Social Care) Regulations (NI) 2020</w:t>
        </w:r>
      </w:hyperlink>
      <w:r w:rsidR="00C93562">
        <w:rPr>
          <w:rStyle w:val="Hyperlink"/>
          <w:lang w:val="en-GB"/>
        </w:rPr>
        <w:t>.</w:t>
      </w:r>
    </w:p>
  </w:footnote>
  <w:footnote w:id="21">
    <w:p w14:paraId="5A50093C" w14:textId="4855E0E2" w:rsidR="001E66D4" w:rsidRDefault="0023080F" w:rsidP="0023080F">
      <w:pPr>
        <w:pStyle w:val="FootnoteText"/>
      </w:pPr>
      <w:r>
        <w:tab/>
      </w:r>
      <w:r w:rsidR="001E66D4">
        <w:rPr>
          <w:rStyle w:val="FootnoteReference"/>
        </w:rPr>
        <w:footnoteRef/>
      </w:r>
      <w:r>
        <w:tab/>
      </w:r>
      <w:r w:rsidR="001E66D4">
        <w:t xml:space="preserve"> </w:t>
      </w:r>
      <w:r w:rsidR="001E66D4">
        <w:t>NIHRC, ‘</w:t>
      </w:r>
      <w:hyperlink r:id="rId15" w:history="1">
        <w:r w:rsidR="001E66D4" w:rsidRPr="00FB11FF">
          <w:rPr>
            <w:rStyle w:val="Hyperlink"/>
          </w:rPr>
          <w:t>Submission on the Children Social Care (Coronavirus) (Temporary Modification of Children’s Social Care) Regulations (NI) 2020’</w:t>
        </w:r>
      </w:hyperlink>
      <w:r w:rsidR="001E66D4">
        <w:t>, May 2020.</w:t>
      </w:r>
    </w:p>
  </w:footnote>
  <w:footnote w:id="22">
    <w:p w14:paraId="4B7F23D4" w14:textId="18AF0147" w:rsidR="001E66D4" w:rsidRDefault="00C93562" w:rsidP="00C93562">
      <w:pPr>
        <w:pStyle w:val="FootnoteText"/>
      </w:pPr>
      <w:r>
        <w:tab/>
      </w:r>
      <w:r w:rsidR="001E66D4">
        <w:rPr>
          <w:rStyle w:val="FootnoteReference"/>
        </w:rPr>
        <w:footnoteRef/>
      </w:r>
      <w:r>
        <w:tab/>
      </w:r>
      <w:r w:rsidR="001E66D4">
        <w:t xml:space="preserve"> </w:t>
      </w:r>
      <w:hyperlink r:id="rId16" w:anchor="{%22itemid%22:[%22001-189424%22]}" w:history="1">
        <w:r w:rsidR="001E66D4" w:rsidRPr="00E05DF2">
          <w:rPr>
            <w:rStyle w:val="Hyperlink"/>
          </w:rPr>
          <w:t xml:space="preserve">Catt v </w:t>
        </w:r>
        <w:r w:rsidR="001E66D4">
          <w:rPr>
            <w:rStyle w:val="Hyperlink"/>
          </w:rPr>
          <w:t xml:space="preserve">the </w:t>
        </w:r>
        <w:r w:rsidR="001E66D4" w:rsidRPr="00E05DF2">
          <w:rPr>
            <w:rStyle w:val="Hyperlink"/>
          </w:rPr>
          <w:t>United Kingdom</w:t>
        </w:r>
      </w:hyperlink>
      <w:r w:rsidR="001E66D4">
        <w:t xml:space="preserve">, </w:t>
      </w:r>
      <w:r w:rsidR="001E66D4" w:rsidRPr="00E05DF2">
        <w:t>Application no. 43514/15</w:t>
      </w:r>
      <w:r w:rsidR="001E66D4">
        <w:t>, 24 January 2019.</w:t>
      </w:r>
    </w:p>
  </w:footnote>
  <w:footnote w:id="23">
    <w:p w14:paraId="678E5E78" w14:textId="1CD9FFE3" w:rsidR="001E66D4" w:rsidRPr="00C93562" w:rsidRDefault="00C93562" w:rsidP="00C93562">
      <w:pPr>
        <w:pStyle w:val="FootnoteText"/>
        <w:rPr>
          <w:lang w:val="en-GB"/>
        </w:rPr>
      </w:pPr>
      <w:r>
        <w:tab/>
      </w:r>
      <w:r w:rsidR="001E66D4">
        <w:rPr>
          <w:rStyle w:val="FootnoteReference"/>
        </w:rPr>
        <w:footnoteRef/>
      </w:r>
      <w:r>
        <w:tab/>
      </w:r>
      <w:r w:rsidR="001E66D4">
        <w:t xml:space="preserve"> </w:t>
      </w:r>
      <w:hyperlink r:id="rId17" w:history="1">
        <w:r w:rsidR="001E66D4" w:rsidRPr="00D83F2E">
          <w:rPr>
            <w:rStyle w:val="Hyperlink"/>
          </w:rPr>
          <w:t>Bridges v South Wales Police</w:t>
        </w:r>
      </w:hyperlink>
      <w:r w:rsidR="001E66D4">
        <w:t>,</w:t>
      </w:r>
      <w:r w:rsidR="001E66D4" w:rsidRPr="00D83F2E">
        <w:t xml:space="preserve"> </w:t>
      </w:r>
      <w:r w:rsidR="001E66D4">
        <w:t xml:space="preserve">Court of Appeal, </w:t>
      </w:r>
      <w:r w:rsidR="001E66D4" w:rsidRPr="00D83F2E">
        <w:t>Case No: C1/2019/2670</w:t>
      </w:r>
      <w:r w:rsidR="001E66D4">
        <w:t>, 11 August 2020</w:t>
      </w:r>
      <w:r>
        <w:rPr>
          <w:lang w:val="en-GB"/>
        </w:rPr>
        <w:t>.</w:t>
      </w:r>
    </w:p>
  </w:footnote>
  <w:footnote w:id="24">
    <w:p w14:paraId="5BCB155B" w14:textId="7DCCE5B3" w:rsidR="001E66D4" w:rsidRPr="00C93562" w:rsidRDefault="00C93562" w:rsidP="00C93562">
      <w:pPr>
        <w:pStyle w:val="FootnoteText"/>
        <w:rPr>
          <w:lang w:val="en-GB"/>
        </w:rPr>
      </w:pPr>
      <w:r>
        <w:tab/>
      </w:r>
      <w:r w:rsidR="001E66D4">
        <w:rPr>
          <w:rStyle w:val="FootnoteReference"/>
        </w:rPr>
        <w:footnoteRef/>
      </w:r>
      <w:r>
        <w:tab/>
      </w:r>
      <w:r w:rsidR="001E66D4">
        <w:t xml:space="preserve"> </w:t>
      </w:r>
      <w:hyperlink r:id="rId18" w:history="1">
        <w:r w:rsidR="001E66D4" w:rsidRPr="00A87391">
          <w:rPr>
            <w:rStyle w:val="Hyperlink"/>
          </w:rPr>
          <w:t>Information Commissioner’s Opinion: The use of live facial recognition technology by law enforcement in public places</w:t>
        </w:r>
      </w:hyperlink>
      <w:r w:rsidR="001E66D4">
        <w:t>, 31 October 2019</w:t>
      </w:r>
      <w:r>
        <w:rPr>
          <w:lang w:val="en-GB"/>
        </w:rPr>
        <w:t>.</w:t>
      </w:r>
    </w:p>
  </w:footnote>
  <w:footnote w:id="25">
    <w:p w14:paraId="18FF3641" w14:textId="7337990E" w:rsidR="001E66D4" w:rsidRPr="00C93562" w:rsidRDefault="00C93562" w:rsidP="00C93562">
      <w:pPr>
        <w:pStyle w:val="FootnoteText"/>
        <w:rPr>
          <w:lang w:val="en-GB"/>
        </w:rPr>
      </w:pPr>
      <w:r>
        <w:tab/>
      </w:r>
      <w:r w:rsidR="001E66D4">
        <w:rPr>
          <w:rStyle w:val="FootnoteReference"/>
        </w:rPr>
        <w:footnoteRef/>
      </w:r>
      <w:r>
        <w:tab/>
      </w:r>
      <w:r w:rsidR="001E66D4">
        <w:t xml:space="preserve"> </w:t>
      </w:r>
      <w:hyperlink r:id="rId19" w:history="1">
        <w:r w:rsidR="001E66D4" w:rsidRPr="005D325E">
          <w:rPr>
            <w:rStyle w:val="Hyperlink"/>
          </w:rPr>
          <w:t>Information Commissioner’s Opinion: The use of live facial recognition technology in public places</w:t>
        </w:r>
      </w:hyperlink>
      <w:r w:rsidR="001E66D4">
        <w:t>, 18 June 2021</w:t>
      </w:r>
      <w:r>
        <w:rPr>
          <w:lang w:val="en-GB"/>
        </w:rPr>
        <w:t>.</w:t>
      </w:r>
    </w:p>
  </w:footnote>
  <w:footnote w:id="26">
    <w:p w14:paraId="11D10833" w14:textId="6B3E1E4F" w:rsidR="001E66D4" w:rsidRPr="00C93562" w:rsidRDefault="00C93562" w:rsidP="00C93562">
      <w:pPr>
        <w:pStyle w:val="FootnoteText"/>
        <w:rPr>
          <w:lang w:val="en-GB"/>
        </w:rPr>
      </w:pPr>
      <w:r>
        <w:tab/>
      </w:r>
      <w:r w:rsidR="001E66D4">
        <w:rPr>
          <w:rStyle w:val="FootnoteReference"/>
        </w:rPr>
        <w:footnoteRef/>
      </w:r>
      <w:r>
        <w:tab/>
      </w:r>
      <w:r w:rsidR="001E66D4">
        <w:t xml:space="preserve"> </w:t>
      </w:r>
      <w:hyperlink r:id="rId20" w:anchor="{%22itemid%22:[%22001-90051%22]}" w:history="1">
        <w:r w:rsidR="001E66D4" w:rsidRPr="006F29A4">
          <w:rPr>
            <w:rStyle w:val="Hyperlink"/>
          </w:rPr>
          <w:t xml:space="preserve">S and </w:t>
        </w:r>
        <w:proofErr w:type="spellStart"/>
        <w:r w:rsidR="001E66D4" w:rsidRPr="006F29A4">
          <w:rPr>
            <w:rStyle w:val="Hyperlink"/>
          </w:rPr>
          <w:t>Marper</w:t>
        </w:r>
        <w:proofErr w:type="spellEnd"/>
        <w:r w:rsidR="001E66D4" w:rsidRPr="006F29A4">
          <w:rPr>
            <w:rStyle w:val="Hyperlink"/>
          </w:rPr>
          <w:t xml:space="preserve"> v the United Kingdom</w:t>
        </w:r>
      </w:hyperlink>
      <w:r w:rsidR="001E66D4">
        <w:t xml:space="preserve">, Application no. </w:t>
      </w:r>
      <w:r w:rsidR="001E66D4" w:rsidRPr="006F29A4">
        <w:t>30562/04 and 30566/04</w:t>
      </w:r>
      <w:r w:rsidR="001E66D4">
        <w:t>, 4 December 2008</w:t>
      </w:r>
      <w:r>
        <w:rPr>
          <w:lang w:val="en-GB"/>
        </w:rPr>
        <w:t>.</w:t>
      </w:r>
    </w:p>
  </w:footnote>
  <w:footnote w:id="27">
    <w:p w14:paraId="1B3442EE" w14:textId="6EE208FB" w:rsidR="001E66D4" w:rsidRPr="00C93562" w:rsidRDefault="00C93562" w:rsidP="00C93562">
      <w:pPr>
        <w:pStyle w:val="FootnoteText"/>
        <w:rPr>
          <w:lang w:val="en-GB"/>
        </w:rPr>
      </w:pPr>
      <w:r>
        <w:tab/>
      </w:r>
      <w:r w:rsidR="001E66D4">
        <w:rPr>
          <w:rStyle w:val="FootnoteReference"/>
        </w:rPr>
        <w:footnoteRef/>
      </w:r>
      <w:r>
        <w:tab/>
      </w:r>
      <w:r w:rsidR="001E66D4">
        <w:t xml:space="preserve"> </w:t>
      </w:r>
      <w:r w:rsidR="001E66D4" w:rsidRPr="009227C8">
        <w:t>Criminal Justice Act (NI) 2013</w:t>
      </w:r>
      <w:r>
        <w:rPr>
          <w:lang w:val="en-GB"/>
        </w:rPr>
        <w:t>.</w:t>
      </w:r>
    </w:p>
  </w:footnote>
  <w:footnote w:id="28">
    <w:p w14:paraId="3EF852FE" w14:textId="666174CB" w:rsidR="001E66D4" w:rsidRDefault="00C93562" w:rsidP="00C93562">
      <w:pPr>
        <w:pStyle w:val="FootnoteText"/>
      </w:pPr>
      <w:r>
        <w:tab/>
      </w:r>
      <w:r w:rsidR="001E66D4">
        <w:rPr>
          <w:rStyle w:val="FootnoteReference"/>
        </w:rPr>
        <w:footnoteRef/>
      </w:r>
      <w:r>
        <w:tab/>
      </w:r>
      <w:r w:rsidR="001E66D4">
        <w:t xml:space="preserve"> </w:t>
      </w:r>
      <w:hyperlink r:id="rId21" w:history="1">
        <w:proofErr w:type="spellStart"/>
        <w:r w:rsidR="001E66D4" w:rsidRPr="000D2E56">
          <w:rPr>
            <w:rStyle w:val="Hyperlink"/>
          </w:rPr>
          <w:t>Gaughran</w:t>
        </w:r>
        <w:proofErr w:type="spellEnd"/>
        <w:r w:rsidR="001E66D4" w:rsidRPr="000D2E56">
          <w:rPr>
            <w:rStyle w:val="Hyperlink"/>
          </w:rPr>
          <w:t xml:space="preserve"> v the United Kingdom</w:t>
        </w:r>
      </w:hyperlink>
      <w:r w:rsidR="001E66D4">
        <w:t>, Application no 45245/15, 13 June 2020.</w:t>
      </w:r>
    </w:p>
  </w:footnote>
  <w:footnote w:id="29">
    <w:p w14:paraId="5794AC65" w14:textId="49D466A2" w:rsidR="001E66D4" w:rsidRDefault="00C93562" w:rsidP="00C93562">
      <w:pPr>
        <w:pStyle w:val="FootnoteText"/>
      </w:pPr>
      <w:r>
        <w:tab/>
      </w:r>
      <w:r w:rsidR="001E66D4">
        <w:rPr>
          <w:rStyle w:val="FootnoteReference"/>
        </w:rPr>
        <w:footnoteRef/>
      </w:r>
      <w:r>
        <w:tab/>
      </w:r>
      <w:r w:rsidR="001E66D4">
        <w:t xml:space="preserve"> </w:t>
      </w:r>
      <w:r w:rsidR="001E66D4">
        <w:t>NIHRC, ‘</w:t>
      </w:r>
      <w:hyperlink r:id="rId22" w:history="1">
        <w:r w:rsidR="001E66D4" w:rsidRPr="000D2E56">
          <w:rPr>
            <w:rStyle w:val="Hyperlink"/>
          </w:rPr>
          <w:t xml:space="preserve">Submission to </w:t>
        </w:r>
        <w:proofErr w:type="spellStart"/>
        <w:r w:rsidR="001E66D4" w:rsidRPr="000D2E56">
          <w:rPr>
            <w:rStyle w:val="Hyperlink"/>
          </w:rPr>
          <w:t>to</w:t>
        </w:r>
        <w:proofErr w:type="spellEnd"/>
        <w:r w:rsidR="001E66D4" w:rsidRPr="000D2E56">
          <w:rPr>
            <w:rStyle w:val="Hyperlink"/>
          </w:rPr>
          <w:t xml:space="preserve"> </w:t>
        </w:r>
        <w:proofErr w:type="spellStart"/>
        <w:r w:rsidR="001E66D4" w:rsidRPr="000D2E56">
          <w:rPr>
            <w:rStyle w:val="Hyperlink"/>
          </w:rPr>
          <w:t>Do</w:t>
        </w:r>
        <w:r w:rsidR="001E66D4">
          <w:rPr>
            <w:rStyle w:val="Hyperlink"/>
          </w:rPr>
          <w:t>J</w:t>
        </w:r>
        <w:proofErr w:type="spellEnd"/>
        <w:r w:rsidR="001E66D4">
          <w:rPr>
            <w:rStyle w:val="Hyperlink"/>
          </w:rPr>
          <w:t xml:space="preserve"> Consultation on Proposals to </w:t>
        </w:r>
        <w:r w:rsidR="001E66D4" w:rsidRPr="000D2E56">
          <w:rPr>
            <w:rStyle w:val="Hyperlink"/>
          </w:rPr>
          <w:t>Amend the Legislation Governing the Retention  of DNA and Fingerprints in NI’</w:t>
        </w:r>
      </w:hyperlink>
      <w:r w:rsidR="001E66D4">
        <w:t>, September 2020; NIHRC, ‘Submission to the Committee for Justice on Proposals to Amend the Legislation Governing the Retention of DNA  and Fingerprints in Northern Ireland – Outcome of Consultation and Proposed Way Forward’, 14 December 2020.</w:t>
      </w:r>
    </w:p>
  </w:footnote>
  <w:footnote w:id="30">
    <w:p w14:paraId="7DA67B86" w14:textId="101ADD52" w:rsidR="001E66D4" w:rsidRDefault="00C93562" w:rsidP="00C93562">
      <w:pPr>
        <w:pStyle w:val="FootnoteText"/>
      </w:pPr>
      <w:r>
        <w:tab/>
      </w:r>
      <w:r w:rsidR="001E66D4">
        <w:rPr>
          <w:rStyle w:val="FootnoteReference"/>
        </w:rPr>
        <w:footnoteRef/>
      </w:r>
      <w:r>
        <w:tab/>
      </w:r>
      <w:r w:rsidR="001E66D4">
        <w:t xml:space="preserve"> </w:t>
      </w:r>
      <w:r w:rsidR="001E66D4">
        <w:t>NIHRC, ‘</w:t>
      </w:r>
      <w:hyperlink r:id="rId23" w:history="1">
        <w:r w:rsidR="001E66D4" w:rsidRPr="00693CD2">
          <w:rPr>
            <w:rStyle w:val="Hyperlink"/>
          </w:rPr>
          <w:t>Submission to the Commit</w:t>
        </w:r>
        <w:r w:rsidR="001E66D4">
          <w:rPr>
            <w:rStyle w:val="Hyperlink"/>
          </w:rPr>
          <w:t xml:space="preserve">tee of Ministers in </w:t>
        </w:r>
        <w:r w:rsidR="001E66D4" w:rsidRPr="00693CD2">
          <w:rPr>
            <w:rStyle w:val="Hyperlink"/>
          </w:rPr>
          <w:t>Relation t</w:t>
        </w:r>
        <w:r w:rsidR="001E66D4">
          <w:rPr>
            <w:rStyle w:val="Hyperlink"/>
          </w:rPr>
          <w:t xml:space="preserve">o the Supervision of the Cases </w:t>
        </w:r>
        <w:r w:rsidR="001E66D4" w:rsidRPr="00693CD2">
          <w:rPr>
            <w:rStyle w:val="Hyperlink"/>
          </w:rPr>
          <w:t>Concerni</w:t>
        </w:r>
        <w:r w:rsidR="001E66D4">
          <w:rPr>
            <w:rStyle w:val="Hyperlink"/>
          </w:rPr>
          <w:t xml:space="preserve">ng the Actions of the Security </w:t>
        </w:r>
        <w:r w:rsidR="001E66D4" w:rsidRPr="00693CD2">
          <w:rPr>
            <w:rStyle w:val="Hyperlink"/>
          </w:rPr>
          <w:t>Forces in Northern Ireland’</w:t>
        </w:r>
      </w:hyperlink>
      <w:r w:rsidR="001E66D4">
        <w:t>, May 2020.</w:t>
      </w:r>
    </w:p>
  </w:footnote>
  <w:footnote w:id="31">
    <w:p w14:paraId="76DDC5E7" w14:textId="2B864597" w:rsidR="001E66D4" w:rsidRPr="00C93562" w:rsidRDefault="00C93562" w:rsidP="00C93562">
      <w:pPr>
        <w:pStyle w:val="FootnoteText"/>
        <w:rPr>
          <w:lang w:val="en-GB"/>
        </w:rPr>
      </w:pPr>
      <w:r>
        <w:tab/>
      </w:r>
      <w:r w:rsidR="001E66D4">
        <w:rPr>
          <w:rStyle w:val="FootnoteReference"/>
        </w:rPr>
        <w:footnoteRef/>
      </w:r>
      <w:r>
        <w:tab/>
      </w:r>
      <w:r w:rsidR="001E66D4">
        <w:t xml:space="preserve"> </w:t>
      </w:r>
      <w:r w:rsidR="001E66D4">
        <w:t>Written Ministerial Statement, ‘</w:t>
      </w:r>
      <w:hyperlink r:id="rId24" w:history="1">
        <w:r w:rsidR="001E66D4" w:rsidRPr="006F6FF4">
          <w:rPr>
            <w:rStyle w:val="Hyperlink"/>
          </w:rPr>
          <w:t>Addressing Northern Ireland Legacy Issues’</w:t>
        </w:r>
      </w:hyperlink>
      <w:r w:rsidR="001E66D4" w:rsidRPr="006F6FF4">
        <w:t xml:space="preserve"> 18 March 2020</w:t>
      </w:r>
      <w:r>
        <w:rPr>
          <w:lang w:val="en-GB"/>
        </w:rPr>
        <w:t>.</w:t>
      </w:r>
    </w:p>
  </w:footnote>
  <w:footnote w:id="32">
    <w:p w14:paraId="34FE236F" w14:textId="40325C7A" w:rsidR="001E66D4" w:rsidRPr="00C93562" w:rsidRDefault="00C93562" w:rsidP="00C93562">
      <w:pPr>
        <w:pStyle w:val="FootnoteText"/>
        <w:rPr>
          <w:lang w:val="en-GB"/>
        </w:rPr>
      </w:pPr>
      <w:r>
        <w:tab/>
      </w:r>
      <w:r w:rsidR="001E66D4">
        <w:rPr>
          <w:rStyle w:val="FootnoteReference"/>
        </w:rPr>
        <w:footnoteRef/>
      </w:r>
      <w:r>
        <w:tab/>
      </w:r>
      <w:r w:rsidR="001E66D4">
        <w:t xml:space="preserve"> </w:t>
      </w:r>
      <w:hyperlink r:id="rId25" w:history="1">
        <w:r w:rsidR="001E66D4" w:rsidRPr="00693CD2">
          <w:rPr>
            <w:rStyle w:val="Hyperlink"/>
          </w:rPr>
          <w:t>The Protection of Freedoms Act 2012 (Destruction, Retention and Use of Biometric Data) (Transitional, Transitory and Saving Provisions) (Amendment) Order 2020</w:t>
        </w:r>
      </w:hyperlink>
      <w:r>
        <w:rPr>
          <w:rStyle w:val="Hyperlink"/>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88D9" w14:textId="72981BC2" w:rsidR="00DB7780" w:rsidRPr="002E7581" w:rsidRDefault="002E7581" w:rsidP="002E7581">
    <w:pPr>
      <w:pStyle w:val="Header"/>
    </w:pPr>
    <w:r w:rsidRPr="002E7581">
      <w:rPr>
        <w:lang w:val="fr-CH"/>
      </w:rPr>
      <w:t>A/HRC/47/NI/</w:t>
    </w:r>
    <w:r w:rsidR="001E66D4">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93CC" w14:textId="6FE58E5D" w:rsidR="00DB7780" w:rsidRPr="00277516" w:rsidRDefault="00445BC4" w:rsidP="00932EE4">
    <w:pPr>
      <w:pStyle w:val="Header"/>
      <w:jc w:val="right"/>
    </w:pPr>
    <w:r>
      <w:t>A/HRC/47/NI/</w:t>
    </w:r>
    <w:r w:rsidR="001E66D4">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334A0"/>
    <w:multiLevelType w:val="hybridMultilevel"/>
    <w:tmpl w:val="02B63CB8"/>
    <w:lvl w:ilvl="0" w:tplc="15F24824">
      <w:start w:val="2013"/>
      <w:numFmt w:val="bullet"/>
      <w:lvlText w:val="-"/>
      <w:lvlJc w:val="left"/>
      <w:pPr>
        <w:ind w:left="1494" w:hanging="360"/>
      </w:pPr>
      <w:rPr>
        <w:rFonts w:ascii="Calibri" w:eastAsia="Calibri" w:hAnsi="Calibri"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5"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F02F8"/>
    <w:multiLevelType w:val="hybridMultilevel"/>
    <w:tmpl w:val="0ADAAE56"/>
    <w:lvl w:ilvl="0" w:tplc="EE3E5700">
      <w:start w:val="21"/>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4E06154"/>
    <w:multiLevelType w:val="hybridMultilevel"/>
    <w:tmpl w:val="7DC8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3"/>
  </w:num>
  <w:num w:numId="3">
    <w:abstractNumId w:val="19"/>
  </w:num>
  <w:num w:numId="4">
    <w:abstractNumId w:val="12"/>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5"/>
  </w:num>
  <w:num w:numId="18">
    <w:abstractNumId w:val="14"/>
  </w:num>
  <w:num w:numId="19">
    <w:abstractNumId w:val="18"/>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fr-CH"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F"/>
    <w:rsid w:val="00000DD7"/>
    <w:rsid w:val="00001105"/>
    <w:rsid w:val="00007F7F"/>
    <w:rsid w:val="00011646"/>
    <w:rsid w:val="00014FF6"/>
    <w:rsid w:val="00015703"/>
    <w:rsid w:val="00022DB5"/>
    <w:rsid w:val="00022E13"/>
    <w:rsid w:val="00026D06"/>
    <w:rsid w:val="000319DA"/>
    <w:rsid w:val="000403D1"/>
    <w:rsid w:val="000449AA"/>
    <w:rsid w:val="00046FEF"/>
    <w:rsid w:val="000505A0"/>
    <w:rsid w:val="00050F6B"/>
    <w:rsid w:val="0006015A"/>
    <w:rsid w:val="00060DDC"/>
    <w:rsid w:val="000621EC"/>
    <w:rsid w:val="00067CB0"/>
    <w:rsid w:val="00067E7B"/>
    <w:rsid w:val="00072C8C"/>
    <w:rsid w:val="00073E70"/>
    <w:rsid w:val="00074278"/>
    <w:rsid w:val="00076221"/>
    <w:rsid w:val="00082EC7"/>
    <w:rsid w:val="000830A7"/>
    <w:rsid w:val="000833B9"/>
    <w:rsid w:val="00083D59"/>
    <w:rsid w:val="000861C7"/>
    <w:rsid w:val="000876EB"/>
    <w:rsid w:val="000902C4"/>
    <w:rsid w:val="00091419"/>
    <w:rsid w:val="000921F0"/>
    <w:rsid w:val="000931C0"/>
    <w:rsid w:val="00095E72"/>
    <w:rsid w:val="00096B1D"/>
    <w:rsid w:val="000A01AF"/>
    <w:rsid w:val="000A0EA1"/>
    <w:rsid w:val="000A4A0A"/>
    <w:rsid w:val="000A7F85"/>
    <w:rsid w:val="000B175B"/>
    <w:rsid w:val="000B3A0F"/>
    <w:rsid w:val="000B46D3"/>
    <w:rsid w:val="000B4A3B"/>
    <w:rsid w:val="000B525A"/>
    <w:rsid w:val="000C2B19"/>
    <w:rsid w:val="000C4069"/>
    <w:rsid w:val="000C78D8"/>
    <w:rsid w:val="000D0E64"/>
    <w:rsid w:val="000D1851"/>
    <w:rsid w:val="000D2454"/>
    <w:rsid w:val="000D6622"/>
    <w:rsid w:val="000E0415"/>
    <w:rsid w:val="000E1AFA"/>
    <w:rsid w:val="000E4B01"/>
    <w:rsid w:val="000F06A8"/>
    <w:rsid w:val="000F1CD9"/>
    <w:rsid w:val="000F2657"/>
    <w:rsid w:val="000F296B"/>
    <w:rsid w:val="00110FBF"/>
    <w:rsid w:val="00112A7E"/>
    <w:rsid w:val="00114C5F"/>
    <w:rsid w:val="00114EB4"/>
    <w:rsid w:val="00117B8E"/>
    <w:rsid w:val="001332FD"/>
    <w:rsid w:val="00134C6D"/>
    <w:rsid w:val="00135C4B"/>
    <w:rsid w:val="00137363"/>
    <w:rsid w:val="00143583"/>
    <w:rsid w:val="001440C3"/>
    <w:rsid w:val="00146342"/>
    <w:rsid w:val="00146D32"/>
    <w:rsid w:val="001509BA"/>
    <w:rsid w:val="00151674"/>
    <w:rsid w:val="00152EEF"/>
    <w:rsid w:val="00153819"/>
    <w:rsid w:val="001538C5"/>
    <w:rsid w:val="00154233"/>
    <w:rsid w:val="00161882"/>
    <w:rsid w:val="00162D36"/>
    <w:rsid w:val="00163B9E"/>
    <w:rsid w:val="001652B9"/>
    <w:rsid w:val="00167363"/>
    <w:rsid w:val="00167549"/>
    <w:rsid w:val="001677DB"/>
    <w:rsid w:val="00167ED7"/>
    <w:rsid w:val="001801D3"/>
    <w:rsid w:val="00182C5F"/>
    <w:rsid w:val="00182EF0"/>
    <w:rsid w:val="00183253"/>
    <w:rsid w:val="00187C60"/>
    <w:rsid w:val="00190164"/>
    <w:rsid w:val="00193D0C"/>
    <w:rsid w:val="00194CCF"/>
    <w:rsid w:val="00196846"/>
    <w:rsid w:val="00197474"/>
    <w:rsid w:val="001A3DF5"/>
    <w:rsid w:val="001A420A"/>
    <w:rsid w:val="001B0907"/>
    <w:rsid w:val="001B140F"/>
    <w:rsid w:val="001B2F89"/>
    <w:rsid w:val="001B4B04"/>
    <w:rsid w:val="001B53AE"/>
    <w:rsid w:val="001B553A"/>
    <w:rsid w:val="001B7095"/>
    <w:rsid w:val="001C6663"/>
    <w:rsid w:val="001C7895"/>
    <w:rsid w:val="001C7E90"/>
    <w:rsid w:val="001D22AE"/>
    <w:rsid w:val="001D26DF"/>
    <w:rsid w:val="001D35B3"/>
    <w:rsid w:val="001D72AB"/>
    <w:rsid w:val="001E2790"/>
    <w:rsid w:val="001E27C2"/>
    <w:rsid w:val="001E397F"/>
    <w:rsid w:val="001E47E4"/>
    <w:rsid w:val="001E66D4"/>
    <w:rsid w:val="001E714C"/>
    <w:rsid w:val="001F20EA"/>
    <w:rsid w:val="001F2A7B"/>
    <w:rsid w:val="001F4237"/>
    <w:rsid w:val="001F4AFA"/>
    <w:rsid w:val="001F5CB0"/>
    <w:rsid w:val="00200331"/>
    <w:rsid w:val="00204D31"/>
    <w:rsid w:val="002108A2"/>
    <w:rsid w:val="00211E0B"/>
    <w:rsid w:val="00211E72"/>
    <w:rsid w:val="00214047"/>
    <w:rsid w:val="00214B3D"/>
    <w:rsid w:val="00217ECD"/>
    <w:rsid w:val="002209B6"/>
    <w:rsid w:val="0022130F"/>
    <w:rsid w:val="00221416"/>
    <w:rsid w:val="00221DD9"/>
    <w:rsid w:val="002235F2"/>
    <w:rsid w:val="00225A51"/>
    <w:rsid w:val="0023016E"/>
    <w:rsid w:val="0023080F"/>
    <w:rsid w:val="0023422F"/>
    <w:rsid w:val="00237785"/>
    <w:rsid w:val="002407C5"/>
    <w:rsid w:val="00241055"/>
    <w:rsid w:val="0024109D"/>
    <w:rsid w:val="002410DD"/>
    <w:rsid w:val="00241466"/>
    <w:rsid w:val="0024383C"/>
    <w:rsid w:val="00244442"/>
    <w:rsid w:val="00245873"/>
    <w:rsid w:val="00253D58"/>
    <w:rsid w:val="00255FD4"/>
    <w:rsid w:val="002560E7"/>
    <w:rsid w:val="00263607"/>
    <w:rsid w:val="00264CCE"/>
    <w:rsid w:val="0027725F"/>
    <w:rsid w:val="00277516"/>
    <w:rsid w:val="00280049"/>
    <w:rsid w:val="00281D86"/>
    <w:rsid w:val="0028579B"/>
    <w:rsid w:val="00290821"/>
    <w:rsid w:val="00290BDA"/>
    <w:rsid w:val="0029114C"/>
    <w:rsid w:val="0029174F"/>
    <w:rsid w:val="00295528"/>
    <w:rsid w:val="00297625"/>
    <w:rsid w:val="002A17C8"/>
    <w:rsid w:val="002A3B97"/>
    <w:rsid w:val="002A612A"/>
    <w:rsid w:val="002B2097"/>
    <w:rsid w:val="002B3CFA"/>
    <w:rsid w:val="002B6D31"/>
    <w:rsid w:val="002C1020"/>
    <w:rsid w:val="002C1398"/>
    <w:rsid w:val="002C21F0"/>
    <w:rsid w:val="002C2A40"/>
    <w:rsid w:val="002D0385"/>
    <w:rsid w:val="002D110E"/>
    <w:rsid w:val="002D52AB"/>
    <w:rsid w:val="002D5977"/>
    <w:rsid w:val="002D6816"/>
    <w:rsid w:val="002E29A9"/>
    <w:rsid w:val="002E45ED"/>
    <w:rsid w:val="002E7496"/>
    <w:rsid w:val="002E7581"/>
    <w:rsid w:val="002F1399"/>
    <w:rsid w:val="002F2A0A"/>
    <w:rsid w:val="002F7004"/>
    <w:rsid w:val="002F72DC"/>
    <w:rsid w:val="002F73AD"/>
    <w:rsid w:val="002F77DD"/>
    <w:rsid w:val="00310569"/>
    <w:rsid w:val="003107FA"/>
    <w:rsid w:val="00311A96"/>
    <w:rsid w:val="00312BF0"/>
    <w:rsid w:val="00315BA3"/>
    <w:rsid w:val="003175DE"/>
    <w:rsid w:val="00317768"/>
    <w:rsid w:val="003210DE"/>
    <w:rsid w:val="003229D8"/>
    <w:rsid w:val="003231BF"/>
    <w:rsid w:val="003236F0"/>
    <w:rsid w:val="0032609B"/>
    <w:rsid w:val="0032641D"/>
    <w:rsid w:val="00330C39"/>
    <w:rsid w:val="003314D1"/>
    <w:rsid w:val="00331E90"/>
    <w:rsid w:val="00335A2F"/>
    <w:rsid w:val="00341937"/>
    <w:rsid w:val="003438C8"/>
    <w:rsid w:val="00344DE2"/>
    <w:rsid w:val="00350B64"/>
    <w:rsid w:val="003528C0"/>
    <w:rsid w:val="00360009"/>
    <w:rsid w:val="003600FE"/>
    <w:rsid w:val="0036115C"/>
    <w:rsid w:val="0036306A"/>
    <w:rsid w:val="00363F1B"/>
    <w:rsid w:val="0036470B"/>
    <w:rsid w:val="00377485"/>
    <w:rsid w:val="00382894"/>
    <w:rsid w:val="0038414D"/>
    <w:rsid w:val="00384698"/>
    <w:rsid w:val="00385275"/>
    <w:rsid w:val="00386994"/>
    <w:rsid w:val="0039277A"/>
    <w:rsid w:val="00393CD7"/>
    <w:rsid w:val="003961A5"/>
    <w:rsid w:val="003972E0"/>
    <w:rsid w:val="003975ED"/>
    <w:rsid w:val="003A0FB8"/>
    <w:rsid w:val="003A0FF9"/>
    <w:rsid w:val="003A2B9E"/>
    <w:rsid w:val="003A44FB"/>
    <w:rsid w:val="003A7B15"/>
    <w:rsid w:val="003A7B57"/>
    <w:rsid w:val="003B1BFA"/>
    <w:rsid w:val="003B3A15"/>
    <w:rsid w:val="003B4AFC"/>
    <w:rsid w:val="003B5373"/>
    <w:rsid w:val="003C108E"/>
    <w:rsid w:val="003C2CC4"/>
    <w:rsid w:val="003C5E9C"/>
    <w:rsid w:val="003D4B23"/>
    <w:rsid w:val="003E1E2E"/>
    <w:rsid w:val="003E5D02"/>
    <w:rsid w:val="003E5F3A"/>
    <w:rsid w:val="003F0164"/>
    <w:rsid w:val="003F0D13"/>
    <w:rsid w:val="003F7191"/>
    <w:rsid w:val="00400357"/>
    <w:rsid w:val="00403799"/>
    <w:rsid w:val="0040549A"/>
    <w:rsid w:val="0040635C"/>
    <w:rsid w:val="00407969"/>
    <w:rsid w:val="00415022"/>
    <w:rsid w:val="0042170F"/>
    <w:rsid w:val="00424C80"/>
    <w:rsid w:val="0042689E"/>
    <w:rsid w:val="004278A0"/>
    <w:rsid w:val="00430549"/>
    <w:rsid w:val="004325CB"/>
    <w:rsid w:val="00433D6E"/>
    <w:rsid w:val="0043484B"/>
    <w:rsid w:val="004357E1"/>
    <w:rsid w:val="0043658A"/>
    <w:rsid w:val="004410A6"/>
    <w:rsid w:val="00443121"/>
    <w:rsid w:val="004443E7"/>
    <w:rsid w:val="0044503A"/>
    <w:rsid w:val="00445BC4"/>
    <w:rsid w:val="004462E8"/>
    <w:rsid w:val="00446DE4"/>
    <w:rsid w:val="00447761"/>
    <w:rsid w:val="00451EC3"/>
    <w:rsid w:val="0045546D"/>
    <w:rsid w:val="00462460"/>
    <w:rsid w:val="00462E80"/>
    <w:rsid w:val="004671C1"/>
    <w:rsid w:val="004678CD"/>
    <w:rsid w:val="00471BA2"/>
    <w:rsid w:val="00471F2A"/>
    <w:rsid w:val="004721B1"/>
    <w:rsid w:val="00477F2B"/>
    <w:rsid w:val="00477FAC"/>
    <w:rsid w:val="004859EC"/>
    <w:rsid w:val="00492531"/>
    <w:rsid w:val="004958F3"/>
    <w:rsid w:val="00495DB5"/>
    <w:rsid w:val="004966E0"/>
    <w:rsid w:val="00496A15"/>
    <w:rsid w:val="00497C2D"/>
    <w:rsid w:val="004A28F9"/>
    <w:rsid w:val="004A3AB7"/>
    <w:rsid w:val="004A430A"/>
    <w:rsid w:val="004A4ED4"/>
    <w:rsid w:val="004A7C78"/>
    <w:rsid w:val="004B0533"/>
    <w:rsid w:val="004B125A"/>
    <w:rsid w:val="004B514D"/>
    <w:rsid w:val="004B75D2"/>
    <w:rsid w:val="004C1747"/>
    <w:rsid w:val="004C40DA"/>
    <w:rsid w:val="004C4E5B"/>
    <w:rsid w:val="004D1140"/>
    <w:rsid w:val="004D1D76"/>
    <w:rsid w:val="004D41A1"/>
    <w:rsid w:val="004D4A54"/>
    <w:rsid w:val="004D7EA2"/>
    <w:rsid w:val="004E323C"/>
    <w:rsid w:val="004E36E3"/>
    <w:rsid w:val="004E569E"/>
    <w:rsid w:val="004E7B21"/>
    <w:rsid w:val="004F1F6E"/>
    <w:rsid w:val="004F51A7"/>
    <w:rsid w:val="004F55ED"/>
    <w:rsid w:val="004F68B4"/>
    <w:rsid w:val="004F6FCD"/>
    <w:rsid w:val="004F7E0E"/>
    <w:rsid w:val="00504C23"/>
    <w:rsid w:val="00511866"/>
    <w:rsid w:val="0051456E"/>
    <w:rsid w:val="005176CD"/>
    <w:rsid w:val="005216A8"/>
    <w:rsid w:val="0052176C"/>
    <w:rsid w:val="005218B8"/>
    <w:rsid w:val="005219F6"/>
    <w:rsid w:val="005261E5"/>
    <w:rsid w:val="00526947"/>
    <w:rsid w:val="00527C35"/>
    <w:rsid w:val="0053118D"/>
    <w:rsid w:val="00533F36"/>
    <w:rsid w:val="005346FE"/>
    <w:rsid w:val="005420F2"/>
    <w:rsid w:val="00542574"/>
    <w:rsid w:val="005436AB"/>
    <w:rsid w:val="00543F43"/>
    <w:rsid w:val="00544B11"/>
    <w:rsid w:val="005463CE"/>
    <w:rsid w:val="00546DBF"/>
    <w:rsid w:val="00547674"/>
    <w:rsid w:val="0055026E"/>
    <w:rsid w:val="0055361F"/>
    <w:rsid w:val="00553D76"/>
    <w:rsid w:val="005543EB"/>
    <w:rsid w:val="005552B5"/>
    <w:rsid w:val="0056044D"/>
    <w:rsid w:val="0056117B"/>
    <w:rsid w:val="005700DF"/>
    <w:rsid w:val="00571365"/>
    <w:rsid w:val="00571F96"/>
    <w:rsid w:val="00575F9A"/>
    <w:rsid w:val="005765FF"/>
    <w:rsid w:val="005774C1"/>
    <w:rsid w:val="00577915"/>
    <w:rsid w:val="0058618A"/>
    <w:rsid w:val="005868E2"/>
    <w:rsid w:val="00586D91"/>
    <w:rsid w:val="00587B49"/>
    <w:rsid w:val="0059416D"/>
    <w:rsid w:val="00595FB5"/>
    <w:rsid w:val="00597585"/>
    <w:rsid w:val="00597619"/>
    <w:rsid w:val="005A0447"/>
    <w:rsid w:val="005A40C6"/>
    <w:rsid w:val="005B0E57"/>
    <w:rsid w:val="005B2575"/>
    <w:rsid w:val="005B39C9"/>
    <w:rsid w:val="005B3DB3"/>
    <w:rsid w:val="005B424B"/>
    <w:rsid w:val="005B6E48"/>
    <w:rsid w:val="005B7C5C"/>
    <w:rsid w:val="005B7EB9"/>
    <w:rsid w:val="005C0AD5"/>
    <w:rsid w:val="005C21E0"/>
    <w:rsid w:val="005D2285"/>
    <w:rsid w:val="005D259F"/>
    <w:rsid w:val="005E02F2"/>
    <w:rsid w:val="005E14D2"/>
    <w:rsid w:val="005E1712"/>
    <w:rsid w:val="005E1A96"/>
    <w:rsid w:val="005E75E2"/>
    <w:rsid w:val="005F18EF"/>
    <w:rsid w:val="005F20BE"/>
    <w:rsid w:val="005F6BE5"/>
    <w:rsid w:val="006042F8"/>
    <w:rsid w:val="00610E1D"/>
    <w:rsid w:val="00611FC4"/>
    <w:rsid w:val="006176FB"/>
    <w:rsid w:val="00617F1C"/>
    <w:rsid w:val="0062136D"/>
    <w:rsid w:val="00623094"/>
    <w:rsid w:val="00623FE5"/>
    <w:rsid w:val="006243BB"/>
    <w:rsid w:val="00624547"/>
    <w:rsid w:val="006265E1"/>
    <w:rsid w:val="00626A92"/>
    <w:rsid w:val="00631D81"/>
    <w:rsid w:val="00632965"/>
    <w:rsid w:val="006334CE"/>
    <w:rsid w:val="00635C93"/>
    <w:rsid w:val="00635E74"/>
    <w:rsid w:val="006373BB"/>
    <w:rsid w:val="00637AB8"/>
    <w:rsid w:val="0064091B"/>
    <w:rsid w:val="00640B26"/>
    <w:rsid w:val="00640E7C"/>
    <w:rsid w:val="00641DE9"/>
    <w:rsid w:val="00641EF8"/>
    <w:rsid w:val="00642669"/>
    <w:rsid w:val="0064479E"/>
    <w:rsid w:val="00645215"/>
    <w:rsid w:val="006471C3"/>
    <w:rsid w:val="00647F1B"/>
    <w:rsid w:val="00651B99"/>
    <w:rsid w:val="00654F50"/>
    <w:rsid w:val="00662858"/>
    <w:rsid w:val="0066511E"/>
    <w:rsid w:val="00665208"/>
    <w:rsid w:val="00670741"/>
    <w:rsid w:val="0067625E"/>
    <w:rsid w:val="00681F1F"/>
    <w:rsid w:val="00685978"/>
    <w:rsid w:val="00686DDE"/>
    <w:rsid w:val="00693DB2"/>
    <w:rsid w:val="00693F51"/>
    <w:rsid w:val="00696BD6"/>
    <w:rsid w:val="006A0B23"/>
    <w:rsid w:val="006A2A3F"/>
    <w:rsid w:val="006A4BC6"/>
    <w:rsid w:val="006A6B9D"/>
    <w:rsid w:val="006A7392"/>
    <w:rsid w:val="006B1EDE"/>
    <w:rsid w:val="006B2653"/>
    <w:rsid w:val="006B2DAB"/>
    <w:rsid w:val="006B3189"/>
    <w:rsid w:val="006B602D"/>
    <w:rsid w:val="006B71C2"/>
    <w:rsid w:val="006B7D65"/>
    <w:rsid w:val="006C434D"/>
    <w:rsid w:val="006C4B91"/>
    <w:rsid w:val="006C57A2"/>
    <w:rsid w:val="006C5C3F"/>
    <w:rsid w:val="006D6DA6"/>
    <w:rsid w:val="006E30B5"/>
    <w:rsid w:val="006E3206"/>
    <w:rsid w:val="006E4D0E"/>
    <w:rsid w:val="006E564B"/>
    <w:rsid w:val="006E5D60"/>
    <w:rsid w:val="006F13F0"/>
    <w:rsid w:val="006F1D97"/>
    <w:rsid w:val="006F43A4"/>
    <w:rsid w:val="006F5035"/>
    <w:rsid w:val="006F5091"/>
    <w:rsid w:val="006F6C72"/>
    <w:rsid w:val="007065EB"/>
    <w:rsid w:val="00710028"/>
    <w:rsid w:val="00710DC4"/>
    <w:rsid w:val="00716402"/>
    <w:rsid w:val="00716A20"/>
    <w:rsid w:val="00720183"/>
    <w:rsid w:val="0072256E"/>
    <w:rsid w:val="007239B9"/>
    <w:rsid w:val="00725872"/>
    <w:rsid w:val="007258C5"/>
    <w:rsid w:val="0072632A"/>
    <w:rsid w:val="00726602"/>
    <w:rsid w:val="00736A85"/>
    <w:rsid w:val="0074096B"/>
    <w:rsid w:val="0074200B"/>
    <w:rsid w:val="007429E4"/>
    <w:rsid w:val="00743256"/>
    <w:rsid w:val="007442CD"/>
    <w:rsid w:val="0075305D"/>
    <w:rsid w:val="0075362C"/>
    <w:rsid w:val="007538A9"/>
    <w:rsid w:val="007565F4"/>
    <w:rsid w:val="00761B52"/>
    <w:rsid w:val="00762671"/>
    <w:rsid w:val="007631A2"/>
    <w:rsid w:val="00764377"/>
    <w:rsid w:val="007661EF"/>
    <w:rsid w:val="00766EE3"/>
    <w:rsid w:val="00766FF0"/>
    <w:rsid w:val="007722EA"/>
    <w:rsid w:val="00782FB0"/>
    <w:rsid w:val="0078593D"/>
    <w:rsid w:val="00786613"/>
    <w:rsid w:val="00793ED0"/>
    <w:rsid w:val="00794203"/>
    <w:rsid w:val="007952DD"/>
    <w:rsid w:val="00797118"/>
    <w:rsid w:val="007A6296"/>
    <w:rsid w:val="007A6D9A"/>
    <w:rsid w:val="007B0611"/>
    <w:rsid w:val="007B0C2C"/>
    <w:rsid w:val="007B0F5A"/>
    <w:rsid w:val="007B1D3F"/>
    <w:rsid w:val="007B6BA5"/>
    <w:rsid w:val="007B6EEB"/>
    <w:rsid w:val="007C1B62"/>
    <w:rsid w:val="007C2646"/>
    <w:rsid w:val="007C3390"/>
    <w:rsid w:val="007C3A26"/>
    <w:rsid w:val="007C4F4B"/>
    <w:rsid w:val="007D2CDC"/>
    <w:rsid w:val="007D402E"/>
    <w:rsid w:val="007D4401"/>
    <w:rsid w:val="007D5327"/>
    <w:rsid w:val="007E01B4"/>
    <w:rsid w:val="007E04CE"/>
    <w:rsid w:val="007E570A"/>
    <w:rsid w:val="007F0847"/>
    <w:rsid w:val="007F0FA1"/>
    <w:rsid w:val="007F1819"/>
    <w:rsid w:val="007F4725"/>
    <w:rsid w:val="007F5BC3"/>
    <w:rsid w:val="007F6611"/>
    <w:rsid w:val="00800884"/>
    <w:rsid w:val="00800D54"/>
    <w:rsid w:val="008018C7"/>
    <w:rsid w:val="008023BF"/>
    <w:rsid w:val="00802847"/>
    <w:rsid w:val="0080532B"/>
    <w:rsid w:val="00811C96"/>
    <w:rsid w:val="008155C3"/>
    <w:rsid w:val="00816286"/>
    <w:rsid w:val="00816B5C"/>
    <w:rsid w:val="008175E9"/>
    <w:rsid w:val="00821A98"/>
    <w:rsid w:val="0082243E"/>
    <w:rsid w:val="008242D7"/>
    <w:rsid w:val="008356C6"/>
    <w:rsid w:val="0083789F"/>
    <w:rsid w:val="00844A8F"/>
    <w:rsid w:val="0085617C"/>
    <w:rsid w:val="00856CD2"/>
    <w:rsid w:val="00860449"/>
    <w:rsid w:val="00861BC6"/>
    <w:rsid w:val="008628F2"/>
    <w:rsid w:val="008672A0"/>
    <w:rsid w:val="008703A7"/>
    <w:rsid w:val="0087083A"/>
    <w:rsid w:val="00870D79"/>
    <w:rsid w:val="00871FD5"/>
    <w:rsid w:val="0088134E"/>
    <w:rsid w:val="00881B3A"/>
    <w:rsid w:val="00881C51"/>
    <w:rsid w:val="008836BD"/>
    <w:rsid w:val="00885343"/>
    <w:rsid w:val="00887383"/>
    <w:rsid w:val="0089297B"/>
    <w:rsid w:val="008931FA"/>
    <w:rsid w:val="00893766"/>
    <w:rsid w:val="0089449E"/>
    <w:rsid w:val="00894C85"/>
    <w:rsid w:val="00896303"/>
    <w:rsid w:val="00896535"/>
    <w:rsid w:val="008979B1"/>
    <w:rsid w:val="008A1FCC"/>
    <w:rsid w:val="008A5C04"/>
    <w:rsid w:val="008A655C"/>
    <w:rsid w:val="008A6B25"/>
    <w:rsid w:val="008A6C4F"/>
    <w:rsid w:val="008B0207"/>
    <w:rsid w:val="008B67D6"/>
    <w:rsid w:val="008B7112"/>
    <w:rsid w:val="008C1E4D"/>
    <w:rsid w:val="008C5D8C"/>
    <w:rsid w:val="008D405E"/>
    <w:rsid w:val="008D517F"/>
    <w:rsid w:val="008D645D"/>
    <w:rsid w:val="008D7E2D"/>
    <w:rsid w:val="008E0D71"/>
    <w:rsid w:val="008E0E46"/>
    <w:rsid w:val="008E1985"/>
    <w:rsid w:val="008E29A1"/>
    <w:rsid w:val="008E6388"/>
    <w:rsid w:val="008F077C"/>
    <w:rsid w:val="008F084F"/>
    <w:rsid w:val="008F1417"/>
    <w:rsid w:val="008F1C28"/>
    <w:rsid w:val="008F3A4F"/>
    <w:rsid w:val="008F5C24"/>
    <w:rsid w:val="008F5E90"/>
    <w:rsid w:val="008F61A4"/>
    <w:rsid w:val="008F68C2"/>
    <w:rsid w:val="008F6E1F"/>
    <w:rsid w:val="00900F97"/>
    <w:rsid w:val="00902D9F"/>
    <w:rsid w:val="00902F30"/>
    <w:rsid w:val="0090452C"/>
    <w:rsid w:val="00905254"/>
    <w:rsid w:val="00906465"/>
    <w:rsid w:val="00907C3F"/>
    <w:rsid w:val="00914788"/>
    <w:rsid w:val="00922250"/>
    <w:rsid w:val="00925B68"/>
    <w:rsid w:val="00930F29"/>
    <w:rsid w:val="00932EE4"/>
    <w:rsid w:val="00933C9F"/>
    <w:rsid w:val="00933DFC"/>
    <w:rsid w:val="0093707B"/>
    <w:rsid w:val="009400EB"/>
    <w:rsid w:val="009408A9"/>
    <w:rsid w:val="009427E3"/>
    <w:rsid w:val="00944785"/>
    <w:rsid w:val="00946641"/>
    <w:rsid w:val="00947031"/>
    <w:rsid w:val="009510A3"/>
    <w:rsid w:val="0095210D"/>
    <w:rsid w:val="00955482"/>
    <w:rsid w:val="00956D9B"/>
    <w:rsid w:val="009607E9"/>
    <w:rsid w:val="0096130E"/>
    <w:rsid w:val="009624A6"/>
    <w:rsid w:val="00963CBA"/>
    <w:rsid w:val="00964CB7"/>
    <w:rsid w:val="009654B7"/>
    <w:rsid w:val="00972306"/>
    <w:rsid w:val="00977C85"/>
    <w:rsid w:val="009819B6"/>
    <w:rsid w:val="0098328B"/>
    <w:rsid w:val="00991261"/>
    <w:rsid w:val="00993A59"/>
    <w:rsid w:val="009952BA"/>
    <w:rsid w:val="00996D83"/>
    <w:rsid w:val="009A0B83"/>
    <w:rsid w:val="009A1438"/>
    <w:rsid w:val="009A238D"/>
    <w:rsid w:val="009A395A"/>
    <w:rsid w:val="009A7FA8"/>
    <w:rsid w:val="009B0A34"/>
    <w:rsid w:val="009B3800"/>
    <w:rsid w:val="009B6132"/>
    <w:rsid w:val="009B638F"/>
    <w:rsid w:val="009B6742"/>
    <w:rsid w:val="009B7E8D"/>
    <w:rsid w:val="009C17F6"/>
    <w:rsid w:val="009C4CA0"/>
    <w:rsid w:val="009C4CE1"/>
    <w:rsid w:val="009C56F5"/>
    <w:rsid w:val="009D15F4"/>
    <w:rsid w:val="009D22AC"/>
    <w:rsid w:val="009D3715"/>
    <w:rsid w:val="009D50DB"/>
    <w:rsid w:val="009E0CBA"/>
    <w:rsid w:val="009E0FE9"/>
    <w:rsid w:val="009E170D"/>
    <w:rsid w:val="009E17C4"/>
    <w:rsid w:val="009E1C4E"/>
    <w:rsid w:val="009E1FDA"/>
    <w:rsid w:val="009E2C20"/>
    <w:rsid w:val="009E49F2"/>
    <w:rsid w:val="009E4BA7"/>
    <w:rsid w:val="009E5980"/>
    <w:rsid w:val="009F1D42"/>
    <w:rsid w:val="00A04EB3"/>
    <w:rsid w:val="00A058A5"/>
    <w:rsid w:val="00A05CE0"/>
    <w:rsid w:val="00A05E0B"/>
    <w:rsid w:val="00A1103E"/>
    <w:rsid w:val="00A11B42"/>
    <w:rsid w:val="00A13379"/>
    <w:rsid w:val="00A1427D"/>
    <w:rsid w:val="00A14876"/>
    <w:rsid w:val="00A1636A"/>
    <w:rsid w:val="00A16D71"/>
    <w:rsid w:val="00A17DF2"/>
    <w:rsid w:val="00A200AD"/>
    <w:rsid w:val="00A20C72"/>
    <w:rsid w:val="00A21272"/>
    <w:rsid w:val="00A22364"/>
    <w:rsid w:val="00A23EE2"/>
    <w:rsid w:val="00A2586F"/>
    <w:rsid w:val="00A27483"/>
    <w:rsid w:val="00A325FC"/>
    <w:rsid w:val="00A36CEF"/>
    <w:rsid w:val="00A37892"/>
    <w:rsid w:val="00A4261C"/>
    <w:rsid w:val="00A4634F"/>
    <w:rsid w:val="00A468B9"/>
    <w:rsid w:val="00A51AF3"/>
    <w:rsid w:val="00A51CF3"/>
    <w:rsid w:val="00A5296F"/>
    <w:rsid w:val="00A54BB3"/>
    <w:rsid w:val="00A64BBD"/>
    <w:rsid w:val="00A65CED"/>
    <w:rsid w:val="00A67151"/>
    <w:rsid w:val="00A71EC6"/>
    <w:rsid w:val="00A72425"/>
    <w:rsid w:val="00A72F22"/>
    <w:rsid w:val="00A748A6"/>
    <w:rsid w:val="00A75D0B"/>
    <w:rsid w:val="00A775AE"/>
    <w:rsid w:val="00A80F33"/>
    <w:rsid w:val="00A86930"/>
    <w:rsid w:val="00A879A4"/>
    <w:rsid w:val="00A87E95"/>
    <w:rsid w:val="00A92B62"/>
    <w:rsid w:val="00A92E29"/>
    <w:rsid w:val="00A92E90"/>
    <w:rsid w:val="00A949DD"/>
    <w:rsid w:val="00AA05F7"/>
    <w:rsid w:val="00AA0C33"/>
    <w:rsid w:val="00AA0FA0"/>
    <w:rsid w:val="00AA13CC"/>
    <w:rsid w:val="00AA1567"/>
    <w:rsid w:val="00AA1937"/>
    <w:rsid w:val="00AB0352"/>
    <w:rsid w:val="00AB0368"/>
    <w:rsid w:val="00AB6D27"/>
    <w:rsid w:val="00AC5E14"/>
    <w:rsid w:val="00AC7BAF"/>
    <w:rsid w:val="00AD03E3"/>
    <w:rsid w:val="00AD09E9"/>
    <w:rsid w:val="00AD0D04"/>
    <w:rsid w:val="00AD0E6B"/>
    <w:rsid w:val="00AD185D"/>
    <w:rsid w:val="00AD56C3"/>
    <w:rsid w:val="00AD7D69"/>
    <w:rsid w:val="00AE35FD"/>
    <w:rsid w:val="00AF0576"/>
    <w:rsid w:val="00AF0630"/>
    <w:rsid w:val="00AF0B2F"/>
    <w:rsid w:val="00AF10E8"/>
    <w:rsid w:val="00AF285E"/>
    <w:rsid w:val="00AF2D6A"/>
    <w:rsid w:val="00AF3829"/>
    <w:rsid w:val="00AF6B1D"/>
    <w:rsid w:val="00B02FC0"/>
    <w:rsid w:val="00B037F0"/>
    <w:rsid w:val="00B0645D"/>
    <w:rsid w:val="00B07757"/>
    <w:rsid w:val="00B12EC2"/>
    <w:rsid w:val="00B160C3"/>
    <w:rsid w:val="00B17979"/>
    <w:rsid w:val="00B22A63"/>
    <w:rsid w:val="00B2327D"/>
    <w:rsid w:val="00B242EA"/>
    <w:rsid w:val="00B24AFC"/>
    <w:rsid w:val="00B2670B"/>
    <w:rsid w:val="00B2718F"/>
    <w:rsid w:val="00B30179"/>
    <w:rsid w:val="00B3317B"/>
    <w:rsid w:val="00B3332B"/>
    <w:rsid w:val="00B334DC"/>
    <w:rsid w:val="00B33594"/>
    <w:rsid w:val="00B3605A"/>
    <w:rsid w:val="00B3631A"/>
    <w:rsid w:val="00B3667D"/>
    <w:rsid w:val="00B36F7C"/>
    <w:rsid w:val="00B3796F"/>
    <w:rsid w:val="00B442FD"/>
    <w:rsid w:val="00B51172"/>
    <w:rsid w:val="00B52C7E"/>
    <w:rsid w:val="00B53013"/>
    <w:rsid w:val="00B55AFC"/>
    <w:rsid w:val="00B57958"/>
    <w:rsid w:val="00B57E15"/>
    <w:rsid w:val="00B648A4"/>
    <w:rsid w:val="00B67066"/>
    <w:rsid w:val="00B67EF7"/>
    <w:rsid w:val="00B67F5E"/>
    <w:rsid w:val="00B73486"/>
    <w:rsid w:val="00B73E65"/>
    <w:rsid w:val="00B75379"/>
    <w:rsid w:val="00B80450"/>
    <w:rsid w:val="00B81E12"/>
    <w:rsid w:val="00B87110"/>
    <w:rsid w:val="00B8781E"/>
    <w:rsid w:val="00B92674"/>
    <w:rsid w:val="00B97FA8"/>
    <w:rsid w:val="00BA0916"/>
    <w:rsid w:val="00BA5098"/>
    <w:rsid w:val="00BB0382"/>
    <w:rsid w:val="00BB21C3"/>
    <w:rsid w:val="00BB7F6E"/>
    <w:rsid w:val="00BC0381"/>
    <w:rsid w:val="00BC0B95"/>
    <w:rsid w:val="00BC10C0"/>
    <w:rsid w:val="00BC1385"/>
    <w:rsid w:val="00BC64B3"/>
    <w:rsid w:val="00BC74E9"/>
    <w:rsid w:val="00BD1F12"/>
    <w:rsid w:val="00BD7365"/>
    <w:rsid w:val="00BE1DD4"/>
    <w:rsid w:val="00BE584C"/>
    <w:rsid w:val="00BE618E"/>
    <w:rsid w:val="00BE623D"/>
    <w:rsid w:val="00BE7BAA"/>
    <w:rsid w:val="00BF4811"/>
    <w:rsid w:val="00BF48F8"/>
    <w:rsid w:val="00C001FC"/>
    <w:rsid w:val="00C16A44"/>
    <w:rsid w:val="00C22E9F"/>
    <w:rsid w:val="00C239FA"/>
    <w:rsid w:val="00C24693"/>
    <w:rsid w:val="00C26102"/>
    <w:rsid w:val="00C31285"/>
    <w:rsid w:val="00C32DD8"/>
    <w:rsid w:val="00C355DE"/>
    <w:rsid w:val="00C35F0B"/>
    <w:rsid w:val="00C42560"/>
    <w:rsid w:val="00C427CA"/>
    <w:rsid w:val="00C42C6E"/>
    <w:rsid w:val="00C463DD"/>
    <w:rsid w:val="00C46836"/>
    <w:rsid w:val="00C50FC8"/>
    <w:rsid w:val="00C5119D"/>
    <w:rsid w:val="00C52451"/>
    <w:rsid w:val="00C526D1"/>
    <w:rsid w:val="00C610C8"/>
    <w:rsid w:val="00C64458"/>
    <w:rsid w:val="00C64D78"/>
    <w:rsid w:val="00C656CA"/>
    <w:rsid w:val="00C663FE"/>
    <w:rsid w:val="00C745C3"/>
    <w:rsid w:val="00C74B59"/>
    <w:rsid w:val="00C75332"/>
    <w:rsid w:val="00C7760D"/>
    <w:rsid w:val="00C77BAD"/>
    <w:rsid w:val="00C82AC1"/>
    <w:rsid w:val="00C82BFF"/>
    <w:rsid w:val="00C87935"/>
    <w:rsid w:val="00C87DD4"/>
    <w:rsid w:val="00C93274"/>
    <w:rsid w:val="00C93539"/>
    <w:rsid w:val="00C93562"/>
    <w:rsid w:val="00C9656E"/>
    <w:rsid w:val="00C96A55"/>
    <w:rsid w:val="00CA2A58"/>
    <w:rsid w:val="00CA3AFA"/>
    <w:rsid w:val="00CA79EB"/>
    <w:rsid w:val="00CB468C"/>
    <w:rsid w:val="00CB679F"/>
    <w:rsid w:val="00CB6BBF"/>
    <w:rsid w:val="00CB6C69"/>
    <w:rsid w:val="00CC0B55"/>
    <w:rsid w:val="00CC1924"/>
    <w:rsid w:val="00CC5617"/>
    <w:rsid w:val="00CC5D65"/>
    <w:rsid w:val="00CC5EDD"/>
    <w:rsid w:val="00CC71B9"/>
    <w:rsid w:val="00CD6995"/>
    <w:rsid w:val="00CD7391"/>
    <w:rsid w:val="00CE4A8F"/>
    <w:rsid w:val="00CE4DAA"/>
    <w:rsid w:val="00CE69DD"/>
    <w:rsid w:val="00CE7A93"/>
    <w:rsid w:val="00CF0196"/>
    <w:rsid w:val="00CF10F4"/>
    <w:rsid w:val="00CF33D8"/>
    <w:rsid w:val="00CF3EA3"/>
    <w:rsid w:val="00CF586F"/>
    <w:rsid w:val="00CF5BDA"/>
    <w:rsid w:val="00CF7D43"/>
    <w:rsid w:val="00D02401"/>
    <w:rsid w:val="00D10066"/>
    <w:rsid w:val="00D11129"/>
    <w:rsid w:val="00D1647A"/>
    <w:rsid w:val="00D165F0"/>
    <w:rsid w:val="00D2031B"/>
    <w:rsid w:val="00D20B00"/>
    <w:rsid w:val="00D22332"/>
    <w:rsid w:val="00D22877"/>
    <w:rsid w:val="00D2544C"/>
    <w:rsid w:val="00D25FE2"/>
    <w:rsid w:val="00D34D12"/>
    <w:rsid w:val="00D376FC"/>
    <w:rsid w:val="00D43252"/>
    <w:rsid w:val="00D445B8"/>
    <w:rsid w:val="00D5203E"/>
    <w:rsid w:val="00D52DF7"/>
    <w:rsid w:val="00D53F79"/>
    <w:rsid w:val="00D550F9"/>
    <w:rsid w:val="00D556BA"/>
    <w:rsid w:val="00D56342"/>
    <w:rsid w:val="00D572B0"/>
    <w:rsid w:val="00D60B58"/>
    <w:rsid w:val="00D62E90"/>
    <w:rsid w:val="00D66C48"/>
    <w:rsid w:val="00D67287"/>
    <w:rsid w:val="00D70C53"/>
    <w:rsid w:val="00D71DBA"/>
    <w:rsid w:val="00D72188"/>
    <w:rsid w:val="00D735C7"/>
    <w:rsid w:val="00D75F83"/>
    <w:rsid w:val="00D80D94"/>
    <w:rsid w:val="00D82241"/>
    <w:rsid w:val="00D82E94"/>
    <w:rsid w:val="00D83601"/>
    <w:rsid w:val="00D83773"/>
    <w:rsid w:val="00D858DE"/>
    <w:rsid w:val="00D859CA"/>
    <w:rsid w:val="00D90E8B"/>
    <w:rsid w:val="00D97572"/>
    <w:rsid w:val="00D978C6"/>
    <w:rsid w:val="00DA1897"/>
    <w:rsid w:val="00DA4359"/>
    <w:rsid w:val="00DA539D"/>
    <w:rsid w:val="00DA65B1"/>
    <w:rsid w:val="00DA67AD"/>
    <w:rsid w:val="00DB18CE"/>
    <w:rsid w:val="00DB4634"/>
    <w:rsid w:val="00DB6C88"/>
    <w:rsid w:val="00DB7780"/>
    <w:rsid w:val="00DC4D10"/>
    <w:rsid w:val="00DC55EC"/>
    <w:rsid w:val="00DC7AC3"/>
    <w:rsid w:val="00DD17D8"/>
    <w:rsid w:val="00DD2429"/>
    <w:rsid w:val="00DD5F17"/>
    <w:rsid w:val="00DD6B81"/>
    <w:rsid w:val="00DD7734"/>
    <w:rsid w:val="00DE13BD"/>
    <w:rsid w:val="00DE2C2A"/>
    <w:rsid w:val="00DE3EC0"/>
    <w:rsid w:val="00DE5D98"/>
    <w:rsid w:val="00DE602B"/>
    <w:rsid w:val="00DE6339"/>
    <w:rsid w:val="00DE68B4"/>
    <w:rsid w:val="00DF036B"/>
    <w:rsid w:val="00DF3347"/>
    <w:rsid w:val="00DF36EA"/>
    <w:rsid w:val="00DF6B60"/>
    <w:rsid w:val="00E06422"/>
    <w:rsid w:val="00E11593"/>
    <w:rsid w:val="00E12B6B"/>
    <w:rsid w:val="00E130AB"/>
    <w:rsid w:val="00E14EDA"/>
    <w:rsid w:val="00E207DD"/>
    <w:rsid w:val="00E23B79"/>
    <w:rsid w:val="00E23DCD"/>
    <w:rsid w:val="00E26D19"/>
    <w:rsid w:val="00E34A71"/>
    <w:rsid w:val="00E34C44"/>
    <w:rsid w:val="00E35391"/>
    <w:rsid w:val="00E378B8"/>
    <w:rsid w:val="00E37BD0"/>
    <w:rsid w:val="00E41811"/>
    <w:rsid w:val="00E438D9"/>
    <w:rsid w:val="00E44FF3"/>
    <w:rsid w:val="00E46FF7"/>
    <w:rsid w:val="00E503C4"/>
    <w:rsid w:val="00E521A0"/>
    <w:rsid w:val="00E562A8"/>
    <w:rsid w:val="00E5644E"/>
    <w:rsid w:val="00E5652E"/>
    <w:rsid w:val="00E64239"/>
    <w:rsid w:val="00E6579E"/>
    <w:rsid w:val="00E65B0E"/>
    <w:rsid w:val="00E71462"/>
    <w:rsid w:val="00E715BC"/>
    <w:rsid w:val="00E7260F"/>
    <w:rsid w:val="00E75C72"/>
    <w:rsid w:val="00E76082"/>
    <w:rsid w:val="00E806EE"/>
    <w:rsid w:val="00E821CC"/>
    <w:rsid w:val="00E8238A"/>
    <w:rsid w:val="00E8309A"/>
    <w:rsid w:val="00E85A1C"/>
    <w:rsid w:val="00E9055E"/>
    <w:rsid w:val="00E90EAC"/>
    <w:rsid w:val="00E9170F"/>
    <w:rsid w:val="00E921F4"/>
    <w:rsid w:val="00E9349A"/>
    <w:rsid w:val="00E94B93"/>
    <w:rsid w:val="00E96630"/>
    <w:rsid w:val="00E968AA"/>
    <w:rsid w:val="00EA277E"/>
    <w:rsid w:val="00EA48D9"/>
    <w:rsid w:val="00EA649C"/>
    <w:rsid w:val="00EB0C03"/>
    <w:rsid w:val="00EB0FB9"/>
    <w:rsid w:val="00EB26B5"/>
    <w:rsid w:val="00EB3B44"/>
    <w:rsid w:val="00EC2AED"/>
    <w:rsid w:val="00EC7DD6"/>
    <w:rsid w:val="00ED0645"/>
    <w:rsid w:val="00ED0CA9"/>
    <w:rsid w:val="00ED53B7"/>
    <w:rsid w:val="00ED77F1"/>
    <w:rsid w:val="00ED7A2A"/>
    <w:rsid w:val="00EE175B"/>
    <w:rsid w:val="00EE2B9B"/>
    <w:rsid w:val="00EE7CC7"/>
    <w:rsid w:val="00EF10F5"/>
    <w:rsid w:val="00EF168F"/>
    <w:rsid w:val="00EF1D7F"/>
    <w:rsid w:val="00EF34B6"/>
    <w:rsid w:val="00EF44C1"/>
    <w:rsid w:val="00EF4518"/>
    <w:rsid w:val="00EF4899"/>
    <w:rsid w:val="00EF5BDB"/>
    <w:rsid w:val="00EF7CE3"/>
    <w:rsid w:val="00F07FD9"/>
    <w:rsid w:val="00F104E3"/>
    <w:rsid w:val="00F10B71"/>
    <w:rsid w:val="00F1789B"/>
    <w:rsid w:val="00F17BB5"/>
    <w:rsid w:val="00F22683"/>
    <w:rsid w:val="00F227C3"/>
    <w:rsid w:val="00F23933"/>
    <w:rsid w:val="00F24119"/>
    <w:rsid w:val="00F241F5"/>
    <w:rsid w:val="00F31D1C"/>
    <w:rsid w:val="00F323D6"/>
    <w:rsid w:val="00F34E30"/>
    <w:rsid w:val="00F36281"/>
    <w:rsid w:val="00F40409"/>
    <w:rsid w:val="00F408FF"/>
    <w:rsid w:val="00F40E75"/>
    <w:rsid w:val="00F41D72"/>
    <w:rsid w:val="00F42CD9"/>
    <w:rsid w:val="00F43DD8"/>
    <w:rsid w:val="00F45B7A"/>
    <w:rsid w:val="00F47589"/>
    <w:rsid w:val="00F52936"/>
    <w:rsid w:val="00F5294A"/>
    <w:rsid w:val="00F52E7A"/>
    <w:rsid w:val="00F5503D"/>
    <w:rsid w:val="00F55F3A"/>
    <w:rsid w:val="00F56E45"/>
    <w:rsid w:val="00F57EA5"/>
    <w:rsid w:val="00F60CD6"/>
    <w:rsid w:val="00F63AFB"/>
    <w:rsid w:val="00F64D1D"/>
    <w:rsid w:val="00F66885"/>
    <w:rsid w:val="00F677CB"/>
    <w:rsid w:val="00F70112"/>
    <w:rsid w:val="00F716E3"/>
    <w:rsid w:val="00F71CC4"/>
    <w:rsid w:val="00F75127"/>
    <w:rsid w:val="00F832A1"/>
    <w:rsid w:val="00F924EF"/>
    <w:rsid w:val="00F9268B"/>
    <w:rsid w:val="00F933B3"/>
    <w:rsid w:val="00F93A22"/>
    <w:rsid w:val="00F96201"/>
    <w:rsid w:val="00F963E7"/>
    <w:rsid w:val="00F96E5D"/>
    <w:rsid w:val="00F97EB9"/>
    <w:rsid w:val="00FA313D"/>
    <w:rsid w:val="00FA4448"/>
    <w:rsid w:val="00FA71A6"/>
    <w:rsid w:val="00FA7486"/>
    <w:rsid w:val="00FA7DF3"/>
    <w:rsid w:val="00FB209F"/>
    <w:rsid w:val="00FB2FCB"/>
    <w:rsid w:val="00FB310F"/>
    <w:rsid w:val="00FC01C7"/>
    <w:rsid w:val="00FC3A9A"/>
    <w:rsid w:val="00FC5A45"/>
    <w:rsid w:val="00FC68B7"/>
    <w:rsid w:val="00FD61BB"/>
    <w:rsid w:val="00FD6C9E"/>
    <w:rsid w:val="00FD7C12"/>
    <w:rsid w:val="00FE0F5C"/>
    <w:rsid w:val="00FE183C"/>
    <w:rsid w:val="00FE65B2"/>
    <w:rsid w:val="00FF23C3"/>
    <w:rsid w:val="00FF71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39BB3"/>
  <w15:docId w15:val="{A01C0441-7FC2-49DD-AD47-29AEB525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4_GA"/>
    <w:uiPriority w:val="99"/>
    <w:rsid w:val="00D11129"/>
    <w:rPr>
      <w:rFonts w:ascii="Times New Roman" w:hAnsi="Times New Roman"/>
      <w:sz w:val="18"/>
      <w:vertAlign w:val="superscript"/>
    </w:rPr>
  </w:style>
  <w:style w:type="paragraph" w:styleId="EndnoteText">
    <w:name w:val="endnote text"/>
    <w:aliases w:val="2_G"/>
    <w:basedOn w:val="FootnoteText"/>
    <w:link w:val="EndnoteTextChar"/>
    <w:uiPriority w:val="99"/>
    <w:rsid w:val="0052176C"/>
  </w:style>
  <w:style w:type="paragraph" w:styleId="FootnoteText">
    <w:name w:val="footnote text"/>
    <w:aliases w:val="5_G, Char Char Char, Char Char Char Char Char Char, Char Char Char Char Char Char Char,Char Char Char,Char Char Char Char Char,Char Char Char Char Char Char,Char Char Char Char Char Char Char,Char, Char,Sharp - Footnote Text,single space"/>
    <w:basedOn w:val="Normal"/>
    <w:link w:val="FootnoteTextChar"/>
    <w:uiPriority w:val="99"/>
    <w:qFormat/>
    <w:rsid w:val="00D11129"/>
    <w:pPr>
      <w:tabs>
        <w:tab w:val="right" w:pos="1021"/>
      </w:tabs>
      <w:spacing w:line="220" w:lineRule="exact"/>
      <w:ind w:left="1134" w:right="1134" w:hanging="1134"/>
    </w:pPr>
    <w:rPr>
      <w:sz w:val="18"/>
      <w:lang w:val="x-none"/>
    </w:rPr>
  </w:style>
  <w:style w:type="paragraph" w:styleId="Footer">
    <w:name w:val="footer"/>
    <w:aliases w:val="3_G"/>
    <w:basedOn w:val="Normal"/>
    <w:link w:val="FooterChar"/>
    <w:uiPriority w:val="99"/>
    <w:rsid w:val="0052176C"/>
    <w:rPr>
      <w:sz w:val="16"/>
      <w:lang w:val="x-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rsid w:val="0052176C"/>
    <w:pPr>
      <w:pBdr>
        <w:bottom w:val="single" w:sz="4" w:space="4" w:color="auto"/>
      </w:pBdr>
    </w:pPr>
    <w:rPr>
      <w:b/>
      <w:sz w:val="18"/>
    </w:rPr>
  </w:style>
  <w:style w:type="character" w:styleId="PageNumber">
    <w:name w:val="page number"/>
    <w:aliases w:val="7_G"/>
    <w:rsid w:val="0052176C"/>
    <w:rPr>
      <w:rFonts w:ascii="Times New Roman" w:hAnsi="Times New Roman"/>
      <w:b/>
      <w:sz w:val="18"/>
    </w:rPr>
  </w:style>
  <w:style w:type="paragraph" w:styleId="PlainText">
    <w:name w:val="Plain Text"/>
    <w:basedOn w:val="Normal"/>
    <w:semiHidden/>
    <w:rsid w:val="00A325FC"/>
    <w:rPr>
      <w:rFonts w:cs="Courier New"/>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semiHidden/>
    <w:rsid w:val="00A325FC"/>
  </w:style>
  <w:style w:type="paragraph" w:styleId="BodyTextIndent">
    <w:name w:val="Body Text Indent"/>
    <w:basedOn w:val="Normal"/>
    <w:semiHidden/>
    <w:rsid w:val="00A325FC"/>
    <w:pPr>
      <w:spacing w:after="120"/>
      <w:ind w:left="283"/>
    </w:pPr>
  </w:style>
  <w:style w:type="paragraph" w:styleId="BlockText">
    <w:name w:val="Block Text"/>
    <w:basedOn w:val="Normal"/>
    <w:semiHidden/>
    <w:rsid w:val="00A325FC"/>
    <w:pPr>
      <w:ind w:left="1440" w:right="144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3"/>
      </w:numPr>
    </w:pPr>
  </w:style>
  <w:style w:type="numbering" w:styleId="1ai">
    <w:name w:val="Outline List 1"/>
    <w:basedOn w:val="NoList"/>
    <w:semiHidden/>
    <w:rsid w:val="008A6C4F"/>
    <w:pPr>
      <w:numPr>
        <w:numId w:val="4"/>
      </w:numPr>
    </w:pPr>
  </w:style>
  <w:style w:type="character" w:styleId="CommentReference">
    <w:name w:val="annotation reference"/>
    <w:semiHidden/>
    <w:rsid w:val="00A325FC"/>
    <w:rPr>
      <w:sz w:val="6"/>
    </w:rPr>
  </w:style>
  <w:style w:type="paragraph" w:styleId="CommentText">
    <w:name w:val="annotation text"/>
    <w:basedOn w:val="Normal"/>
    <w:link w:val="CommentTextChar"/>
    <w:uiPriority w:val="99"/>
    <w:rsid w:val="00A325FC"/>
  </w:style>
  <w:style w:type="character" w:styleId="LineNumber">
    <w:name w:val="line number"/>
    <w:semiHidden/>
    <w:rsid w:val="00A325FC"/>
    <w:rPr>
      <w:sz w:val="14"/>
    </w:rPr>
  </w:style>
  <w:style w:type="numbering" w:styleId="ArticleSection">
    <w:name w:val="Outline List 3"/>
    <w:basedOn w:val="NoList"/>
    <w:semiHidden/>
    <w:rsid w:val="00A325FC"/>
    <w:pPr>
      <w:numPr>
        <w:numId w:val="16"/>
      </w:numPr>
    </w:pPr>
  </w:style>
  <w:style w:type="paragraph" w:styleId="BodyText2">
    <w:name w:val="Body Text 2"/>
    <w:basedOn w:val="Normal"/>
    <w:semiHidden/>
    <w:rsid w:val="00A325FC"/>
    <w:pPr>
      <w:spacing w:after="120" w:line="480" w:lineRule="auto"/>
    </w:pPr>
  </w:style>
  <w:style w:type="paragraph" w:styleId="BodyText3">
    <w:name w:val="Body Text 3"/>
    <w:basedOn w:val="Normal"/>
    <w:semiHidden/>
    <w:rsid w:val="00A325FC"/>
    <w:pPr>
      <w:spacing w:after="120"/>
    </w:pPr>
    <w:rPr>
      <w:sz w:val="16"/>
      <w:szCs w:val="16"/>
    </w:rPr>
  </w:style>
  <w:style w:type="paragraph" w:styleId="BodyTextFirstIndent">
    <w:name w:val="Body Text First Indent"/>
    <w:basedOn w:val="BodyText"/>
    <w:semiHidden/>
    <w:rsid w:val="00A325FC"/>
    <w:pPr>
      <w:spacing w:after="120"/>
      <w:ind w:firstLine="210"/>
    </w:pPr>
  </w:style>
  <w:style w:type="paragraph" w:styleId="BodyTextFirstIndent2">
    <w:name w:val="Body Text First Indent 2"/>
    <w:basedOn w:val="BodyTextIndent"/>
    <w:semiHidden/>
    <w:rsid w:val="00A325FC"/>
    <w:pPr>
      <w:ind w:firstLine="210"/>
    </w:pPr>
  </w:style>
  <w:style w:type="paragraph" w:styleId="BodyTextIndent2">
    <w:name w:val="Body Text Indent 2"/>
    <w:basedOn w:val="Normal"/>
    <w:semiHidden/>
    <w:rsid w:val="00A325FC"/>
    <w:pPr>
      <w:spacing w:after="120" w:line="480" w:lineRule="auto"/>
      <w:ind w:left="283"/>
    </w:pPr>
  </w:style>
  <w:style w:type="paragraph" w:styleId="BodyTextIndent3">
    <w:name w:val="Body Text Indent 3"/>
    <w:basedOn w:val="Normal"/>
    <w:semiHidden/>
    <w:rsid w:val="00A325FC"/>
    <w:pPr>
      <w:spacing w:after="120"/>
      <w:ind w:left="283"/>
    </w:pPr>
    <w:rPr>
      <w:sz w:val="16"/>
      <w:szCs w:val="16"/>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paragraph" w:styleId="Closing">
    <w:name w:val="Closing"/>
    <w:basedOn w:val="Normal"/>
    <w:semiHidden/>
    <w:rsid w:val="00A325FC"/>
    <w:pPr>
      <w:ind w:left="4252"/>
    </w:pPr>
  </w:style>
  <w:style w:type="character" w:styleId="HTMLAcronym">
    <w:name w:val="HTML Acronym"/>
    <w:basedOn w:val="DefaultParagraphFont"/>
    <w:semiHidden/>
    <w:rsid w:val="008A6C4F"/>
  </w:style>
  <w:style w:type="paragraph" w:styleId="Date">
    <w:name w:val="Date"/>
    <w:basedOn w:val="Normal"/>
    <w:next w:val="Normal"/>
    <w:semiHidden/>
    <w:rsid w:val="00A325FC"/>
  </w:style>
  <w:style w:type="paragraph" w:styleId="E-mailSignature">
    <w:name w:val="E-mail Signature"/>
    <w:basedOn w:val="Normal"/>
    <w:semiHidden/>
    <w:rsid w:val="00A325FC"/>
  </w:style>
  <w:style w:type="character" w:styleId="FollowedHyperlink">
    <w:name w:val="FollowedHyperlink"/>
    <w:semiHidden/>
    <w:rsid w:val="00A325FC"/>
    <w:rPr>
      <w:color w:val="800080"/>
      <w:u w:val="single"/>
    </w:rPr>
  </w:style>
  <w:style w:type="paragraph" w:styleId="HTMLAddress">
    <w:name w:val="HTML Address"/>
    <w:basedOn w:val="Normal"/>
    <w:semiHidden/>
    <w:rsid w:val="00A325FC"/>
    <w:rPr>
      <w:i/>
      <w:iCs/>
    </w:rPr>
  </w:style>
  <w:style w:type="character" w:styleId="HTMLCite">
    <w:name w:val="HTML Cite"/>
    <w:semiHidden/>
    <w:rsid w:val="00A325FC"/>
    <w:rPr>
      <w:i/>
      <w:iCs/>
    </w:rPr>
  </w:style>
  <w:style w:type="character" w:styleId="HTMLCode">
    <w:name w:val="HTML Code"/>
    <w:semiHidden/>
    <w:rsid w:val="00A325FC"/>
    <w:rPr>
      <w:rFonts w:ascii="Courier New" w:hAnsi="Courier New" w:cs="Courier New"/>
      <w:sz w:val="20"/>
      <w:szCs w:val="20"/>
    </w:rPr>
  </w:style>
  <w:style w:type="character" w:styleId="HTMLDefinition">
    <w:name w:val="HTML Definition"/>
    <w:semiHidden/>
    <w:rsid w:val="00A325FC"/>
    <w:rPr>
      <w:i/>
      <w:iCs/>
    </w:rPr>
  </w:style>
  <w:style w:type="character" w:styleId="HTMLKeyboard">
    <w:name w:val="HTML Keyboard"/>
    <w:semiHidden/>
    <w:rsid w:val="00A325FC"/>
    <w:rPr>
      <w:rFonts w:ascii="Courier New" w:hAnsi="Courier New" w:cs="Courier New"/>
      <w:sz w:val="20"/>
      <w:szCs w:val="20"/>
    </w:rPr>
  </w:style>
  <w:style w:type="paragraph" w:styleId="HTMLPreformatted">
    <w:name w:val="HTML Preformatted"/>
    <w:basedOn w:val="Normal"/>
    <w:semiHidden/>
    <w:rsid w:val="00A325FC"/>
    <w:rPr>
      <w:rFonts w:ascii="Courier New" w:hAnsi="Courier New" w:cs="Courier New"/>
    </w:rPr>
  </w:style>
  <w:style w:type="character" w:styleId="HTMLSample">
    <w:name w:val="HTML Sample"/>
    <w:semiHidden/>
    <w:rsid w:val="00A325FC"/>
    <w:rPr>
      <w:rFonts w:ascii="Courier New" w:hAnsi="Courier New" w:cs="Courier New"/>
    </w:rPr>
  </w:style>
  <w:style w:type="character" w:styleId="HTMLTypewriter">
    <w:name w:val="HTML Typewriter"/>
    <w:semiHidden/>
    <w:rsid w:val="00A325FC"/>
    <w:rPr>
      <w:rFonts w:ascii="Courier New" w:hAnsi="Courier New" w:cs="Courier New"/>
      <w:sz w:val="20"/>
      <w:szCs w:val="20"/>
    </w:rPr>
  </w:style>
  <w:style w:type="character" w:styleId="HTMLVariable">
    <w:name w:val="HTML Variable"/>
    <w:semiHidden/>
    <w:rsid w:val="00A325FC"/>
    <w:rPr>
      <w:i/>
      <w:iCs/>
    </w:rPr>
  </w:style>
  <w:style w:type="character" w:styleId="Hyperlink">
    <w:name w:val="Hyperlink"/>
    <w:uiPriority w:val="99"/>
    <w:rsid w:val="00A325FC"/>
    <w:rPr>
      <w:color w:val="0000FF"/>
      <w:u w:val="single"/>
    </w:rPr>
  </w:style>
  <w:style w:type="paragraph" w:styleId="List">
    <w:name w:val="List"/>
    <w:basedOn w:val="Normal"/>
    <w:semiHidden/>
    <w:rsid w:val="00A325FC"/>
    <w:pPr>
      <w:ind w:left="283" w:hanging="283"/>
    </w:pPr>
  </w:style>
  <w:style w:type="paragraph" w:styleId="List2">
    <w:name w:val="List 2"/>
    <w:basedOn w:val="Normal"/>
    <w:semiHidden/>
    <w:rsid w:val="00A325FC"/>
    <w:pPr>
      <w:ind w:left="566" w:hanging="283"/>
    </w:pPr>
  </w:style>
  <w:style w:type="paragraph" w:styleId="List3">
    <w:name w:val="List 3"/>
    <w:basedOn w:val="Normal"/>
    <w:semiHidden/>
    <w:rsid w:val="00A325FC"/>
    <w:pPr>
      <w:ind w:left="849" w:hanging="283"/>
    </w:pPr>
  </w:style>
  <w:style w:type="paragraph" w:styleId="List4">
    <w:name w:val="List 4"/>
    <w:basedOn w:val="Normal"/>
    <w:semiHidden/>
    <w:rsid w:val="00A325FC"/>
    <w:pPr>
      <w:ind w:left="1132" w:hanging="283"/>
    </w:pPr>
  </w:style>
  <w:style w:type="paragraph" w:styleId="List5">
    <w:name w:val="List 5"/>
    <w:basedOn w:val="Normal"/>
    <w:semiHidden/>
    <w:rsid w:val="00A325FC"/>
    <w:pPr>
      <w:ind w:left="1415" w:hanging="283"/>
    </w:pPr>
  </w:style>
  <w:style w:type="paragraph" w:styleId="ListBullet">
    <w:name w:val="List Bullet"/>
    <w:basedOn w:val="Normal"/>
    <w:semiHidden/>
    <w:rsid w:val="00A325FC"/>
    <w:pPr>
      <w:numPr>
        <w:numId w:val="11"/>
      </w:numPr>
    </w:pPr>
  </w:style>
  <w:style w:type="paragraph" w:styleId="ListBullet2">
    <w:name w:val="List Bullet 2"/>
    <w:basedOn w:val="Normal"/>
    <w:semiHidden/>
    <w:rsid w:val="00A325FC"/>
    <w:pPr>
      <w:numPr>
        <w:numId w:val="12"/>
      </w:numPr>
    </w:pPr>
  </w:style>
  <w:style w:type="paragraph" w:styleId="ListBullet3">
    <w:name w:val="List Bullet 3"/>
    <w:basedOn w:val="Normal"/>
    <w:semiHidden/>
    <w:rsid w:val="00A325FC"/>
    <w:pPr>
      <w:numPr>
        <w:numId w:val="13"/>
      </w:numPr>
    </w:pPr>
  </w:style>
  <w:style w:type="paragraph" w:styleId="ListBullet4">
    <w:name w:val="List Bullet 4"/>
    <w:basedOn w:val="Normal"/>
    <w:semiHidden/>
    <w:rsid w:val="00A325FC"/>
    <w:pPr>
      <w:numPr>
        <w:numId w:val="14"/>
      </w:numPr>
    </w:pPr>
  </w:style>
  <w:style w:type="paragraph" w:styleId="ListBullet5">
    <w:name w:val="List Bullet 5"/>
    <w:basedOn w:val="Normal"/>
    <w:semiHidden/>
    <w:rsid w:val="00A325FC"/>
    <w:pPr>
      <w:numPr>
        <w:numId w:val="15"/>
      </w:numPr>
    </w:pPr>
  </w:style>
  <w:style w:type="paragraph" w:styleId="ListContinue">
    <w:name w:val="List Continue"/>
    <w:basedOn w:val="Normal"/>
    <w:semiHidden/>
    <w:rsid w:val="00A325FC"/>
    <w:pPr>
      <w:spacing w:after="120"/>
      <w:ind w:left="283"/>
    </w:pPr>
  </w:style>
  <w:style w:type="paragraph" w:styleId="ListContinue2">
    <w:name w:val="List Continue 2"/>
    <w:basedOn w:val="Normal"/>
    <w:semiHidden/>
    <w:rsid w:val="00A325FC"/>
    <w:pPr>
      <w:spacing w:after="120"/>
      <w:ind w:left="566"/>
    </w:pPr>
  </w:style>
  <w:style w:type="paragraph" w:styleId="ListContinue3">
    <w:name w:val="List Continue 3"/>
    <w:basedOn w:val="Normal"/>
    <w:semiHidden/>
    <w:rsid w:val="00A325FC"/>
    <w:pPr>
      <w:spacing w:after="120"/>
      <w:ind w:left="849"/>
    </w:pPr>
  </w:style>
  <w:style w:type="paragraph" w:styleId="ListContinue4">
    <w:name w:val="List Continue 4"/>
    <w:basedOn w:val="Normal"/>
    <w:semiHidden/>
    <w:rsid w:val="00A325FC"/>
    <w:pPr>
      <w:spacing w:after="120"/>
      <w:ind w:left="1132"/>
    </w:pPr>
  </w:style>
  <w:style w:type="paragraph" w:styleId="ListContinue5">
    <w:name w:val="List Continue 5"/>
    <w:basedOn w:val="Normal"/>
    <w:semiHidden/>
    <w:rsid w:val="00A325FC"/>
    <w:pPr>
      <w:spacing w:after="120"/>
      <w:ind w:left="1415"/>
    </w:pPr>
  </w:style>
  <w:style w:type="paragraph" w:styleId="ListNumber">
    <w:name w:val="List Number"/>
    <w:basedOn w:val="Normal"/>
    <w:semiHidden/>
    <w:rsid w:val="00A325FC"/>
    <w:pPr>
      <w:numPr>
        <w:numId w:val="10"/>
      </w:numPr>
    </w:pPr>
  </w:style>
  <w:style w:type="paragraph" w:styleId="ListNumber2">
    <w:name w:val="List Number 2"/>
    <w:basedOn w:val="Normal"/>
    <w:semiHidden/>
    <w:rsid w:val="00A325FC"/>
    <w:pPr>
      <w:numPr>
        <w:numId w:val="9"/>
      </w:numPr>
    </w:pPr>
  </w:style>
  <w:style w:type="paragraph" w:styleId="ListNumber3">
    <w:name w:val="List Number 3"/>
    <w:basedOn w:val="Normal"/>
    <w:semiHidden/>
    <w:rsid w:val="00A325FC"/>
    <w:pPr>
      <w:numPr>
        <w:numId w:val="8"/>
      </w:numPr>
    </w:pPr>
  </w:style>
  <w:style w:type="paragraph" w:styleId="ListNumber4">
    <w:name w:val="List Number 4"/>
    <w:basedOn w:val="Normal"/>
    <w:semiHidden/>
    <w:rsid w:val="00A325FC"/>
    <w:pPr>
      <w:numPr>
        <w:numId w:val="6"/>
      </w:numPr>
    </w:pPr>
  </w:style>
  <w:style w:type="paragraph" w:styleId="ListNumber5">
    <w:name w:val="List Number 5"/>
    <w:basedOn w:val="Normal"/>
    <w:semiHidden/>
    <w:rsid w:val="00A325FC"/>
    <w:pPr>
      <w:numPr>
        <w:numId w:val="7"/>
      </w:numPr>
    </w:pPr>
  </w:style>
  <w:style w:type="paragraph" w:styleId="MessageHeader">
    <w:name w:val="Message Header"/>
    <w:basedOn w:val="Normal"/>
    <w:semiHidden/>
    <w:rsid w:val="00A325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A325FC"/>
    <w:rPr>
      <w:sz w:val="24"/>
      <w:szCs w:val="24"/>
    </w:rPr>
  </w:style>
  <w:style w:type="paragraph" w:styleId="NormalIndent">
    <w:name w:val="Normal Indent"/>
    <w:basedOn w:val="Normal"/>
    <w:semiHidden/>
    <w:rsid w:val="00A325FC"/>
    <w:pPr>
      <w:ind w:left="567"/>
    </w:pPr>
  </w:style>
  <w:style w:type="paragraph" w:styleId="NoteHeading">
    <w:name w:val="Note Heading"/>
    <w:basedOn w:val="Normal"/>
    <w:next w:val="Normal"/>
    <w:semiHidden/>
    <w:rsid w:val="00A325FC"/>
  </w:style>
  <w:style w:type="paragraph" w:styleId="Salutation">
    <w:name w:val="Salutation"/>
    <w:basedOn w:val="Normal"/>
    <w:next w:val="Normal"/>
    <w:semiHidden/>
    <w:rsid w:val="00A325FC"/>
  </w:style>
  <w:style w:type="paragraph" w:styleId="Signature">
    <w:name w:val="Signature"/>
    <w:basedOn w:val="Normal"/>
    <w:semiHidden/>
    <w:rsid w:val="00A325FC"/>
    <w:pPr>
      <w:ind w:left="4252"/>
    </w:pPr>
  </w:style>
  <w:style w:type="character" w:styleId="Strong">
    <w:name w:val="Strong"/>
    <w:uiPriority w:val="22"/>
    <w:qFormat/>
    <w:rsid w:val="00A325FC"/>
    <w:rPr>
      <w:b/>
      <w:bCs/>
    </w:rPr>
  </w:style>
  <w:style w:type="paragraph" w:styleId="Subtitle">
    <w:name w:val="Subtitle"/>
    <w:basedOn w:val="Normal"/>
    <w:qFormat/>
    <w:rsid w:val="00A325FC"/>
    <w:pPr>
      <w:spacing w:after="60"/>
      <w:jc w:val="center"/>
      <w:outlineLvl w:val="1"/>
    </w:pPr>
    <w:rPr>
      <w:rFonts w:ascii="Arial" w:hAnsi="Arial" w:cs="Arial"/>
      <w:sz w:val="24"/>
      <w:szCs w:val="24"/>
    </w:rPr>
  </w:style>
  <w:style w:type="table" w:styleId="Table3Deffects1">
    <w:name w:val="Table 3D effects 1"/>
    <w:basedOn w:val="TableNormal"/>
    <w:semiHidden/>
    <w:rsid w:val="00A325F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25F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25F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25F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25F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25F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25F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25F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25F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25F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25F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25F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25F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25F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25F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25F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25F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25F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25F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25F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25F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25F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25F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25F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25F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25F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25F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25F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25F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25F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25F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A325F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325FC"/>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CF10F4"/>
    <w:rPr>
      <w:rFonts w:ascii="Tahoma" w:hAnsi="Tahoma" w:cs="Tahoma"/>
      <w:sz w:val="16"/>
      <w:szCs w:val="16"/>
    </w:rPr>
  </w:style>
  <w:style w:type="paragraph" w:customStyle="1" w:styleId="Dash">
    <w:name w:val="Dash"/>
    <w:basedOn w:val="Normal"/>
    <w:rsid w:val="00D71DBA"/>
    <w:pPr>
      <w:numPr>
        <w:numId w:val="17"/>
      </w:numPr>
      <w:adjustRightInd w:val="0"/>
      <w:snapToGrid w:val="0"/>
      <w:spacing w:after="240"/>
    </w:pPr>
    <w:rPr>
      <w:rFonts w:eastAsia="Batang"/>
      <w:sz w:val="24"/>
    </w:rPr>
  </w:style>
  <w:style w:type="paragraph" w:customStyle="1" w:styleId="Paragraphedeliste">
    <w:name w:val="Paragraphe de liste"/>
    <w:basedOn w:val="Normal"/>
    <w:qFormat/>
    <w:rsid w:val="002209B6"/>
    <w:pPr>
      <w:ind w:left="720"/>
    </w:pPr>
    <w:rPr>
      <w:rFonts w:eastAsia="SimSun"/>
      <w:sz w:val="24"/>
      <w:szCs w:val="24"/>
      <w:lang w:eastAsia="zh-CN"/>
    </w:rPr>
  </w:style>
  <w:style w:type="paragraph" w:customStyle="1" w:styleId="StyleArialBold">
    <w:name w:val="Style Arial Bold"/>
    <w:basedOn w:val="Normal"/>
    <w:autoRedefine/>
    <w:rsid w:val="002209B6"/>
    <w:pPr>
      <w:widowControl w:val="0"/>
      <w:autoSpaceDE w:val="0"/>
      <w:autoSpaceDN w:val="0"/>
      <w:spacing w:before="120" w:after="120"/>
      <w:jc w:val="both"/>
    </w:pPr>
    <w:rPr>
      <w:rFonts w:ascii="Arial" w:eastAsia="Batang" w:hAnsi="Arial" w:cs="Arial"/>
      <w:sz w:val="22"/>
      <w:szCs w:val="24"/>
      <w:lang w:val="en-CA"/>
    </w:rPr>
  </w:style>
  <w:style w:type="character" w:customStyle="1" w:styleId="SingleTxtGChar">
    <w:name w:val="_ Single Txt_G Char"/>
    <w:link w:val="SingleTxtG"/>
    <w:rsid w:val="00640E7C"/>
    <w:rPr>
      <w:lang w:val="en-GB" w:eastAsia="en-US" w:bidi="ar-SA"/>
    </w:rPr>
  </w:style>
  <w:style w:type="paragraph" w:styleId="ListParagraph">
    <w:name w:val="List Paragraph"/>
    <w:basedOn w:val="Normal"/>
    <w:uiPriority w:val="34"/>
    <w:qFormat/>
    <w:rsid w:val="00E715BC"/>
    <w:pPr>
      <w:ind w:left="720"/>
    </w:pPr>
  </w:style>
  <w:style w:type="character" w:customStyle="1" w:styleId="FooterChar">
    <w:name w:val="Footer Char"/>
    <w:aliases w:val="3_G Char"/>
    <w:link w:val="Footer"/>
    <w:uiPriority w:val="99"/>
    <w:rsid w:val="00F70112"/>
    <w:rPr>
      <w:sz w:val="16"/>
      <w:lang w:eastAsia="en-US"/>
    </w:rPr>
  </w:style>
  <w:style w:type="character" w:customStyle="1" w:styleId="FootnoteTextChar">
    <w:name w:val="Footnote Text Char"/>
    <w:aliases w:val="5_G Char, Char Char Char Char1, Char Char Char Char Char Char Char2, Char Char Char Char Char Char Char Char1,Char Char Char Char1,Char Char Char Char Char Char2,Char Char Char Char Char Char Char2,Char Char, Char Char"/>
    <w:link w:val="FootnoteText"/>
    <w:uiPriority w:val="99"/>
    <w:qFormat/>
    <w:locked/>
    <w:rsid w:val="00626A92"/>
    <w:rPr>
      <w:sz w:val="18"/>
      <w:lang w:eastAsia="en-US"/>
    </w:rPr>
  </w:style>
  <w:style w:type="character" w:customStyle="1" w:styleId="EndnoteTextChar">
    <w:name w:val="Endnote Text Char"/>
    <w:aliases w:val="2_G Char"/>
    <w:link w:val="EndnoteText"/>
    <w:uiPriority w:val="99"/>
    <w:locked/>
    <w:rsid w:val="00626A92"/>
    <w:rPr>
      <w:sz w:val="18"/>
      <w:lang w:eastAsia="en-US"/>
    </w:rPr>
  </w:style>
  <w:style w:type="paragraph" w:customStyle="1" w:styleId="Default">
    <w:name w:val="Default"/>
    <w:rsid w:val="00DD2429"/>
    <w:pPr>
      <w:autoSpaceDE w:val="0"/>
      <w:autoSpaceDN w:val="0"/>
      <w:adjustRightInd w:val="0"/>
    </w:pPr>
    <w:rPr>
      <w:color w:val="000000"/>
      <w:sz w:val="24"/>
      <w:szCs w:val="24"/>
    </w:rPr>
  </w:style>
  <w:style w:type="character" w:customStyle="1" w:styleId="HChGChar">
    <w:name w:val="_ H _Ch_G Char"/>
    <w:link w:val="HChG"/>
    <w:rsid w:val="008A1FCC"/>
    <w:rPr>
      <w:b/>
      <w:sz w:val="28"/>
      <w:lang w:eastAsia="en-US"/>
    </w:rPr>
  </w:style>
  <w:style w:type="paragraph" w:styleId="NoSpacing">
    <w:name w:val="No Spacing"/>
    <w:link w:val="NoSpacingChar"/>
    <w:uiPriority w:val="1"/>
    <w:qFormat/>
    <w:rsid w:val="00E90EAC"/>
    <w:rPr>
      <w:rFonts w:ascii="Calibri" w:hAnsi="Calibri"/>
      <w:sz w:val="22"/>
      <w:szCs w:val="22"/>
      <w:lang w:val="en-US" w:eastAsia="en-US"/>
    </w:rPr>
  </w:style>
  <w:style w:type="character" w:customStyle="1" w:styleId="st">
    <w:name w:val="st"/>
    <w:rsid w:val="00E90EAC"/>
  </w:style>
  <w:style w:type="character" w:customStyle="1" w:styleId="NormalWebChar">
    <w:name w:val="Normal (Web) Char"/>
    <w:link w:val="NormalWeb"/>
    <w:uiPriority w:val="99"/>
    <w:rsid w:val="00932EE4"/>
    <w:rPr>
      <w:sz w:val="24"/>
      <w:szCs w:val="24"/>
      <w:lang w:val="en-GB" w:eastAsia="en-US" w:bidi="ar-SA"/>
    </w:rPr>
  </w:style>
  <w:style w:type="character" w:customStyle="1" w:styleId="FootnoteTextChar1">
    <w:name w:val="Footnote Text Char1"/>
    <w:aliases w:val=" Char Char Char Char, Char Char Char Char Char Char Char1, Char Char Char Char Char Char Char Char,Char Char Char Char,Char Char Char Char Char Char1,Char Char Char Char Char Char Char1,Char Char Char Char Char Char Char Char"/>
    <w:uiPriority w:val="99"/>
    <w:rsid w:val="00932EE4"/>
    <w:rPr>
      <w:rFonts w:cs="Times New Roman"/>
      <w:lang w:val="en-GB" w:eastAsia="en-US" w:bidi="ar-SA"/>
    </w:rPr>
  </w:style>
  <w:style w:type="character" w:customStyle="1" w:styleId="CommentTextChar">
    <w:name w:val="Comment Text Char"/>
    <w:link w:val="CommentText"/>
    <w:uiPriority w:val="99"/>
    <w:rsid w:val="00932EE4"/>
    <w:rPr>
      <w:lang w:val="en-GB" w:eastAsia="en-US" w:bidi="ar-SA"/>
    </w:rPr>
  </w:style>
  <w:style w:type="character" w:customStyle="1" w:styleId="NoSpacingChar">
    <w:name w:val="No Spacing Char"/>
    <w:link w:val="NoSpacing"/>
    <w:uiPriority w:val="1"/>
    <w:rsid w:val="0045546D"/>
    <w:rPr>
      <w:rFonts w:ascii="Calibri" w:hAnsi="Calibri"/>
      <w:sz w:val="22"/>
      <w:szCs w:val="22"/>
      <w:lang w:val="en-US" w:eastAsia="en-US" w:bidi="ar-SA"/>
    </w:rPr>
  </w:style>
  <w:style w:type="paragraph" w:customStyle="1" w:styleId="WW-Default">
    <w:name w:val="WW-Default"/>
    <w:rsid w:val="001C7E90"/>
    <w:pPr>
      <w:suppressAutoHyphens/>
      <w:autoSpaceDE w:val="0"/>
    </w:pPr>
    <w:rPr>
      <w:rFonts w:eastAsia="SimSun"/>
      <w:color w:val="000000"/>
      <w:sz w:val="24"/>
      <w:szCs w:val="24"/>
      <w:lang w:val="en-US" w:eastAsia="ar-SA"/>
    </w:rPr>
  </w:style>
  <w:style w:type="paragraph" w:styleId="CommentSubject">
    <w:name w:val="annotation subject"/>
    <w:basedOn w:val="CommentText"/>
    <w:next w:val="CommentText"/>
    <w:link w:val="CommentSubjectChar"/>
    <w:uiPriority w:val="99"/>
    <w:semiHidden/>
    <w:unhideWhenUsed/>
    <w:rsid w:val="007442CD"/>
    <w:rPr>
      <w:b/>
      <w:bCs/>
    </w:rPr>
  </w:style>
  <w:style w:type="character" w:customStyle="1" w:styleId="CommentSubjectChar">
    <w:name w:val="Comment Subject Char"/>
    <w:link w:val="CommentSubject"/>
    <w:uiPriority w:val="99"/>
    <w:semiHidden/>
    <w:rsid w:val="007442CD"/>
    <w:rPr>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2472">
      <w:bodyDiv w:val="1"/>
      <w:marLeft w:val="0"/>
      <w:marRight w:val="0"/>
      <w:marTop w:val="0"/>
      <w:marBottom w:val="0"/>
      <w:divBdr>
        <w:top w:val="none" w:sz="0" w:space="0" w:color="auto"/>
        <w:left w:val="none" w:sz="0" w:space="0" w:color="auto"/>
        <w:bottom w:val="none" w:sz="0" w:space="0" w:color="auto"/>
        <w:right w:val="none" w:sz="0" w:space="0" w:color="auto"/>
      </w:divBdr>
    </w:div>
    <w:div w:id="834492503">
      <w:bodyDiv w:val="1"/>
      <w:marLeft w:val="0"/>
      <w:marRight w:val="0"/>
      <w:marTop w:val="0"/>
      <w:marBottom w:val="0"/>
      <w:divBdr>
        <w:top w:val="none" w:sz="0" w:space="0" w:color="auto"/>
        <w:left w:val="none" w:sz="0" w:space="0" w:color="auto"/>
        <w:bottom w:val="none" w:sz="0" w:space="0" w:color="auto"/>
        <w:right w:val="none" w:sz="0" w:space="0" w:color="auto"/>
      </w:divBdr>
    </w:div>
    <w:div w:id="1417435883">
      <w:bodyDiv w:val="1"/>
      <w:marLeft w:val="0"/>
      <w:marRight w:val="0"/>
      <w:marTop w:val="0"/>
      <w:marBottom w:val="0"/>
      <w:divBdr>
        <w:top w:val="none" w:sz="0" w:space="0" w:color="auto"/>
        <w:left w:val="none" w:sz="0" w:space="0" w:color="auto"/>
        <w:bottom w:val="none" w:sz="0" w:space="0" w:color="auto"/>
        <w:right w:val="none" w:sz="0" w:space="0" w:color="auto"/>
      </w:divBdr>
    </w:div>
    <w:div w:id="1630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parliament.uk/pa/jt5801/jtselect/jtrights/343/343.pdf" TargetMode="External"/><Relationship Id="rId13" Type="http://schemas.openxmlformats.org/officeDocument/2006/relationships/hyperlink" Target="https://www.legislation.gov.uk/uksi/2020/360/contents/made" TargetMode="External"/><Relationship Id="rId18" Type="http://schemas.openxmlformats.org/officeDocument/2006/relationships/hyperlink" Target="https://ico.org.uk/media/about-the-ico/documents/2616184/live-frt-law-enforcement-opinion-20191031.pdf" TargetMode="External"/><Relationship Id="rId3" Type="http://schemas.openxmlformats.org/officeDocument/2006/relationships/hyperlink" Target="https://www.judiciary.uk/wp-content/uploads/2018/04/liberty-v-home-office-judgment.pdf" TargetMode="External"/><Relationship Id="rId21" Type="http://schemas.openxmlformats.org/officeDocument/2006/relationships/hyperlink" Target="http://hudoc.echr.coe.int/eng?i=001-200817" TargetMode="External"/><Relationship Id="rId7" Type="http://schemas.openxmlformats.org/officeDocument/2006/relationships/hyperlink" Target="http://ennhri.org/wp-content/uploads/2019/09/Third-Party-Intervention-to-European-Court-of-Human-Rights-on-National-Intelligence-Sharing-and-Right-to-Privacy.pdf" TargetMode="External"/><Relationship Id="rId12" Type="http://schemas.openxmlformats.org/officeDocument/2006/relationships/hyperlink" Target="https://www.gov.uk/government/publications/nhs-covid-19-app-privacy-information" TargetMode="External"/><Relationship Id="rId17" Type="http://schemas.openxmlformats.org/officeDocument/2006/relationships/hyperlink" Target="https://www.judiciary.uk/wp-content/uploads/2020/08/R-Bridges-v-CC-South-Wales-ors-Judgment.pdf" TargetMode="External"/><Relationship Id="rId25" Type="http://schemas.openxmlformats.org/officeDocument/2006/relationships/hyperlink" Target="https://www.legislation.gov.uk/uksi/2020/688/made/data.pdf" TargetMode="External"/><Relationship Id="rId2" Type="http://schemas.openxmlformats.org/officeDocument/2006/relationships/hyperlink" Target="https://www.legislation.gov.uk/ukpga/2016/25/contents/enacted" TargetMode="External"/><Relationship Id="rId16" Type="http://schemas.openxmlformats.org/officeDocument/2006/relationships/hyperlink" Target="https://hudoc.echr.coe.int/eng" TargetMode="External"/><Relationship Id="rId20" Type="http://schemas.openxmlformats.org/officeDocument/2006/relationships/hyperlink" Target="https://hudoc.echr.coe.int/fre" TargetMode="External"/><Relationship Id="rId1" Type="http://schemas.openxmlformats.org/officeDocument/2006/relationships/hyperlink" Target="https://www.ohchr.org/EN/Issues/Privacy/SR/Pages/CountryVisits.aspx" TargetMode="External"/><Relationship Id="rId6" Type="http://schemas.openxmlformats.org/officeDocument/2006/relationships/hyperlink" Target="https://hudoc.echr.coe.int/eng" TargetMode="External"/><Relationship Id="rId11" Type="http://schemas.openxmlformats.org/officeDocument/2006/relationships/hyperlink" Target="https://www.awo.agency/2020-07-15-PAP-Response-Letter.pdf" TargetMode="External"/><Relationship Id="rId24" Type="http://schemas.openxmlformats.org/officeDocument/2006/relationships/hyperlink" Target="https://questions-statements.parliament.uk/written-statements/detail/2020-03-18/HCWS168" TargetMode="External"/><Relationship Id="rId5" Type="http://schemas.openxmlformats.org/officeDocument/2006/relationships/hyperlink" Target="https://curia.europa.eu/juris/liste.jsf?language=en&amp;td=ALL&amp;num=C-623/17" TargetMode="External"/><Relationship Id="rId15" Type="http://schemas.openxmlformats.org/officeDocument/2006/relationships/hyperlink" Target="https://nihrc.org/publication/detail/children-social-care-coronavirus-temporary-modification-of-childrens-social-care-regulations-ni-2020" TargetMode="External"/><Relationship Id="rId23" Type="http://schemas.openxmlformats.org/officeDocument/2006/relationships/hyperlink" Target="https://nihrc.org/publication/detail/submission-to-the-committee-of-ministers-in-relation-to-the-supervision-of-the-cases-concerning-the-actions-of-the-security-forces-in-northern-ireland" TargetMode="External"/><Relationship Id="rId10" Type="http://schemas.openxmlformats.org/officeDocument/2006/relationships/hyperlink" Target="https://www.gov.uk/government/publications/developing-nhs-test-and-trace-business-plan/breaking-chains-of-covid-19-transmission-to-help-people-return-to-more-normal-lives-developing-the-nhs-test-and-trace-service" TargetMode="External"/><Relationship Id="rId19" Type="http://schemas.openxmlformats.org/officeDocument/2006/relationships/hyperlink" Target="https://ico.org.uk/media/for-organisations/documents/2619985/ico-opinion-the-use-of-lfr-in-public-places-20210618.pdf" TargetMode="External"/><Relationship Id="rId4" Type="http://schemas.openxmlformats.org/officeDocument/2006/relationships/hyperlink" Target="https://privacyinternational.org/sites/default/files/2019-08/IPT_Referral_ECJ.pdf" TargetMode="External"/><Relationship Id="rId9" Type="http://schemas.openxmlformats.org/officeDocument/2006/relationships/hyperlink" Target="https://www.gov.uk/government/speeches/health-and-social-care-secretarys-statement-on-coronavirus-covid-19-18-june-2020" TargetMode="External"/><Relationship Id="rId14" Type="http://schemas.openxmlformats.org/officeDocument/2006/relationships/hyperlink" Target="https://www.legislation.gov.uk/nisr/2020/78/contents/made" TargetMode="External"/><Relationship Id="rId22" Type="http://schemas.openxmlformats.org/officeDocument/2006/relationships/hyperlink" Target="https://nihrc.org/publication/detail/submission-doj-consultation-on-proposals-to-amend-the-legislation-governing-the-retention-of-dna-and-fingerprints-in-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91B6-DC8B-45B2-8654-48DE5DDC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1010278</vt:lpstr>
    </vt:vector>
  </TitlesOfParts>
  <Company>CSD</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1010278</dc:title>
  <dc:subject>A/HRC/47/NI/XX</dc:subject>
  <dc:creator>OHCHR</dc:creator>
  <dc:description>Final</dc:description>
  <cp:lastModifiedBy>LANZ Veronique</cp:lastModifiedBy>
  <cp:revision>2</cp:revision>
  <cp:lastPrinted>2016-01-29T11:21:00Z</cp:lastPrinted>
  <dcterms:created xsi:type="dcterms:W3CDTF">2021-07-01T09:15:00Z</dcterms:created>
  <dcterms:modified xsi:type="dcterms:W3CDTF">2021-07-01T09:15:00Z</dcterms:modified>
</cp:coreProperties>
</file>