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81"/>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55F3A" w:rsidRPr="00495DB5" w14:paraId="2F6AE380" w14:textId="77777777" w:rsidTr="00F55F3A">
        <w:trPr>
          <w:trHeight w:val="851"/>
        </w:trPr>
        <w:tc>
          <w:tcPr>
            <w:tcW w:w="1259" w:type="dxa"/>
            <w:tcBorders>
              <w:top w:val="nil"/>
              <w:left w:val="nil"/>
              <w:bottom w:val="single" w:sz="4" w:space="0" w:color="auto"/>
              <w:right w:val="nil"/>
            </w:tcBorders>
          </w:tcPr>
          <w:p w14:paraId="1AA8FEDF" w14:textId="77777777" w:rsidR="00F55F3A" w:rsidRPr="00577915" w:rsidRDefault="00F55F3A" w:rsidP="00F55F3A">
            <w:pPr>
              <w:pStyle w:val="Heading3"/>
              <w:suppressAutoHyphens/>
            </w:pPr>
          </w:p>
        </w:tc>
        <w:tc>
          <w:tcPr>
            <w:tcW w:w="2236" w:type="dxa"/>
            <w:tcBorders>
              <w:top w:val="nil"/>
              <w:left w:val="nil"/>
              <w:bottom w:val="single" w:sz="4" w:space="0" w:color="auto"/>
              <w:right w:val="nil"/>
            </w:tcBorders>
            <w:vAlign w:val="bottom"/>
          </w:tcPr>
          <w:p w14:paraId="60467D83" w14:textId="1344F7A0" w:rsidR="00F55F3A" w:rsidRPr="003C3651" w:rsidRDefault="00F55F3A" w:rsidP="00F55F3A">
            <w:pPr>
              <w:suppressAutoHyphens/>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0B49F5E4" w14:textId="0D4A96E1" w:rsidR="00F55F3A" w:rsidRPr="002E7581" w:rsidRDefault="00F55F3A" w:rsidP="005762FD">
            <w:pPr>
              <w:suppressAutoHyphens/>
              <w:spacing w:after="20"/>
              <w:jc w:val="right"/>
              <w:rPr>
                <w:lang w:val="fr-CH"/>
              </w:rPr>
            </w:pPr>
            <w:r w:rsidRPr="00386994">
              <w:rPr>
                <w:sz w:val="40"/>
                <w:szCs w:val="40"/>
                <w:lang w:val="fr-CH"/>
              </w:rPr>
              <w:t>A</w:t>
            </w:r>
            <w:r w:rsidRPr="002E7581">
              <w:rPr>
                <w:lang w:val="fr-CH"/>
              </w:rPr>
              <w:t>/HRC/47/NI/</w:t>
            </w:r>
            <w:r w:rsidR="005762FD">
              <w:rPr>
                <w:lang w:val="fr-CH"/>
              </w:rPr>
              <w:t>4</w:t>
            </w:r>
            <w:r w:rsidRPr="002E7581">
              <w:rPr>
                <w:lang w:val="fr-CH"/>
              </w:rPr>
              <w:t xml:space="preserve"> </w:t>
            </w:r>
          </w:p>
        </w:tc>
      </w:tr>
      <w:tr w:rsidR="00F55F3A" w:rsidRPr="00577915" w14:paraId="490B647F" w14:textId="77777777" w:rsidTr="00F55F3A">
        <w:trPr>
          <w:trHeight w:val="2835"/>
        </w:trPr>
        <w:tc>
          <w:tcPr>
            <w:tcW w:w="1259" w:type="dxa"/>
            <w:tcBorders>
              <w:top w:val="single" w:sz="4" w:space="0" w:color="auto"/>
              <w:left w:val="nil"/>
              <w:bottom w:val="single" w:sz="12" w:space="0" w:color="auto"/>
              <w:right w:val="nil"/>
            </w:tcBorders>
          </w:tcPr>
          <w:p w14:paraId="32A67DC4" w14:textId="622BABF6" w:rsidR="00F55F3A" w:rsidRPr="00577915" w:rsidRDefault="00F55F3A" w:rsidP="00F55F3A">
            <w:pPr>
              <w:spacing w:before="120"/>
              <w:jc w:val="center"/>
            </w:pPr>
          </w:p>
        </w:tc>
        <w:tc>
          <w:tcPr>
            <w:tcW w:w="5450" w:type="dxa"/>
            <w:gridSpan w:val="2"/>
            <w:tcBorders>
              <w:top w:val="single" w:sz="4" w:space="0" w:color="auto"/>
              <w:left w:val="nil"/>
              <w:bottom w:val="single" w:sz="12" w:space="0" w:color="auto"/>
              <w:right w:val="nil"/>
            </w:tcBorders>
          </w:tcPr>
          <w:p w14:paraId="3833A0FE" w14:textId="0914201B" w:rsidR="00F55F3A" w:rsidRPr="00577915" w:rsidRDefault="00F92D78" w:rsidP="00F55F3A">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2FB4137B" w14:textId="77777777" w:rsidR="00F55F3A" w:rsidRDefault="00F55F3A" w:rsidP="00F55F3A">
            <w:pPr>
              <w:spacing w:before="240" w:line="240" w:lineRule="exact"/>
            </w:pPr>
            <w:r>
              <w:t>Distr.: General</w:t>
            </w:r>
          </w:p>
          <w:p w14:paraId="2A5C1C0B" w14:textId="618FAEDD" w:rsidR="00F55F3A" w:rsidRDefault="004D7B9F" w:rsidP="00F55F3A">
            <w:pPr>
              <w:spacing w:line="240" w:lineRule="exact"/>
            </w:pPr>
            <w:r>
              <w:t>2</w:t>
            </w:r>
            <w:r w:rsidR="00F55F3A">
              <w:t xml:space="preserve"> July 2021</w:t>
            </w:r>
          </w:p>
          <w:p w14:paraId="2AAC9AFA" w14:textId="77777777" w:rsidR="00F55F3A" w:rsidRDefault="00F55F3A" w:rsidP="00F55F3A"/>
          <w:p w14:paraId="3AC23F83" w14:textId="77777777" w:rsidR="00F55F3A" w:rsidRPr="00577915" w:rsidRDefault="00F55F3A" w:rsidP="00F55F3A">
            <w:r>
              <w:t>Original: English</w:t>
            </w:r>
          </w:p>
        </w:tc>
      </w:tr>
    </w:tbl>
    <w:p w14:paraId="4A09CC1F" w14:textId="77777777" w:rsidR="001C7E90" w:rsidRPr="00F57EA5" w:rsidRDefault="001C7E90" w:rsidP="001C7E90">
      <w:pPr>
        <w:spacing w:before="120"/>
        <w:rPr>
          <w:b/>
          <w:sz w:val="24"/>
          <w:szCs w:val="24"/>
        </w:rPr>
      </w:pPr>
      <w:r w:rsidRPr="00F57EA5">
        <w:rPr>
          <w:b/>
          <w:sz w:val="24"/>
          <w:szCs w:val="24"/>
        </w:rPr>
        <w:t>Human Rights Council</w:t>
      </w:r>
    </w:p>
    <w:p w14:paraId="74E8951B" w14:textId="047460CF" w:rsidR="001C7E90" w:rsidRDefault="00F47589" w:rsidP="001C7E90">
      <w:pPr>
        <w:rPr>
          <w:b/>
        </w:rPr>
      </w:pPr>
      <w:r>
        <w:rPr>
          <w:b/>
        </w:rPr>
        <w:t>Forty-seventh</w:t>
      </w:r>
      <w:r w:rsidR="001C7E90">
        <w:rPr>
          <w:b/>
        </w:rPr>
        <w:t xml:space="preserve"> session</w:t>
      </w:r>
    </w:p>
    <w:p w14:paraId="7FB2A9C1" w14:textId="0610B501" w:rsidR="00E94B93" w:rsidRPr="00E94B93" w:rsidRDefault="00245873" w:rsidP="001C7E90">
      <w:pPr>
        <w:rPr>
          <w:bCs/>
        </w:rPr>
      </w:pPr>
      <w:r>
        <w:rPr>
          <w:bCs/>
        </w:rPr>
        <w:t>21 June</w:t>
      </w:r>
      <w:r w:rsidR="00F57EA5">
        <w:rPr>
          <w:bCs/>
        </w:rPr>
        <w:t>–</w:t>
      </w:r>
      <w:r>
        <w:rPr>
          <w:bCs/>
        </w:rPr>
        <w:t>9</w:t>
      </w:r>
      <w:r w:rsidR="00F57EA5">
        <w:rPr>
          <w:bCs/>
        </w:rPr>
        <w:t xml:space="preserve"> July 2021</w:t>
      </w:r>
    </w:p>
    <w:p w14:paraId="66599951" w14:textId="35936FF1" w:rsidR="001E66D4" w:rsidRDefault="001E66D4" w:rsidP="001E66D4">
      <w:r>
        <w:t xml:space="preserve">Agenda </w:t>
      </w:r>
      <w:r w:rsidR="00754088">
        <w:t xml:space="preserve">item </w:t>
      </w:r>
      <w:r>
        <w:t>3</w:t>
      </w:r>
    </w:p>
    <w:p w14:paraId="165B94F7" w14:textId="6C01D4AB" w:rsidR="001E66D4" w:rsidRDefault="001E66D4" w:rsidP="001E66D4">
      <w:pPr>
        <w:rPr>
          <w:b/>
          <w:bCs/>
        </w:rPr>
      </w:pPr>
      <w:r w:rsidRPr="00C0010B">
        <w:rPr>
          <w:b/>
          <w:bCs/>
        </w:rPr>
        <w:t>Promotion and protection of all human rights,</w:t>
      </w:r>
      <w:r>
        <w:rPr>
          <w:b/>
          <w:bCs/>
        </w:rPr>
        <w:t xml:space="preserve"> civil</w:t>
      </w:r>
      <w:proofErr w:type="gramStart"/>
      <w:r>
        <w:rPr>
          <w:b/>
          <w:bCs/>
        </w:rPr>
        <w:t>,</w:t>
      </w:r>
      <w:proofErr w:type="gramEnd"/>
      <w:r>
        <w:rPr>
          <w:b/>
          <w:bCs/>
        </w:rPr>
        <w:br/>
      </w:r>
      <w:r w:rsidRPr="00C0010B">
        <w:rPr>
          <w:b/>
          <w:bCs/>
        </w:rPr>
        <w:t>political, economic, social and cultural rights,</w:t>
      </w:r>
    </w:p>
    <w:p w14:paraId="1F5D6F30" w14:textId="589FE428" w:rsidR="001C7E90" w:rsidRPr="00B67EF7" w:rsidRDefault="001E66D4" w:rsidP="001E66D4">
      <w:pPr>
        <w:rPr>
          <w:b/>
          <w:bCs/>
        </w:rPr>
      </w:pPr>
      <w:proofErr w:type="gramStart"/>
      <w:r w:rsidRPr="00C0010B">
        <w:rPr>
          <w:b/>
          <w:bCs/>
        </w:rPr>
        <w:t>including</w:t>
      </w:r>
      <w:proofErr w:type="gramEnd"/>
      <w:r w:rsidRPr="00C0010B">
        <w:rPr>
          <w:b/>
          <w:bCs/>
        </w:rPr>
        <w:t xml:space="preserve"> the right to developmen</w:t>
      </w:r>
      <w:r w:rsidR="005762FD">
        <w:rPr>
          <w:b/>
          <w:bCs/>
        </w:rPr>
        <w:t>t</w:t>
      </w:r>
    </w:p>
    <w:p w14:paraId="5E7F42A0" w14:textId="3FA6882E" w:rsidR="00B67EF7" w:rsidRPr="00DC6CE8" w:rsidRDefault="00B67EF7" w:rsidP="00B67EF7">
      <w:pPr>
        <w:pStyle w:val="HChG"/>
        <w:rPr>
          <w:bCs/>
        </w:rPr>
      </w:pPr>
      <w:r w:rsidRPr="00B67EF7">
        <w:rPr>
          <w:bCs/>
          <w:lang w:val="en-GB"/>
        </w:rPr>
        <w:tab/>
      </w:r>
      <w:r w:rsidRPr="00B67EF7">
        <w:rPr>
          <w:bCs/>
          <w:lang w:val="en-GB"/>
        </w:rPr>
        <w:tab/>
      </w:r>
      <w:r w:rsidR="001E66D4">
        <w:rPr>
          <w:lang w:val="en-GB"/>
        </w:rPr>
        <w:t xml:space="preserve">Written submission by the State of the </w:t>
      </w:r>
      <w:r w:rsidR="005762FD">
        <w:rPr>
          <w:lang w:val="en-GB"/>
        </w:rPr>
        <w:t>Philippines</w:t>
      </w:r>
      <w:r w:rsidR="001E66D4">
        <w:rPr>
          <w:lang w:val="en-GB"/>
        </w:rPr>
        <w:t>:</w:t>
      </w:r>
      <w:r w:rsidR="001E66D4" w:rsidRPr="003530BE">
        <w:rPr>
          <w:lang w:val="en-GB"/>
        </w:rPr>
        <w:t xml:space="preserve"> </w:t>
      </w:r>
      <w:r w:rsidR="005762FD">
        <w:rPr>
          <w:lang w:val="en-GB"/>
        </w:rPr>
        <w:t>Commission on Human Rights</w:t>
      </w:r>
      <w:r w:rsidR="001E66D4" w:rsidRPr="00DC6CE8">
        <w:rPr>
          <w:rStyle w:val="FootnoteReference"/>
          <w:b w:val="0"/>
          <w:bCs/>
        </w:rPr>
        <w:t xml:space="preserve"> </w:t>
      </w:r>
      <w:r w:rsidR="00245873" w:rsidRPr="00245873">
        <w:rPr>
          <w:rStyle w:val="FootnoteReference"/>
          <w:b w:val="0"/>
          <w:sz w:val="20"/>
          <w:vertAlign w:val="baseline"/>
          <w:lang w:val="en-GB"/>
        </w:rPr>
        <w:footnoteReference w:customMarkFollows="1" w:id="2"/>
        <w:t>*</w:t>
      </w:r>
    </w:p>
    <w:p w14:paraId="532BEB2F" w14:textId="77777777" w:rsidR="00B67EF7" w:rsidRPr="00DC6CE8" w:rsidRDefault="00B67EF7" w:rsidP="00B67EF7">
      <w:pPr>
        <w:pStyle w:val="H1G"/>
      </w:pPr>
      <w:r w:rsidRPr="00DC6CE8">
        <w:tab/>
      </w:r>
      <w:r w:rsidRPr="00DC6CE8">
        <w:tab/>
        <w:t>Note by the Secretariat</w:t>
      </w:r>
    </w:p>
    <w:p w14:paraId="74C1AFD4" w14:textId="06B7865A" w:rsidR="001E66D4" w:rsidRDefault="001E66D4" w:rsidP="001E66D4">
      <w:pPr>
        <w:pStyle w:val="HChG"/>
        <w:spacing w:before="0" w:after="120" w:line="240" w:lineRule="atLeast"/>
        <w:ind w:firstLine="567"/>
        <w:jc w:val="both"/>
        <w:rPr>
          <w:bCs/>
          <w:szCs w:val="28"/>
          <w:lang w:val="en-CA"/>
        </w:rPr>
      </w:pPr>
      <w:r w:rsidRPr="001E66D4">
        <w:rPr>
          <w:b w:val="0"/>
          <w:sz w:val="20"/>
        </w:rPr>
        <w:t xml:space="preserve">The Secretariat of the Human Rights Council hereby transmits the communication submitted by the </w:t>
      </w:r>
      <w:r w:rsidR="005762FD">
        <w:rPr>
          <w:b w:val="0"/>
          <w:sz w:val="20"/>
          <w:lang w:val="en-GB"/>
        </w:rPr>
        <w:t>Commission on Human Rights of the Philippines</w:t>
      </w:r>
      <w:r w:rsidRPr="0023080F">
        <w:rPr>
          <w:rStyle w:val="FootnoteReference"/>
          <w:b w:val="0"/>
          <w:sz w:val="20"/>
          <w:vertAlign w:val="baseline"/>
        </w:rPr>
        <w:footnoteReference w:customMarkFollows="1" w:id="3"/>
        <w:t>**</w:t>
      </w:r>
      <w:r w:rsidRPr="001E66D4">
        <w:rPr>
          <w:b w:val="0"/>
          <w:sz w:val="20"/>
        </w:rPr>
        <w:t>, reproduced below in accordance with rule 7(b) of the rules of procedures described in the annex to Council resolution 5/1, according to which participation of national human rights institutions is to be based on arrangements and practices agreed upon by the Commission on Human Rights, including resolution 2005/74 of 20 April 2005.</w:t>
      </w:r>
      <w:r w:rsidR="00245873">
        <w:br w:type="page"/>
      </w:r>
    </w:p>
    <w:p w14:paraId="006264BF" w14:textId="4CC729B5" w:rsidR="005762FD" w:rsidRPr="005762FD" w:rsidRDefault="005762FD" w:rsidP="005762FD">
      <w:pPr>
        <w:pStyle w:val="HChG"/>
        <w:jc w:val="both"/>
        <w:rPr>
          <w:bCs/>
          <w:szCs w:val="28"/>
          <w:lang w:val="en-CA"/>
        </w:rPr>
      </w:pPr>
      <w:r>
        <w:rPr>
          <w:bCs/>
          <w:szCs w:val="28"/>
          <w:lang w:val="en-CA"/>
        </w:rPr>
        <w:lastRenderedPageBreak/>
        <w:tab/>
      </w:r>
      <w:r>
        <w:rPr>
          <w:bCs/>
          <w:szCs w:val="28"/>
          <w:lang w:val="en-CA"/>
        </w:rPr>
        <w:tab/>
      </w:r>
      <w:r w:rsidRPr="005762FD">
        <w:rPr>
          <w:bCs/>
          <w:szCs w:val="28"/>
          <w:lang w:val="en-CA"/>
        </w:rPr>
        <w:t>Written statement of the Commission on Human Rights of the Philippines for the 47th session of the Human Rights Council:</w:t>
      </w:r>
    </w:p>
    <w:p w14:paraId="4A238E28" w14:textId="53DDE896" w:rsidR="005762FD" w:rsidRPr="00DC0184" w:rsidRDefault="005762FD" w:rsidP="00DC0184">
      <w:pPr>
        <w:pStyle w:val="H1G"/>
        <w:ind w:firstLine="0"/>
        <w:jc w:val="both"/>
      </w:pPr>
      <w:r w:rsidRPr="005762FD">
        <w:t xml:space="preserve">Annual Full-Day Discussion on the Human Rights of Women, July 5-6, 2021 </w:t>
      </w:r>
    </w:p>
    <w:p w14:paraId="212B956B" w14:textId="77777777" w:rsidR="005762FD" w:rsidRPr="006270C5" w:rsidRDefault="005762FD" w:rsidP="005762FD">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6270C5">
        <w:rPr>
          <w:rFonts w:eastAsia="Arial"/>
          <w:color w:val="000000"/>
        </w:rPr>
        <w:t>The Commission on Human Rights of the Philippines</w:t>
      </w:r>
      <w:r w:rsidRPr="006270C5">
        <w:rPr>
          <w:rFonts w:eastAsia="Arial"/>
          <w:color w:val="000000"/>
          <w:vertAlign w:val="superscript"/>
        </w:rPr>
        <w:footnoteReference w:id="4"/>
      </w:r>
      <w:r w:rsidRPr="006270C5">
        <w:rPr>
          <w:rFonts w:eastAsia="Arial"/>
          <w:color w:val="000000"/>
        </w:rPr>
        <w:t xml:space="preserve"> (hereafter “the Commission”) submits its written statement for the 47</w:t>
      </w:r>
      <w:r w:rsidRPr="006270C5">
        <w:rPr>
          <w:rFonts w:eastAsia="Arial"/>
          <w:color w:val="000000"/>
          <w:vertAlign w:val="superscript"/>
        </w:rPr>
        <w:t>th</w:t>
      </w:r>
      <w:r w:rsidRPr="006270C5">
        <w:rPr>
          <w:rFonts w:eastAsia="Arial"/>
          <w:color w:val="000000"/>
        </w:rPr>
        <w:t xml:space="preserve"> Session of the Human Rights Council’s Annual Discussion on Women’s Rights. This statement gives particular focus on the following issues:</w:t>
      </w:r>
    </w:p>
    <w:p w14:paraId="200FF10E" w14:textId="77777777" w:rsidR="005762FD" w:rsidRPr="006270C5" w:rsidRDefault="005762FD" w:rsidP="00C32473">
      <w:pPr>
        <w:numPr>
          <w:ilvl w:val="1"/>
          <w:numId w:val="21"/>
        </w:numPr>
        <w:pBdr>
          <w:top w:val="nil"/>
          <w:left w:val="nil"/>
          <w:bottom w:val="nil"/>
          <w:right w:val="nil"/>
          <w:between w:val="nil"/>
        </w:pBdr>
        <w:tabs>
          <w:tab w:val="left" w:pos="630"/>
        </w:tabs>
        <w:spacing w:after="120" w:line="240" w:lineRule="atLeast"/>
        <w:ind w:right="1134" w:firstLine="261"/>
        <w:jc w:val="both"/>
        <w:rPr>
          <w:rFonts w:eastAsia="Arial"/>
          <w:color w:val="000000"/>
        </w:rPr>
      </w:pPr>
      <w:r w:rsidRPr="006270C5">
        <w:rPr>
          <w:rFonts w:eastAsia="Arial"/>
          <w:color w:val="000000"/>
        </w:rPr>
        <w:t>Violence against women and girls with disabilities</w:t>
      </w:r>
    </w:p>
    <w:p w14:paraId="1E9F7A7F" w14:textId="77777777" w:rsidR="005762FD" w:rsidRPr="00DD4E0F" w:rsidRDefault="005762FD" w:rsidP="00C32473">
      <w:pPr>
        <w:numPr>
          <w:ilvl w:val="1"/>
          <w:numId w:val="21"/>
        </w:numPr>
        <w:pBdr>
          <w:top w:val="nil"/>
          <w:left w:val="nil"/>
          <w:bottom w:val="nil"/>
          <w:right w:val="nil"/>
          <w:between w:val="nil"/>
        </w:pBdr>
        <w:tabs>
          <w:tab w:val="left" w:pos="630"/>
        </w:tabs>
        <w:spacing w:after="120" w:line="240" w:lineRule="atLeast"/>
        <w:ind w:right="1134" w:firstLine="261"/>
        <w:jc w:val="both"/>
        <w:rPr>
          <w:rFonts w:eastAsia="Arial"/>
          <w:color w:val="000000"/>
        </w:rPr>
      </w:pPr>
      <w:r w:rsidRPr="006270C5">
        <w:rPr>
          <w:rFonts w:eastAsia="Arial"/>
          <w:color w:val="000000"/>
        </w:rPr>
        <w:t xml:space="preserve">Socio-economic situation of women during the COVID-19 pandemic </w:t>
      </w:r>
    </w:p>
    <w:p w14:paraId="672B1225" w14:textId="77777777" w:rsidR="005762FD" w:rsidRDefault="005762FD" w:rsidP="005762FD">
      <w:pPr>
        <w:pBdr>
          <w:top w:val="nil"/>
          <w:left w:val="nil"/>
          <w:bottom w:val="nil"/>
          <w:right w:val="nil"/>
          <w:between w:val="nil"/>
        </w:pBdr>
        <w:tabs>
          <w:tab w:val="left" w:pos="630"/>
        </w:tabs>
        <w:spacing w:line="240" w:lineRule="atLeast"/>
        <w:ind w:left="1134" w:right="1134"/>
        <w:jc w:val="both"/>
        <w:rPr>
          <w:rFonts w:eastAsia="Arial"/>
          <w:color w:val="000000"/>
        </w:rPr>
      </w:pPr>
      <w:r w:rsidRPr="006270C5">
        <w:rPr>
          <w:rFonts w:eastAsia="Arial"/>
          <w:color w:val="000000"/>
        </w:rPr>
        <w:t xml:space="preserve">The Commission upholds the promotion of gender equality as part of its mandate. It has been designated as the Gender and Development </w:t>
      </w:r>
      <w:proofErr w:type="spellStart"/>
      <w:r w:rsidRPr="006270C5">
        <w:rPr>
          <w:rFonts w:eastAsia="Arial"/>
          <w:color w:val="000000"/>
        </w:rPr>
        <w:t>Ombud</w:t>
      </w:r>
      <w:proofErr w:type="spellEnd"/>
      <w:r w:rsidRPr="006270C5">
        <w:rPr>
          <w:rFonts w:eastAsia="Arial"/>
          <w:color w:val="000000"/>
        </w:rPr>
        <w:t xml:space="preserve"> (Gender </w:t>
      </w:r>
      <w:proofErr w:type="spellStart"/>
      <w:r w:rsidRPr="006270C5">
        <w:rPr>
          <w:rFonts w:eastAsia="Arial"/>
          <w:color w:val="000000"/>
        </w:rPr>
        <w:t>Ombud</w:t>
      </w:r>
      <w:proofErr w:type="spellEnd"/>
      <w:r w:rsidRPr="006270C5">
        <w:rPr>
          <w:rFonts w:eastAsia="Arial"/>
          <w:color w:val="000000"/>
        </w:rPr>
        <w:t xml:space="preserve">) by the Magna Carta of Women (RA 9710), which represents the Philippine government’s commitment to the Convention on the Elimination of All Forms of Discrimination </w:t>
      </w:r>
      <w:proofErr w:type="gramStart"/>
      <w:r w:rsidRPr="006270C5">
        <w:rPr>
          <w:rFonts w:eastAsia="Arial"/>
          <w:color w:val="000000"/>
        </w:rPr>
        <w:t>Against</w:t>
      </w:r>
      <w:proofErr w:type="gramEnd"/>
      <w:r w:rsidRPr="006270C5">
        <w:rPr>
          <w:rFonts w:eastAsia="Arial"/>
          <w:color w:val="000000"/>
        </w:rPr>
        <w:t xml:space="preserve"> Women (CEDAW). </w:t>
      </w:r>
    </w:p>
    <w:p w14:paraId="7A63F9E1" w14:textId="77777777" w:rsidR="005762FD" w:rsidRPr="00DD4E0F" w:rsidRDefault="005762FD" w:rsidP="005762FD">
      <w:pPr>
        <w:pBdr>
          <w:top w:val="nil"/>
          <w:left w:val="nil"/>
          <w:bottom w:val="nil"/>
          <w:right w:val="nil"/>
          <w:between w:val="nil"/>
        </w:pBdr>
        <w:tabs>
          <w:tab w:val="left" w:pos="630"/>
        </w:tabs>
        <w:spacing w:before="360" w:line="259" w:lineRule="auto"/>
        <w:ind w:left="1134" w:right="1134"/>
        <w:rPr>
          <w:rFonts w:eastAsia="Arial"/>
          <w:b/>
          <w:color w:val="000000"/>
          <w:sz w:val="24"/>
          <w:szCs w:val="24"/>
        </w:rPr>
      </w:pPr>
      <w:r w:rsidRPr="00DD4E0F">
        <w:rPr>
          <w:rFonts w:eastAsia="Arial"/>
          <w:b/>
          <w:color w:val="000000"/>
          <w:sz w:val="24"/>
          <w:szCs w:val="24"/>
        </w:rPr>
        <w:t>Violence against women and girls with disabilities</w:t>
      </w:r>
      <w:r w:rsidRPr="00C32473">
        <w:rPr>
          <w:rFonts w:eastAsia="Arial"/>
          <w:color w:val="000000"/>
          <w:sz w:val="18"/>
          <w:szCs w:val="18"/>
          <w:vertAlign w:val="superscript"/>
        </w:rPr>
        <w:footnoteReference w:id="5"/>
      </w:r>
    </w:p>
    <w:p w14:paraId="18988C06" w14:textId="77777777" w:rsidR="005762FD" w:rsidRPr="00064E94" w:rsidRDefault="005762FD" w:rsidP="00C32473">
      <w:pPr>
        <w:tabs>
          <w:tab w:val="left" w:pos="630"/>
        </w:tabs>
        <w:spacing w:before="120" w:line="240" w:lineRule="atLeast"/>
        <w:ind w:left="1134" w:right="1134"/>
        <w:jc w:val="both"/>
        <w:rPr>
          <w:rFonts w:eastAsia="Arial"/>
        </w:rPr>
      </w:pPr>
      <w:r w:rsidRPr="006270C5">
        <w:rPr>
          <w:rFonts w:eastAsia="Arial"/>
        </w:rPr>
        <w:t xml:space="preserve">In 2019, the Commission’s </w:t>
      </w:r>
      <w:r w:rsidRPr="006270C5">
        <w:rPr>
          <w:rFonts w:eastAsia="Arial"/>
          <w:i/>
        </w:rPr>
        <w:t>Mapping of Gender Based-Violence Legal Referral Mechanisms</w:t>
      </w:r>
      <w:r w:rsidRPr="006270C5">
        <w:rPr>
          <w:rFonts w:eastAsia="Arial"/>
          <w:vertAlign w:val="superscript"/>
        </w:rPr>
        <w:footnoteReference w:id="6"/>
      </w:r>
      <w:r w:rsidRPr="006270C5">
        <w:rPr>
          <w:rFonts w:eastAsia="Arial"/>
        </w:rPr>
        <w:t xml:space="preserve"> revealed continuing gaps in accessing justice in cases of gender-based violence. The gaps include: (1) lack of information and knowledge of the laws, protection and referral mechanisms; (2) accessibility of and availability of services especially for women with disabilities, women in geographically isolated and disadvantaged areas (GIDA), and other women facing multiple intersecting forms of discrimination.</w:t>
      </w:r>
      <w:r w:rsidRPr="006270C5">
        <w:rPr>
          <w:rFonts w:eastAsia="Arial"/>
          <w:vertAlign w:val="superscript"/>
        </w:rPr>
        <w:footnoteReference w:id="7"/>
      </w:r>
    </w:p>
    <w:p w14:paraId="2F407163" w14:textId="77777777" w:rsidR="005762FD" w:rsidRPr="00064E94" w:rsidRDefault="005762FD" w:rsidP="005762FD">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6270C5">
        <w:rPr>
          <w:rFonts w:eastAsia="Arial"/>
          <w:color w:val="000000"/>
        </w:rPr>
        <w:t xml:space="preserve">Violence and discrimination are </w:t>
      </w:r>
      <w:r w:rsidRPr="006270C5">
        <w:rPr>
          <w:rFonts w:eastAsia="Arial"/>
        </w:rPr>
        <w:t>aggravated</w:t>
      </w:r>
      <w:r w:rsidRPr="006270C5">
        <w:rPr>
          <w:rFonts w:eastAsia="Arial"/>
          <w:color w:val="000000"/>
        </w:rPr>
        <w:t xml:space="preserve"> in the context of women and girls with disabilities who also confront the burden of overcoming physical barriers, stereotyping, and social exclusion. </w:t>
      </w:r>
    </w:p>
    <w:p w14:paraId="08F86204" w14:textId="5442FAFF" w:rsidR="005762FD" w:rsidRPr="00A85D15" w:rsidRDefault="005762FD" w:rsidP="00A85D15">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6270C5">
        <w:rPr>
          <w:rFonts w:eastAsia="Arial"/>
          <w:color w:val="000000"/>
        </w:rPr>
        <w:t>According to data gathered by disability rights groups on gender-based violence against women and girls with disabilities, rape cases filed by deaf women and girls outnumber all other types of complaints of deaf women in a ratio of 10:1.</w:t>
      </w:r>
      <w:r w:rsidRPr="00C32473">
        <w:rPr>
          <w:rFonts w:eastAsia="Arial"/>
          <w:color w:val="000000"/>
          <w:sz w:val="18"/>
          <w:szCs w:val="18"/>
          <w:vertAlign w:val="superscript"/>
        </w:rPr>
        <w:footnoteReference w:id="8"/>
      </w:r>
      <w:r w:rsidRPr="00C32473">
        <w:rPr>
          <w:rFonts w:eastAsia="Arial"/>
          <w:color w:val="000000"/>
          <w:sz w:val="18"/>
          <w:szCs w:val="18"/>
        </w:rPr>
        <w:t xml:space="preserve"> </w:t>
      </w:r>
    </w:p>
    <w:p w14:paraId="3BD4EC53" w14:textId="77777777" w:rsidR="005762FD" w:rsidRPr="00064E94" w:rsidRDefault="005762FD" w:rsidP="005762FD">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6270C5">
        <w:rPr>
          <w:rFonts w:eastAsia="Arial"/>
          <w:color w:val="000000"/>
        </w:rPr>
        <w:t xml:space="preserve">The COVID-19 pandemic </w:t>
      </w:r>
      <w:r w:rsidRPr="006270C5">
        <w:rPr>
          <w:rFonts w:eastAsia="Arial"/>
        </w:rPr>
        <w:t>magnified</w:t>
      </w:r>
      <w:r w:rsidRPr="006270C5">
        <w:rPr>
          <w:rFonts w:eastAsia="Arial"/>
          <w:color w:val="000000"/>
        </w:rPr>
        <w:t xml:space="preserve"> </w:t>
      </w:r>
      <w:r w:rsidRPr="006270C5">
        <w:rPr>
          <w:rFonts w:eastAsia="Arial"/>
        </w:rPr>
        <w:t>the vulnerabilities of</w:t>
      </w:r>
      <w:r w:rsidRPr="006270C5">
        <w:rPr>
          <w:rFonts w:eastAsia="Arial"/>
          <w:color w:val="000000"/>
        </w:rPr>
        <w:t xml:space="preserve"> women and girls with disabilities as it compounded existing gender inequalities and increased the risks of gender-based violence and sexual exploitation and abuse. Pre-existing physical barriers became more burdensome with containment and quarantine measures imposed by the government</w:t>
      </w:r>
      <w:r w:rsidRPr="006270C5">
        <w:rPr>
          <w:rFonts w:eastAsia="Arial"/>
        </w:rPr>
        <w:t xml:space="preserve">. Such measures </w:t>
      </w:r>
      <w:r w:rsidRPr="006270C5">
        <w:rPr>
          <w:rFonts w:eastAsia="Arial"/>
          <w:color w:val="000000"/>
        </w:rPr>
        <w:t>depriv</w:t>
      </w:r>
      <w:r w:rsidRPr="006270C5">
        <w:rPr>
          <w:rFonts w:eastAsia="Arial"/>
        </w:rPr>
        <w:t xml:space="preserve">e </w:t>
      </w:r>
      <w:r w:rsidRPr="006270C5">
        <w:rPr>
          <w:rFonts w:eastAsia="Arial"/>
          <w:color w:val="000000"/>
        </w:rPr>
        <w:t>women and girls with disabilities of their right to leave the household</w:t>
      </w:r>
      <w:r w:rsidRPr="006270C5">
        <w:rPr>
          <w:rFonts w:eastAsia="Arial"/>
        </w:rPr>
        <w:t xml:space="preserve"> to escape violent or abusive situations or to access protective orders and other essential services.</w:t>
      </w:r>
    </w:p>
    <w:p w14:paraId="727B00D2" w14:textId="77777777" w:rsidR="005762FD" w:rsidRPr="006270C5" w:rsidRDefault="005762FD" w:rsidP="005762FD">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6270C5">
        <w:rPr>
          <w:rFonts w:eastAsia="Arial"/>
          <w:color w:val="000000"/>
        </w:rPr>
        <w:t>While an advisory has been issued by DILG in late March of 2020</w:t>
      </w:r>
      <w:r w:rsidRPr="00C32473">
        <w:rPr>
          <w:rFonts w:eastAsia="Arial"/>
          <w:color w:val="000000"/>
          <w:sz w:val="18"/>
          <w:szCs w:val="18"/>
          <w:vertAlign w:val="superscript"/>
        </w:rPr>
        <w:footnoteReference w:id="9"/>
      </w:r>
      <w:r w:rsidRPr="006270C5">
        <w:rPr>
          <w:rFonts w:eastAsia="Arial"/>
          <w:color w:val="000000"/>
        </w:rPr>
        <w:t xml:space="preserve"> reminding barangay offices to ensure the functionality of barangay VAW</w:t>
      </w:r>
      <w:r w:rsidRPr="00C32473">
        <w:rPr>
          <w:rFonts w:eastAsia="Arial"/>
          <w:color w:val="000000"/>
          <w:sz w:val="18"/>
          <w:szCs w:val="18"/>
          <w:vertAlign w:val="superscript"/>
        </w:rPr>
        <w:footnoteReference w:id="10"/>
      </w:r>
      <w:r w:rsidRPr="006270C5">
        <w:rPr>
          <w:rFonts w:eastAsia="Arial"/>
          <w:color w:val="000000"/>
        </w:rPr>
        <w:t xml:space="preserve"> desks, barriers to reporting and accessing remedies were noted by the Commission. Barriers included accounts of barangay VAW desks refusing to issue Barangay Protection Orders (BPOs) and of women’s desks personnel advising women and girl survivors to file their complaints after the enhanced community quarantine (ECQ).</w:t>
      </w:r>
      <w:r w:rsidRPr="00C32473">
        <w:rPr>
          <w:rFonts w:eastAsia="Arial"/>
          <w:color w:val="000000"/>
          <w:sz w:val="18"/>
          <w:szCs w:val="18"/>
          <w:vertAlign w:val="superscript"/>
        </w:rPr>
        <w:footnoteReference w:id="11"/>
      </w:r>
    </w:p>
    <w:p w14:paraId="41603CEC" w14:textId="664F3F90" w:rsidR="005762FD" w:rsidRPr="006270C5" w:rsidRDefault="005762FD" w:rsidP="00DC0184">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6270C5">
        <w:rPr>
          <w:rFonts w:eastAsia="Arial"/>
          <w:color w:val="000000"/>
        </w:rPr>
        <w:t xml:space="preserve">If the government considered more carefully </w:t>
      </w:r>
      <w:r w:rsidRPr="006270C5">
        <w:rPr>
          <w:rFonts w:eastAsia="Arial"/>
        </w:rPr>
        <w:t>gender-based violence (GBV)</w:t>
      </w:r>
      <w:r w:rsidRPr="006270C5">
        <w:rPr>
          <w:rFonts w:eastAsia="Arial"/>
          <w:color w:val="000000"/>
        </w:rPr>
        <w:t xml:space="preserve"> in their COVID-19 respons</w:t>
      </w:r>
      <w:r w:rsidRPr="006270C5">
        <w:rPr>
          <w:rFonts w:eastAsia="Arial"/>
        </w:rPr>
        <w:t>e</w:t>
      </w:r>
      <w:r w:rsidRPr="006270C5">
        <w:rPr>
          <w:rFonts w:eastAsia="Arial"/>
          <w:color w:val="000000"/>
        </w:rPr>
        <w:t xml:space="preserve">, </w:t>
      </w:r>
      <w:r w:rsidRPr="006270C5">
        <w:rPr>
          <w:rFonts w:eastAsia="Arial"/>
        </w:rPr>
        <w:t xml:space="preserve">proper measures could have been placed </w:t>
      </w:r>
      <w:r w:rsidRPr="006270C5">
        <w:rPr>
          <w:rFonts w:eastAsia="Arial"/>
          <w:color w:val="000000"/>
        </w:rPr>
        <w:t>to ensure</w:t>
      </w:r>
      <w:r w:rsidRPr="006270C5">
        <w:rPr>
          <w:rFonts w:eastAsia="Arial"/>
        </w:rPr>
        <w:t xml:space="preserve"> </w:t>
      </w:r>
      <w:r w:rsidRPr="006270C5">
        <w:rPr>
          <w:rFonts w:eastAsia="Arial"/>
          <w:color w:val="000000"/>
        </w:rPr>
        <w:t>access to GBV reporting, access to shelter and psychosocial services and transportation, and containment measure</w:t>
      </w:r>
      <w:r w:rsidRPr="006270C5">
        <w:rPr>
          <w:rFonts w:eastAsia="Arial"/>
        </w:rPr>
        <w:t xml:space="preserve">s exemptions </w:t>
      </w:r>
      <w:r w:rsidRPr="006270C5">
        <w:rPr>
          <w:rFonts w:eastAsia="Arial"/>
          <w:color w:val="000000"/>
        </w:rPr>
        <w:t xml:space="preserve">for women survivors fleeing unsafe spaces. </w:t>
      </w:r>
      <w:r w:rsidRPr="006270C5">
        <w:rPr>
          <w:rFonts w:eastAsia="Arial"/>
        </w:rPr>
        <w:t>Gender-based planning</w:t>
      </w:r>
      <w:r w:rsidRPr="006270C5">
        <w:rPr>
          <w:rFonts w:eastAsia="Arial"/>
          <w:color w:val="000000"/>
        </w:rPr>
        <w:t xml:space="preserve"> could have also led to continuous and uninterrupted access to sexual and reproductive health services and the provision of women’s gendered needs in government-issued relief packages.</w:t>
      </w:r>
      <w:r w:rsidRPr="006270C5">
        <w:rPr>
          <w:rFonts w:eastAsia="Arial"/>
          <w:color w:val="000000"/>
          <w:vertAlign w:val="superscript"/>
        </w:rPr>
        <w:footnoteReference w:id="12"/>
      </w:r>
    </w:p>
    <w:p w14:paraId="240E0B85" w14:textId="77777777" w:rsidR="005762FD" w:rsidRPr="006270C5" w:rsidRDefault="005762FD" w:rsidP="005762FD">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6270C5">
        <w:rPr>
          <w:rFonts w:eastAsia="Arial"/>
          <w:color w:val="000000"/>
        </w:rPr>
        <w:t>The Commission recommends the following to ensur</w:t>
      </w:r>
      <w:r w:rsidRPr="006270C5">
        <w:rPr>
          <w:rFonts w:eastAsia="Arial"/>
        </w:rPr>
        <w:t>e</w:t>
      </w:r>
      <w:r w:rsidRPr="006270C5">
        <w:rPr>
          <w:rFonts w:eastAsia="Arial"/>
          <w:color w:val="000000"/>
        </w:rPr>
        <w:t xml:space="preserve"> prompt, effective, and survivor-</w:t>
      </w:r>
      <w:proofErr w:type="spellStart"/>
      <w:r w:rsidRPr="006270C5">
        <w:rPr>
          <w:rFonts w:eastAsia="Arial"/>
          <w:color w:val="000000"/>
        </w:rPr>
        <w:t>centered</w:t>
      </w:r>
      <w:proofErr w:type="spellEnd"/>
      <w:r w:rsidRPr="006270C5">
        <w:rPr>
          <w:rFonts w:eastAsia="Arial"/>
          <w:color w:val="000000"/>
        </w:rPr>
        <w:t xml:space="preserve"> response to gender-based violence, especially </w:t>
      </w:r>
      <w:r w:rsidRPr="006270C5">
        <w:rPr>
          <w:rFonts w:eastAsia="Arial"/>
        </w:rPr>
        <w:t>to women</w:t>
      </w:r>
      <w:r w:rsidRPr="006270C5">
        <w:rPr>
          <w:rFonts w:eastAsia="Arial"/>
          <w:color w:val="000000"/>
        </w:rPr>
        <w:t xml:space="preserve"> and girls with disabilities:</w:t>
      </w:r>
    </w:p>
    <w:p w14:paraId="49DCA25E" w14:textId="77777777" w:rsidR="005762FD" w:rsidRPr="00745C0B" w:rsidRDefault="005762FD" w:rsidP="00C32473">
      <w:pPr>
        <w:pStyle w:val="ListParagraph"/>
        <w:numPr>
          <w:ilvl w:val="1"/>
          <w:numId w:val="22"/>
        </w:numPr>
        <w:pBdr>
          <w:top w:val="nil"/>
          <w:left w:val="nil"/>
          <w:bottom w:val="nil"/>
          <w:right w:val="nil"/>
          <w:between w:val="nil"/>
        </w:pBdr>
        <w:tabs>
          <w:tab w:val="left" w:pos="630"/>
        </w:tabs>
        <w:spacing w:after="120" w:line="240" w:lineRule="atLeast"/>
        <w:ind w:left="1134" w:right="1134" w:firstLine="567"/>
        <w:jc w:val="both"/>
        <w:rPr>
          <w:rFonts w:eastAsia="Arial"/>
          <w:color w:val="000000"/>
        </w:rPr>
      </w:pPr>
      <w:r w:rsidRPr="00745C0B">
        <w:rPr>
          <w:rFonts w:eastAsia="Arial"/>
          <w:color w:val="000000"/>
        </w:rPr>
        <w:t>Guarantee adequate access to justice, particularly to protection orders, medical and psychosocial assistance, shelters, and rehabilitation programs, particularly for women and girls who are victims or at risk of gender-based violence, including those in detention and other institutions.</w:t>
      </w:r>
    </w:p>
    <w:p w14:paraId="304DBAB4" w14:textId="77777777" w:rsidR="005762FD" w:rsidRPr="006270C5" w:rsidRDefault="005762FD" w:rsidP="00C32473">
      <w:pPr>
        <w:numPr>
          <w:ilvl w:val="1"/>
          <w:numId w:val="22"/>
        </w:numPr>
        <w:pBdr>
          <w:top w:val="nil"/>
          <w:left w:val="nil"/>
          <w:bottom w:val="nil"/>
          <w:right w:val="nil"/>
          <w:between w:val="nil"/>
        </w:pBdr>
        <w:tabs>
          <w:tab w:val="left" w:pos="630"/>
        </w:tabs>
        <w:spacing w:after="120" w:line="240" w:lineRule="atLeast"/>
        <w:ind w:left="1134" w:right="1134" w:firstLine="567"/>
        <w:jc w:val="both"/>
        <w:rPr>
          <w:rFonts w:eastAsia="Arial"/>
          <w:color w:val="000000"/>
        </w:rPr>
      </w:pPr>
      <w:r w:rsidRPr="006270C5">
        <w:rPr>
          <w:rFonts w:eastAsia="Arial"/>
          <w:color w:val="000000"/>
        </w:rPr>
        <w:t xml:space="preserve">Ensure accountability and due diligence in holding perpetrators accountable, especially perpetrators who are members of the law enforcement and part of the government; </w:t>
      </w:r>
    </w:p>
    <w:p w14:paraId="31005AF7" w14:textId="77777777" w:rsidR="005762FD" w:rsidRPr="006270C5" w:rsidRDefault="005762FD" w:rsidP="00C32473">
      <w:pPr>
        <w:numPr>
          <w:ilvl w:val="1"/>
          <w:numId w:val="22"/>
        </w:numPr>
        <w:pBdr>
          <w:top w:val="nil"/>
          <w:left w:val="nil"/>
          <w:bottom w:val="nil"/>
          <w:right w:val="nil"/>
          <w:between w:val="nil"/>
        </w:pBdr>
        <w:tabs>
          <w:tab w:val="left" w:pos="630"/>
        </w:tabs>
        <w:spacing w:after="120" w:line="240" w:lineRule="atLeast"/>
        <w:ind w:left="1134" w:right="1134" w:firstLine="567"/>
        <w:jc w:val="both"/>
        <w:rPr>
          <w:rFonts w:eastAsia="Arial"/>
          <w:color w:val="000000"/>
        </w:rPr>
      </w:pPr>
      <w:r w:rsidRPr="006270C5">
        <w:rPr>
          <w:rFonts w:eastAsia="Arial"/>
          <w:color w:val="000000"/>
        </w:rPr>
        <w:t>Establish localized temporary shelters and financial and transport support for survivors of violence;</w:t>
      </w:r>
    </w:p>
    <w:p w14:paraId="75AE8BD2" w14:textId="77777777" w:rsidR="005762FD" w:rsidRPr="006270C5" w:rsidRDefault="005762FD" w:rsidP="00C32473">
      <w:pPr>
        <w:numPr>
          <w:ilvl w:val="1"/>
          <w:numId w:val="22"/>
        </w:numPr>
        <w:pBdr>
          <w:top w:val="nil"/>
          <w:left w:val="nil"/>
          <w:bottom w:val="nil"/>
          <w:right w:val="nil"/>
          <w:between w:val="nil"/>
        </w:pBdr>
        <w:tabs>
          <w:tab w:val="left" w:pos="630"/>
        </w:tabs>
        <w:spacing w:after="120" w:line="240" w:lineRule="atLeast"/>
        <w:ind w:left="1134" w:right="1134" w:firstLine="567"/>
        <w:jc w:val="both"/>
        <w:rPr>
          <w:rFonts w:eastAsia="Arial"/>
          <w:color w:val="000000"/>
        </w:rPr>
      </w:pPr>
      <w:r w:rsidRPr="006270C5">
        <w:rPr>
          <w:rFonts w:eastAsia="Arial"/>
          <w:color w:val="000000"/>
        </w:rPr>
        <w:t>Update referral mechanisms, protocols to cater remote assistance, and strengthen the local and national referral mechanisms;</w:t>
      </w:r>
    </w:p>
    <w:p w14:paraId="4436EC2D" w14:textId="77777777" w:rsidR="005762FD" w:rsidRPr="006270C5" w:rsidRDefault="005762FD" w:rsidP="00C32473">
      <w:pPr>
        <w:numPr>
          <w:ilvl w:val="1"/>
          <w:numId w:val="22"/>
        </w:numPr>
        <w:pBdr>
          <w:top w:val="nil"/>
          <w:left w:val="nil"/>
          <w:bottom w:val="nil"/>
          <w:right w:val="nil"/>
          <w:between w:val="nil"/>
        </w:pBdr>
        <w:tabs>
          <w:tab w:val="left" w:pos="630"/>
        </w:tabs>
        <w:spacing w:after="120" w:line="240" w:lineRule="atLeast"/>
        <w:ind w:left="1134" w:right="1134" w:firstLine="567"/>
        <w:jc w:val="both"/>
        <w:rPr>
          <w:rFonts w:eastAsia="Arial"/>
          <w:color w:val="000000"/>
        </w:rPr>
      </w:pPr>
      <w:r w:rsidRPr="006270C5">
        <w:rPr>
          <w:rFonts w:eastAsia="Arial"/>
          <w:color w:val="000000"/>
        </w:rPr>
        <w:t>Efficiently implement hotlines for reporting of GBV and remote psychosocial counseling;</w:t>
      </w:r>
    </w:p>
    <w:p w14:paraId="0A0F61FA" w14:textId="77777777" w:rsidR="005762FD" w:rsidRPr="00F16DA3" w:rsidRDefault="005762FD" w:rsidP="00C32473">
      <w:pPr>
        <w:numPr>
          <w:ilvl w:val="1"/>
          <w:numId w:val="22"/>
        </w:numPr>
        <w:pBdr>
          <w:top w:val="nil"/>
          <w:left w:val="nil"/>
          <w:bottom w:val="nil"/>
          <w:right w:val="nil"/>
          <w:between w:val="nil"/>
        </w:pBdr>
        <w:tabs>
          <w:tab w:val="left" w:pos="630"/>
        </w:tabs>
        <w:spacing w:after="120" w:line="240" w:lineRule="atLeast"/>
        <w:ind w:left="1134" w:right="1134" w:firstLine="567"/>
        <w:jc w:val="both"/>
        <w:rPr>
          <w:rFonts w:eastAsia="Arial"/>
          <w:color w:val="000000"/>
        </w:rPr>
      </w:pPr>
      <w:r w:rsidRPr="006270C5">
        <w:rPr>
          <w:rFonts w:eastAsia="Arial"/>
          <w:color w:val="000000"/>
        </w:rPr>
        <w:t>Strengthen mechanisms of</w:t>
      </w:r>
      <w:r w:rsidRPr="006270C5">
        <w:rPr>
          <w:rFonts w:eastAsia="Arial"/>
        </w:rPr>
        <w:t xml:space="preserve"> </w:t>
      </w:r>
      <w:r w:rsidRPr="006270C5">
        <w:rPr>
          <w:rFonts w:eastAsia="Arial"/>
          <w:color w:val="000000"/>
        </w:rPr>
        <w:t xml:space="preserve">access to justice </w:t>
      </w:r>
      <w:r w:rsidRPr="006270C5">
        <w:rPr>
          <w:rFonts w:eastAsia="Arial"/>
        </w:rPr>
        <w:t>for</w:t>
      </w:r>
      <w:r w:rsidRPr="006270C5">
        <w:rPr>
          <w:rFonts w:eastAsia="Arial"/>
          <w:color w:val="000000"/>
        </w:rPr>
        <w:t xml:space="preserve"> women and girls with disabilities and improve data collection on VAW cases involving women and </w:t>
      </w:r>
      <w:r w:rsidRPr="006270C5">
        <w:rPr>
          <w:rFonts w:eastAsia="Arial"/>
        </w:rPr>
        <w:t>girls</w:t>
      </w:r>
      <w:r w:rsidRPr="006270C5">
        <w:rPr>
          <w:rFonts w:eastAsia="Arial"/>
          <w:color w:val="000000"/>
        </w:rPr>
        <w:t xml:space="preserve"> with disabilities. </w:t>
      </w:r>
    </w:p>
    <w:p w14:paraId="0B2E6F51" w14:textId="77777777" w:rsidR="005762FD" w:rsidRPr="006270C5" w:rsidRDefault="005762FD" w:rsidP="005762FD">
      <w:pPr>
        <w:pBdr>
          <w:top w:val="nil"/>
          <w:left w:val="nil"/>
          <w:bottom w:val="nil"/>
          <w:right w:val="nil"/>
          <w:between w:val="nil"/>
        </w:pBdr>
        <w:tabs>
          <w:tab w:val="left" w:pos="630"/>
        </w:tabs>
        <w:spacing w:before="360" w:line="259" w:lineRule="auto"/>
        <w:ind w:left="1134" w:right="1134"/>
        <w:rPr>
          <w:rFonts w:eastAsia="Arial"/>
          <w:b/>
          <w:color w:val="000000"/>
        </w:rPr>
      </w:pPr>
      <w:r w:rsidRPr="00DD4E0F">
        <w:rPr>
          <w:rFonts w:eastAsia="Arial"/>
          <w:b/>
          <w:color w:val="000000"/>
          <w:sz w:val="24"/>
          <w:szCs w:val="24"/>
        </w:rPr>
        <w:t>Socio-economic situation of women during the COVID-19 pandemic</w:t>
      </w:r>
    </w:p>
    <w:p w14:paraId="04A905DA" w14:textId="77777777" w:rsidR="005762FD" w:rsidRPr="006270C5" w:rsidRDefault="005762FD" w:rsidP="00C32473">
      <w:pPr>
        <w:pBdr>
          <w:top w:val="nil"/>
          <w:left w:val="nil"/>
          <w:bottom w:val="nil"/>
          <w:right w:val="nil"/>
          <w:between w:val="nil"/>
        </w:pBdr>
        <w:tabs>
          <w:tab w:val="left" w:pos="630"/>
        </w:tabs>
        <w:spacing w:before="120" w:line="240" w:lineRule="atLeast"/>
        <w:ind w:left="1134" w:right="1134"/>
        <w:jc w:val="both"/>
        <w:rPr>
          <w:rFonts w:eastAsia="Arial"/>
          <w:color w:val="000000"/>
        </w:rPr>
      </w:pPr>
      <w:r w:rsidRPr="006270C5">
        <w:rPr>
          <w:rFonts w:eastAsia="Arial"/>
          <w:color w:val="000000"/>
        </w:rPr>
        <w:t xml:space="preserve">Women and girls are disproportionately affected during health emergencies. They face multiple forms of inequalities due to disability, sexual orientation, gender identity, age, and being a member of the ethnic minority are more vulnerable.  Across the globe, women earn less, save less, hold less secure jobs, and are more likely to be employed in the informal sector. They are more affected by economic shocks brought by crises such as the COVID-19 pandemic as they are more likely to lose their jobs than men. As in many countries, women’s participation in the </w:t>
      </w:r>
      <w:proofErr w:type="spellStart"/>
      <w:r w:rsidRPr="006270C5">
        <w:rPr>
          <w:rFonts w:eastAsia="Arial"/>
          <w:color w:val="000000"/>
        </w:rPr>
        <w:t>labor</w:t>
      </w:r>
      <w:proofErr w:type="spellEnd"/>
      <w:r w:rsidRPr="006270C5">
        <w:rPr>
          <w:rFonts w:eastAsia="Arial"/>
          <w:color w:val="000000"/>
        </w:rPr>
        <w:t xml:space="preserve"> market </w:t>
      </w:r>
      <w:r w:rsidRPr="006270C5">
        <w:rPr>
          <w:rFonts w:eastAsia="Arial"/>
        </w:rPr>
        <w:t>is</w:t>
      </w:r>
      <w:r w:rsidRPr="006270C5">
        <w:rPr>
          <w:rFonts w:eastAsia="Arial"/>
          <w:color w:val="000000"/>
        </w:rPr>
        <w:t xml:space="preserve"> often temporary, lacking in social protection, health insurance, paid sick and maternity leave, pensions and unemployment benefits. Moreover, female-dominated service sectors such as food, hospitality, and tourism are among those expected to feel the harshest economic effects of containment measures.</w:t>
      </w:r>
      <w:r w:rsidRPr="00C32473">
        <w:rPr>
          <w:rFonts w:eastAsia="Arial"/>
          <w:color w:val="000000"/>
          <w:sz w:val="18"/>
          <w:szCs w:val="18"/>
          <w:vertAlign w:val="superscript"/>
        </w:rPr>
        <w:footnoteReference w:id="13"/>
      </w:r>
    </w:p>
    <w:p w14:paraId="61803C3A" w14:textId="4D5EF876" w:rsidR="005762FD" w:rsidRPr="00DC0184" w:rsidRDefault="005762FD" w:rsidP="00DC0184">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6270C5">
        <w:rPr>
          <w:rFonts w:eastAsia="Arial"/>
          <w:color w:val="000000"/>
        </w:rPr>
        <w:t>With the COVID-19 pandemic and resulting policies, women face a greater risk of slipping into food and shelter insecurity, poverty and reduced income, and unemployment.</w:t>
      </w:r>
      <w:r w:rsidRPr="00C32473">
        <w:rPr>
          <w:rFonts w:eastAsia="Arial"/>
          <w:color w:val="000000"/>
          <w:sz w:val="18"/>
          <w:szCs w:val="18"/>
          <w:vertAlign w:val="superscript"/>
        </w:rPr>
        <w:footnoteReference w:id="14"/>
      </w:r>
      <w:r w:rsidRPr="00C32473">
        <w:rPr>
          <w:rFonts w:eastAsia="Arial"/>
          <w:color w:val="000000"/>
          <w:sz w:val="18"/>
          <w:szCs w:val="18"/>
        </w:rPr>
        <w:t xml:space="preserve"> </w:t>
      </w:r>
      <w:r w:rsidRPr="006270C5">
        <w:rPr>
          <w:rFonts w:eastAsia="Arial"/>
          <w:color w:val="000000"/>
        </w:rPr>
        <w:t xml:space="preserve">Traditional gender roles resulted in increased </w:t>
      </w:r>
      <w:r w:rsidRPr="006270C5">
        <w:rPr>
          <w:rFonts w:eastAsia="Arial"/>
        </w:rPr>
        <w:t>domestic</w:t>
      </w:r>
      <w:r w:rsidRPr="006270C5">
        <w:rPr>
          <w:rFonts w:eastAsia="Arial"/>
          <w:color w:val="000000"/>
        </w:rPr>
        <w:t xml:space="preserve"> </w:t>
      </w:r>
      <w:proofErr w:type="spellStart"/>
      <w:r w:rsidRPr="006270C5">
        <w:rPr>
          <w:rFonts w:eastAsia="Arial"/>
          <w:color w:val="000000"/>
        </w:rPr>
        <w:t>labor</w:t>
      </w:r>
      <w:proofErr w:type="spellEnd"/>
      <w:r w:rsidRPr="006270C5">
        <w:rPr>
          <w:rFonts w:eastAsia="Arial"/>
          <w:color w:val="000000"/>
        </w:rPr>
        <w:t xml:space="preserve"> during the quarantine period for women and girls. Women’s overrepresentation in the informal economy means that they are more vulnerable to economic shocks brought about by the lockdown and they often lack social protection. </w:t>
      </w:r>
    </w:p>
    <w:p w14:paraId="0F935D5B" w14:textId="77777777" w:rsidR="005762FD" w:rsidRPr="006270C5" w:rsidRDefault="005762FD" w:rsidP="005762FD">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DC0184">
        <w:rPr>
          <w:rFonts w:eastAsia="Arial"/>
          <w:b/>
          <w:color w:val="000000"/>
        </w:rPr>
        <w:t>On women with disabilities</w:t>
      </w:r>
      <w:r w:rsidRPr="006270C5">
        <w:rPr>
          <w:rFonts w:eastAsia="Arial"/>
          <w:color w:val="000000"/>
        </w:rPr>
        <w:t xml:space="preserve"> - The Commission conducted a three-week “Community Based Peer Monitoring of Access to services by women with disabilities during the COVID-19 Pandemic that aimed to survey access to services of women with disabilities and the impact of the enhanced community quarantine on their health, their families, and their communities. Results of the survey reveal the following: </w:t>
      </w:r>
    </w:p>
    <w:p w14:paraId="23712F32" w14:textId="77777777" w:rsidR="005762FD" w:rsidRPr="00745C0B" w:rsidRDefault="005762FD" w:rsidP="00C32473">
      <w:pPr>
        <w:pStyle w:val="ListParagraph"/>
        <w:numPr>
          <w:ilvl w:val="0"/>
          <w:numId w:val="25"/>
        </w:numPr>
        <w:pBdr>
          <w:top w:val="nil"/>
          <w:left w:val="nil"/>
          <w:bottom w:val="nil"/>
          <w:right w:val="nil"/>
          <w:between w:val="nil"/>
        </w:pBdr>
        <w:tabs>
          <w:tab w:val="left" w:pos="630"/>
        </w:tabs>
        <w:spacing w:after="120" w:line="240" w:lineRule="atLeast"/>
        <w:ind w:left="1134" w:right="1134" w:firstLine="567"/>
        <w:jc w:val="both"/>
        <w:rPr>
          <w:rFonts w:eastAsia="Arial"/>
          <w:color w:val="000000"/>
        </w:rPr>
      </w:pPr>
      <w:r w:rsidRPr="00745C0B">
        <w:rPr>
          <w:rFonts w:eastAsia="Arial"/>
          <w:color w:val="000000"/>
        </w:rPr>
        <w:t xml:space="preserve">There is a lack of available public transportation limiting the movement of women with disabilities within the community – with this, women with </w:t>
      </w:r>
      <w:proofErr w:type="spellStart"/>
      <w:r w:rsidRPr="00745C0B">
        <w:rPr>
          <w:rFonts w:eastAsia="Arial"/>
          <w:color w:val="000000"/>
        </w:rPr>
        <w:t>orthopedic</w:t>
      </w:r>
      <w:proofErr w:type="spellEnd"/>
      <w:r w:rsidRPr="00745C0B">
        <w:rPr>
          <w:rFonts w:eastAsia="Arial"/>
          <w:color w:val="000000"/>
        </w:rPr>
        <w:t xml:space="preserve"> disabilities struggle with accessing drugstores and clinics for their regular therapies.</w:t>
      </w:r>
      <w:r w:rsidRPr="00C32473">
        <w:rPr>
          <w:rFonts w:eastAsia="Arial"/>
          <w:color w:val="000000"/>
          <w:sz w:val="18"/>
          <w:szCs w:val="18"/>
          <w:vertAlign w:val="superscript"/>
        </w:rPr>
        <w:footnoteReference w:id="15"/>
      </w:r>
    </w:p>
    <w:p w14:paraId="482C6169" w14:textId="77777777" w:rsidR="005762FD" w:rsidRPr="006270C5" w:rsidRDefault="005762FD" w:rsidP="00C32473">
      <w:pPr>
        <w:pStyle w:val="ListParagraph"/>
        <w:numPr>
          <w:ilvl w:val="0"/>
          <w:numId w:val="25"/>
        </w:numPr>
        <w:pBdr>
          <w:top w:val="nil"/>
          <w:left w:val="nil"/>
          <w:bottom w:val="nil"/>
          <w:right w:val="nil"/>
          <w:between w:val="nil"/>
        </w:pBdr>
        <w:tabs>
          <w:tab w:val="left" w:pos="630"/>
        </w:tabs>
        <w:spacing w:after="120" w:line="240" w:lineRule="atLeast"/>
        <w:ind w:left="1134" w:right="1134" w:firstLine="567"/>
        <w:jc w:val="both"/>
        <w:rPr>
          <w:rFonts w:eastAsia="Arial"/>
          <w:color w:val="000000"/>
        </w:rPr>
      </w:pPr>
      <w:r w:rsidRPr="00DC0184">
        <w:rPr>
          <w:rFonts w:eastAsia="Arial"/>
          <w:color w:val="000000"/>
        </w:rPr>
        <w:t>A</w:t>
      </w:r>
      <w:r w:rsidRPr="006270C5">
        <w:rPr>
          <w:rFonts w:eastAsia="Arial"/>
          <w:color w:val="000000"/>
        </w:rPr>
        <w:t>ccess to information by women who are deaf or hard of hearing remains to be a problem along with the unavailability of sign language interpreters.</w:t>
      </w:r>
    </w:p>
    <w:p w14:paraId="69A1E796" w14:textId="77777777" w:rsidR="005762FD" w:rsidRPr="006270C5" w:rsidRDefault="005762FD" w:rsidP="00C32473">
      <w:pPr>
        <w:pStyle w:val="ListParagraph"/>
        <w:numPr>
          <w:ilvl w:val="0"/>
          <w:numId w:val="25"/>
        </w:numPr>
        <w:pBdr>
          <w:top w:val="nil"/>
          <w:left w:val="nil"/>
          <w:bottom w:val="nil"/>
          <w:right w:val="nil"/>
          <w:between w:val="nil"/>
        </w:pBdr>
        <w:tabs>
          <w:tab w:val="left" w:pos="630"/>
        </w:tabs>
        <w:spacing w:after="120" w:line="240" w:lineRule="atLeast"/>
        <w:ind w:left="1134" w:right="1134" w:firstLine="567"/>
        <w:jc w:val="both"/>
        <w:rPr>
          <w:rFonts w:eastAsia="Arial"/>
          <w:color w:val="000000"/>
        </w:rPr>
      </w:pPr>
      <w:r w:rsidRPr="006270C5">
        <w:rPr>
          <w:rFonts w:eastAsia="Arial"/>
          <w:color w:val="000000"/>
        </w:rPr>
        <w:t>There is insufficient data at the barangay level, particularly on women and girls with disabilities. The lack of data affects the provision of reasonable accommodation and disability-targeted assistance.</w:t>
      </w:r>
    </w:p>
    <w:p w14:paraId="033E5BA8" w14:textId="77777777" w:rsidR="005762FD" w:rsidRPr="006270C5" w:rsidRDefault="005762FD" w:rsidP="00C32473">
      <w:pPr>
        <w:pStyle w:val="ListParagraph"/>
        <w:numPr>
          <w:ilvl w:val="0"/>
          <w:numId w:val="25"/>
        </w:numPr>
        <w:pBdr>
          <w:top w:val="nil"/>
          <w:left w:val="nil"/>
          <w:bottom w:val="nil"/>
          <w:right w:val="nil"/>
          <w:between w:val="nil"/>
        </w:pBdr>
        <w:tabs>
          <w:tab w:val="left" w:pos="630"/>
        </w:tabs>
        <w:spacing w:after="120" w:line="240" w:lineRule="atLeast"/>
        <w:ind w:left="1134" w:right="1134" w:firstLine="567"/>
        <w:jc w:val="both"/>
        <w:rPr>
          <w:rFonts w:eastAsia="Arial"/>
          <w:color w:val="000000"/>
        </w:rPr>
      </w:pPr>
      <w:r w:rsidRPr="006270C5">
        <w:rPr>
          <w:rFonts w:eastAsia="Arial"/>
          <w:color w:val="000000"/>
        </w:rPr>
        <w:t xml:space="preserve">Respondents who are mostly breadwinners who lost their source of income during the lockdown expressed stress and fear of the threat of COVID-19 infecting family members and </w:t>
      </w:r>
      <w:proofErr w:type="spellStart"/>
      <w:r w:rsidRPr="006270C5">
        <w:rPr>
          <w:rFonts w:eastAsia="Arial"/>
          <w:color w:val="000000"/>
        </w:rPr>
        <w:t>neighbors</w:t>
      </w:r>
      <w:proofErr w:type="spellEnd"/>
      <w:r w:rsidRPr="006270C5">
        <w:rPr>
          <w:rFonts w:eastAsia="Arial"/>
          <w:color w:val="000000"/>
        </w:rPr>
        <w:t xml:space="preserve"> and the piling up of bills and food expenses.</w:t>
      </w:r>
    </w:p>
    <w:p w14:paraId="13D9624A" w14:textId="1D147739" w:rsidR="005762FD" w:rsidRPr="00DC0184" w:rsidRDefault="005762FD" w:rsidP="00DC0184">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DC0184">
        <w:rPr>
          <w:rFonts w:eastAsia="Arial"/>
          <w:b/>
          <w:color w:val="000000"/>
        </w:rPr>
        <w:t>On Rural women</w:t>
      </w:r>
      <w:r w:rsidRPr="006270C5">
        <w:rPr>
          <w:rFonts w:eastAsia="Arial"/>
          <w:color w:val="000000"/>
          <w:u w:val="single"/>
        </w:rPr>
        <w:t xml:space="preserve"> </w:t>
      </w:r>
      <w:r w:rsidRPr="006270C5">
        <w:rPr>
          <w:rFonts w:eastAsia="Arial"/>
          <w:color w:val="000000"/>
        </w:rPr>
        <w:t>– Rural women and indigenous women are among the most affected by the current pandemic. They are rendered more vulnerable due to pre-existing inequalities in accessing and control of resources, access to basic health and other social services, and due to their frequent exclusion from community and local decision-making processes.</w:t>
      </w:r>
      <w:r w:rsidRPr="00C32473">
        <w:rPr>
          <w:rFonts w:eastAsia="Arial"/>
          <w:color w:val="000000"/>
          <w:sz w:val="18"/>
          <w:szCs w:val="18"/>
          <w:vertAlign w:val="superscript"/>
        </w:rPr>
        <w:footnoteReference w:id="16"/>
      </w:r>
    </w:p>
    <w:p w14:paraId="159C63E7" w14:textId="77777777" w:rsidR="005762FD" w:rsidRPr="006270C5" w:rsidRDefault="005762FD" w:rsidP="005762FD">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6270C5">
        <w:rPr>
          <w:rFonts w:eastAsia="Arial"/>
          <w:color w:val="000000"/>
        </w:rPr>
        <w:t xml:space="preserve">In 2020, the Commission conducted focus group discussions (FGDs) and Key informant interviews (KII) with women </w:t>
      </w:r>
      <w:proofErr w:type="spellStart"/>
      <w:r w:rsidRPr="006270C5">
        <w:rPr>
          <w:rFonts w:eastAsia="Arial"/>
          <w:color w:val="000000"/>
        </w:rPr>
        <w:t>fisherfolks</w:t>
      </w:r>
      <w:proofErr w:type="spellEnd"/>
      <w:r w:rsidRPr="006270C5">
        <w:rPr>
          <w:rFonts w:eastAsia="Arial"/>
          <w:color w:val="000000"/>
        </w:rPr>
        <w:t xml:space="preserve">. FGDs and KII highlighted the dire </w:t>
      </w:r>
      <w:r w:rsidRPr="006270C5">
        <w:rPr>
          <w:rFonts w:eastAsia="Arial"/>
        </w:rPr>
        <w:t>circumstances</w:t>
      </w:r>
      <w:r w:rsidRPr="006270C5">
        <w:rPr>
          <w:rFonts w:eastAsia="Arial"/>
          <w:color w:val="000000"/>
        </w:rPr>
        <w:t xml:space="preserve"> of many women </w:t>
      </w:r>
      <w:proofErr w:type="spellStart"/>
      <w:r w:rsidRPr="006270C5">
        <w:rPr>
          <w:rFonts w:eastAsia="Arial"/>
          <w:color w:val="000000"/>
        </w:rPr>
        <w:t>fisherfolks</w:t>
      </w:r>
      <w:proofErr w:type="spellEnd"/>
      <w:r w:rsidRPr="006270C5">
        <w:rPr>
          <w:rFonts w:eastAsia="Arial"/>
          <w:color w:val="000000"/>
        </w:rPr>
        <w:t xml:space="preserve"> because of the pandemic. While some were able to identify assistance provided to the </w:t>
      </w:r>
      <w:proofErr w:type="spellStart"/>
      <w:r w:rsidRPr="006270C5">
        <w:rPr>
          <w:rFonts w:eastAsia="Arial"/>
          <w:color w:val="000000"/>
        </w:rPr>
        <w:t>fisherfolks</w:t>
      </w:r>
      <w:proofErr w:type="spellEnd"/>
      <w:r w:rsidRPr="006270C5">
        <w:rPr>
          <w:rFonts w:eastAsia="Arial"/>
          <w:color w:val="000000"/>
        </w:rPr>
        <w:t xml:space="preserve"> community, there are still accounts of exclusion as women </w:t>
      </w:r>
      <w:proofErr w:type="spellStart"/>
      <w:r w:rsidRPr="006270C5">
        <w:rPr>
          <w:rFonts w:eastAsia="Arial"/>
          <w:color w:val="000000"/>
        </w:rPr>
        <w:t>fisherfolks</w:t>
      </w:r>
      <w:proofErr w:type="spellEnd"/>
      <w:r w:rsidRPr="006270C5">
        <w:rPr>
          <w:rFonts w:eastAsia="Arial"/>
          <w:color w:val="000000"/>
        </w:rPr>
        <w:t xml:space="preserve"> and as beneficiaries of other forms of assistance. Reports of GBV against women </w:t>
      </w:r>
      <w:proofErr w:type="spellStart"/>
      <w:r w:rsidRPr="006270C5">
        <w:rPr>
          <w:rFonts w:eastAsia="Arial"/>
          <w:color w:val="000000"/>
        </w:rPr>
        <w:t>fisherfolks</w:t>
      </w:r>
      <w:proofErr w:type="spellEnd"/>
      <w:r w:rsidRPr="006270C5">
        <w:rPr>
          <w:rFonts w:eastAsia="Arial"/>
          <w:color w:val="000000"/>
        </w:rPr>
        <w:t xml:space="preserve"> were also documented.</w:t>
      </w:r>
    </w:p>
    <w:p w14:paraId="4CEC5883" w14:textId="77777777" w:rsidR="005762FD" w:rsidRPr="00F16DA3" w:rsidRDefault="005762FD" w:rsidP="00C32473">
      <w:pPr>
        <w:pBdr>
          <w:top w:val="nil"/>
          <w:left w:val="nil"/>
          <w:bottom w:val="nil"/>
          <w:right w:val="nil"/>
          <w:between w:val="nil"/>
        </w:pBdr>
        <w:tabs>
          <w:tab w:val="left" w:pos="630"/>
        </w:tabs>
        <w:spacing w:before="120" w:after="120" w:line="240" w:lineRule="atLeast"/>
        <w:ind w:left="1134" w:right="1134"/>
        <w:jc w:val="both"/>
        <w:rPr>
          <w:rFonts w:eastAsia="Arial"/>
          <w:color w:val="000000"/>
        </w:rPr>
      </w:pPr>
      <w:r w:rsidRPr="00DC0184">
        <w:rPr>
          <w:rFonts w:eastAsia="Arial"/>
          <w:b/>
        </w:rPr>
        <w:t xml:space="preserve">On </w:t>
      </w:r>
      <w:r w:rsidRPr="00DC0184">
        <w:rPr>
          <w:rFonts w:eastAsia="Arial"/>
          <w:b/>
          <w:color w:val="000000"/>
        </w:rPr>
        <w:t>urban poor women</w:t>
      </w:r>
      <w:r w:rsidRPr="006270C5">
        <w:rPr>
          <w:rFonts w:eastAsia="Arial"/>
          <w:color w:val="000000"/>
        </w:rPr>
        <w:t xml:space="preserve"> – The urban poor face many constraints in finding stable economic opportunities, acquiring decent living conditions, exercising their political rights, accessing social and </w:t>
      </w:r>
      <w:proofErr w:type="spellStart"/>
      <w:r w:rsidRPr="006270C5">
        <w:rPr>
          <w:rFonts w:eastAsia="Arial"/>
          <w:color w:val="000000"/>
        </w:rPr>
        <w:t>labor</w:t>
      </w:r>
      <w:proofErr w:type="spellEnd"/>
      <w:r w:rsidRPr="006270C5">
        <w:rPr>
          <w:rFonts w:eastAsia="Arial"/>
          <w:color w:val="000000"/>
        </w:rPr>
        <w:t xml:space="preserve"> protections, and enjoying the same levels of inclusion as the rest of the urban population. However, urban poor women, as a particular subgroup, experience additional non-income dimensions of poverty, such as time poverty brought about by the unequal distribution of social reproduction activities in the home. </w:t>
      </w:r>
      <w:r w:rsidRPr="00C32473">
        <w:rPr>
          <w:rFonts w:eastAsia="Arial"/>
          <w:color w:val="000000"/>
          <w:sz w:val="18"/>
          <w:szCs w:val="18"/>
          <w:vertAlign w:val="superscript"/>
        </w:rPr>
        <w:footnoteReference w:id="17"/>
      </w:r>
    </w:p>
    <w:p w14:paraId="52B3A4BC" w14:textId="189087E6" w:rsidR="005762FD" w:rsidRPr="006270C5" w:rsidRDefault="005762FD" w:rsidP="00DC0184">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6270C5">
        <w:rPr>
          <w:rFonts w:eastAsia="Arial"/>
          <w:color w:val="000000"/>
        </w:rPr>
        <w:t xml:space="preserve">Sectoral monitoring by the Commission with urban poor women for example in </w:t>
      </w:r>
      <w:proofErr w:type="spellStart"/>
      <w:r w:rsidRPr="006270C5">
        <w:rPr>
          <w:rFonts w:eastAsia="Arial"/>
          <w:color w:val="000000"/>
        </w:rPr>
        <w:t>Navotas</w:t>
      </w:r>
      <w:proofErr w:type="spellEnd"/>
      <w:r w:rsidRPr="006270C5">
        <w:rPr>
          <w:rFonts w:eastAsia="Arial"/>
          <w:color w:val="000000"/>
        </w:rPr>
        <w:t xml:space="preserve">, Metro Manila, highlighted how the pandemic exacerbated their already difficult situation. Prior to the health crisis, the women members of the </w:t>
      </w:r>
      <w:proofErr w:type="spellStart"/>
      <w:r w:rsidRPr="006270C5">
        <w:rPr>
          <w:rFonts w:eastAsia="Arial"/>
          <w:i/>
          <w:color w:val="000000"/>
        </w:rPr>
        <w:t>Pederasyon</w:t>
      </w:r>
      <w:proofErr w:type="spellEnd"/>
      <w:r w:rsidRPr="006270C5">
        <w:rPr>
          <w:rFonts w:eastAsia="Arial"/>
          <w:i/>
          <w:color w:val="000000"/>
        </w:rPr>
        <w:t xml:space="preserve"> ng </w:t>
      </w:r>
      <w:proofErr w:type="spellStart"/>
      <w:r w:rsidRPr="006270C5">
        <w:rPr>
          <w:rFonts w:eastAsia="Arial"/>
          <w:i/>
          <w:color w:val="000000"/>
        </w:rPr>
        <w:t>mga</w:t>
      </w:r>
      <w:proofErr w:type="spellEnd"/>
      <w:r w:rsidRPr="006270C5">
        <w:rPr>
          <w:rFonts w:eastAsia="Arial"/>
          <w:i/>
          <w:color w:val="000000"/>
        </w:rPr>
        <w:t xml:space="preserve"> </w:t>
      </w:r>
      <w:proofErr w:type="spellStart"/>
      <w:r w:rsidRPr="006270C5">
        <w:rPr>
          <w:rFonts w:eastAsia="Arial"/>
          <w:i/>
          <w:color w:val="000000"/>
        </w:rPr>
        <w:t>Maralitang</w:t>
      </w:r>
      <w:proofErr w:type="spellEnd"/>
      <w:r w:rsidRPr="006270C5">
        <w:rPr>
          <w:rFonts w:eastAsia="Arial"/>
          <w:i/>
          <w:color w:val="000000"/>
        </w:rPr>
        <w:t xml:space="preserve"> </w:t>
      </w:r>
      <w:proofErr w:type="spellStart"/>
      <w:r w:rsidRPr="006270C5">
        <w:rPr>
          <w:rFonts w:eastAsia="Arial"/>
          <w:i/>
          <w:color w:val="000000"/>
        </w:rPr>
        <w:t>N</w:t>
      </w:r>
      <w:r w:rsidRPr="006270C5">
        <w:rPr>
          <w:rFonts w:eastAsia="Arial"/>
          <w:i/>
        </w:rPr>
        <w:t>a</w:t>
      </w:r>
      <w:r w:rsidRPr="006270C5">
        <w:rPr>
          <w:rFonts w:eastAsia="Arial"/>
          <w:i/>
          <w:color w:val="000000"/>
        </w:rPr>
        <w:t>voteno</w:t>
      </w:r>
      <w:proofErr w:type="spellEnd"/>
      <w:r w:rsidRPr="006270C5">
        <w:rPr>
          <w:rFonts w:eastAsia="Arial"/>
          <w:color w:val="000000"/>
        </w:rPr>
        <w:t xml:space="preserve"> already shared their issues pertaining to their tenure insecurity, lack of access to utilities, absence of social protection and violence experience in the hands of State forces. During the pandemic, the accounts of women showed heightened food insecurity due to loss of income sources/employment and heightened threats from </w:t>
      </w:r>
      <w:r w:rsidRPr="006270C5">
        <w:rPr>
          <w:rFonts w:eastAsia="Arial"/>
        </w:rPr>
        <w:t>S</w:t>
      </w:r>
      <w:r w:rsidRPr="006270C5">
        <w:rPr>
          <w:rFonts w:eastAsia="Arial"/>
          <w:color w:val="000000"/>
        </w:rPr>
        <w:t xml:space="preserve">tate forces due to containment measures. The situation in </w:t>
      </w:r>
      <w:proofErr w:type="spellStart"/>
      <w:r w:rsidRPr="006270C5">
        <w:rPr>
          <w:rFonts w:eastAsia="Arial"/>
          <w:color w:val="000000"/>
        </w:rPr>
        <w:t>Navotas</w:t>
      </w:r>
      <w:proofErr w:type="spellEnd"/>
      <w:r w:rsidRPr="006270C5">
        <w:rPr>
          <w:rFonts w:eastAsia="Arial"/>
          <w:color w:val="000000"/>
        </w:rPr>
        <w:t xml:space="preserve"> does not necessarily mean it reflects the entire situation in the country but sectoral monitoring on women’s rights for instance can illustrate what certain groups of people in society are experiencing and how health emergencies affect their rights. </w:t>
      </w:r>
    </w:p>
    <w:p w14:paraId="50C39F3B" w14:textId="77777777" w:rsidR="005762FD" w:rsidRPr="006270C5" w:rsidRDefault="005762FD" w:rsidP="005762FD">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DC0184">
        <w:rPr>
          <w:rFonts w:eastAsia="Arial"/>
          <w:b/>
          <w:color w:val="000000"/>
        </w:rPr>
        <w:t>On older women</w:t>
      </w:r>
      <w:r w:rsidRPr="006270C5">
        <w:rPr>
          <w:rFonts w:eastAsia="Arial"/>
          <w:color w:val="000000"/>
        </w:rPr>
        <w:t xml:space="preserve"> – In March 2019, dialogues with older women, including those deprived of liberty, highlighted their situations, including access to needed medication, access to social pension and other forms of social protection, and the limited services </w:t>
      </w:r>
      <w:r w:rsidRPr="006270C5">
        <w:rPr>
          <w:rFonts w:eastAsia="Arial"/>
        </w:rPr>
        <w:t>for the vulnerable</w:t>
      </w:r>
      <w:r w:rsidRPr="006270C5">
        <w:rPr>
          <w:rFonts w:eastAsia="Arial"/>
          <w:color w:val="000000"/>
        </w:rPr>
        <w:t xml:space="preserve"> ageing population.</w:t>
      </w:r>
      <w:r w:rsidRPr="00C32473">
        <w:rPr>
          <w:rFonts w:eastAsia="Arial"/>
          <w:sz w:val="18"/>
          <w:szCs w:val="18"/>
          <w:vertAlign w:val="superscript"/>
        </w:rPr>
        <w:footnoteReference w:id="18"/>
      </w:r>
    </w:p>
    <w:p w14:paraId="7BC07997" w14:textId="77777777" w:rsidR="005762FD" w:rsidRPr="006270C5" w:rsidRDefault="005762FD" w:rsidP="005762FD">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6270C5">
        <w:rPr>
          <w:rFonts w:eastAsia="Arial"/>
          <w:color w:val="000000"/>
        </w:rPr>
        <w:t>Older women who rely on income from informal work are particularly vulnerable during the pandemic because of the community quarantine, physical distancing, and closure of businesses and transportation. Without income and without adequate support from the government, their right to be free from hunger, among other human rights, is in danger of being infringed.</w:t>
      </w:r>
      <w:r w:rsidRPr="00C32473">
        <w:rPr>
          <w:rFonts w:eastAsia="Arial"/>
          <w:color w:val="000000"/>
          <w:sz w:val="18"/>
          <w:szCs w:val="18"/>
          <w:vertAlign w:val="superscript"/>
        </w:rPr>
        <w:footnoteReference w:id="19"/>
      </w:r>
    </w:p>
    <w:p w14:paraId="220589EC" w14:textId="77777777" w:rsidR="005762FD" w:rsidRPr="00C32473" w:rsidRDefault="005762FD" w:rsidP="005762FD">
      <w:pPr>
        <w:pBdr>
          <w:top w:val="nil"/>
          <w:left w:val="nil"/>
          <w:bottom w:val="nil"/>
          <w:right w:val="nil"/>
          <w:between w:val="nil"/>
        </w:pBdr>
        <w:tabs>
          <w:tab w:val="left" w:pos="630"/>
        </w:tabs>
        <w:spacing w:after="120" w:line="240" w:lineRule="atLeast"/>
        <w:ind w:left="1134" w:right="1134"/>
        <w:jc w:val="both"/>
        <w:rPr>
          <w:rFonts w:eastAsia="Arial"/>
          <w:color w:val="000000"/>
          <w:sz w:val="18"/>
          <w:szCs w:val="18"/>
        </w:rPr>
      </w:pPr>
      <w:r w:rsidRPr="006270C5">
        <w:rPr>
          <w:rFonts w:eastAsia="Arial"/>
          <w:color w:val="000000"/>
        </w:rPr>
        <w:t xml:space="preserve">It is clear that the COVID-19 crisis brought with it economic </w:t>
      </w:r>
      <w:r w:rsidRPr="006270C5">
        <w:rPr>
          <w:rFonts w:eastAsia="Arial"/>
        </w:rPr>
        <w:t>struggles</w:t>
      </w:r>
      <w:r w:rsidRPr="006270C5">
        <w:rPr>
          <w:rFonts w:eastAsia="Arial"/>
          <w:color w:val="000000"/>
        </w:rPr>
        <w:t xml:space="preserve"> felt in all levels of the economy and all countries worldwide. However, it must be stressed that this socio-economic impact is more </w:t>
      </w:r>
      <w:r w:rsidRPr="006270C5">
        <w:rPr>
          <w:rFonts w:eastAsia="Arial"/>
        </w:rPr>
        <w:t>prominently felt</w:t>
      </w:r>
      <w:r w:rsidRPr="006270C5">
        <w:rPr>
          <w:rFonts w:eastAsia="Arial"/>
          <w:color w:val="000000"/>
        </w:rPr>
        <w:t xml:space="preserve"> among the most vulnerable and marginalized, especially women in the marginalized sector. Pre-existing inequalities are </w:t>
      </w:r>
      <w:r w:rsidRPr="006270C5">
        <w:rPr>
          <w:rFonts w:eastAsia="Arial"/>
        </w:rPr>
        <w:t>exacerbated</w:t>
      </w:r>
      <w:r w:rsidRPr="006270C5">
        <w:rPr>
          <w:rFonts w:eastAsia="Arial"/>
          <w:color w:val="000000"/>
        </w:rPr>
        <w:t xml:space="preserve"> with the economic devastation, and the prolonged crisis into the new normal further </w:t>
      </w:r>
      <w:r w:rsidRPr="006270C5">
        <w:rPr>
          <w:rFonts w:eastAsia="Arial"/>
        </w:rPr>
        <w:t>deepens</w:t>
      </w:r>
      <w:r w:rsidRPr="006270C5">
        <w:rPr>
          <w:rFonts w:eastAsia="Arial"/>
          <w:color w:val="000000"/>
        </w:rPr>
        <w:t xml:space="preserve"> economic disparities and injustices</w:t>
      </w:r>
      <w:r w:rsidRPr="00C32473">
        <w:rPr>
          <w:rFonts w:eastAsia="Arial"/>
          <w:color w:val="000000"/>
          <w:sz w:val="18"/>
          <w:szCs w:val="18"/>
        </w:rPr>
        <w:t>.</w:t>
      </w:r>
      <w:r w:rsidRPr="00C32473">
        <w:rPr>
          <w:rFonts w:eastAsia="Arial"/>
          <w:color w:val="000000"/>
          <w:sz w:val="18"/>
          <w:szCs w:val="18"/>
          <w:vertAlign w:val="superscript"/>
        </w:rPr>
        <w:footnoteReference w:id="20"/>
      </w:r>
    </w:p>
    <w:p w14:paraId="23A54F3D" w14:textId="70F250A7" w:rsidR="005762FD" w:rsidRPr="006270C5" w:rsidRDefault="005762FD" w:rsidP="00DC0184">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6270C5">
        <w:rPr>
          <w:rFonts w:eastAsia="Arial"/>
          <w:color w:val="000000"/>
        </w:rPr>
        <w:t>In 2020, the Philippine government quickly formulated a 4-pillar socio-economic recovery plan</w:t>
      </w:r>
      <w:r w:rsidRPr="006270C5">
        <w:rPr>
          <w:rFonts w:eastAsia="Arial"/>
          <w:color w:val="000000"/>
          <w:vertAlign w:val="superscript"/>
        </w:rPr>
        <w:footnoteReference w:id="21"/>
      </w:r>
      <w:r w:rsidRPr="006270C5">
        <w:rPr>
          <w:rFonts w:eastAsia="Arial"/>
          <w:color w:val="000000"/>
        </w:rPr>
        <w:t xml:space="preserve">. Pillar I of the plan focuses on emergency support for vulnerable groups. Under the said pillar, the government plans to provide financial support in the form of loans for small business, emergency subsidy program for low-income families in the informal sector, unemployment benefits, cash assistance and other immediate and essential support services. </w:t>
      </w:r>
    </w:p>
    <w:p w14:paraId="17DD8AF0" w14:textId="77777777" w:rsidR="005762FD" w:rsidRPr="006270C5" w:rsidRDefault="005762FD" w:rsidP="005762FD">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6270C5">
        <w:rPr>
          <w:rFonts w:eastAsia="Arial"/>
          <w:color w:val="000000"/>
        </w:rPr>
        <w:t xml:space="preserve">In 2021, the Philippine government started its vaccination rollout with the aim of attaining herd immunity in the next five (5) years. Since the beginning of the vaccination rollout, local government units have been proactive in fighting </w:t>
      </w:r>
      <w:r w:rsidRPr="006270C5">
        <w:rPr>
          <w:rFonts w:eastAsia="Arial"/>
          <w:color w:val="000000"/>
          <w:highlight w:val="white"/>
        </w:rPr>
        <w:t xml:space="preserve">misinformation that leads to increased </w:t>
      </w:r>
      <w:r>
        <w:rPr>
          <w:rFonts w:eastAsia="Arial"/>
          <w:color w:val="000000"/>
          <w:highlight w:val="white"/>
        </w:rPr>
        <w:t>v</w:t>
      </w:r>
      <w:r w:rsidRPr="006270C5">
        <w:rPr>
          <w:rFonts w:eastAsia="Arial"/>
          <w:color w:val="000000"/>
          <w:highlight w:val="white"/>
        </w:rPr>
        <w:t>accine hesitanc</w:t>
      </w:r>
      <w:r w:rsidRPr="006270C5">
        <w:rPr>
          <w:rFonts w:eastAsia="Arial"/>
          <w:color w:val="000000"/>
        </w:rPr>
        <w:t>e.</w:t>
      </w:r>
      <w:r w:rsidRPr="006270C5">
        <w:rPr>
          <w:rFonts w:eastAsia="Arial"/>
          <w:color w:val="000000"/>
          <w:vertAlign w:val="superscript"/>
        </w:rPr>
        <w:footnoteReference w:id="22"/>
      </w:r>
      <w:r w:rsidRPr="006270C5">
        <w:rPr>
          <w:rFonts w:eastAsia="Arial"/>
          <w:color w:val="000000"/>
        </w:rPr>
        <w:t xml:space="preserve"> With the initial limited vaccine supply, the government prioritizes vulnerable groups such as older persons and the indigent population guided by the principle of equity.</w:t>
      </w:r>
    </w:p>
    <w:p w14:paraId="79D7656A" w14:textId="2C341AAE" w:rsidR="005762FD" w:rsidRPr="006270C5" w:rsidRDefault="005762FD" w:rsidP="00DC0184">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6270C5">
        <w:rPr>
          <w:rFonts w:eastAsia="Arial"/>
          <w:color w:val="000000"/>
        </w:rPr>
        <w:t xml:space="preserve">Although the government’s recovery plan that puts the vulnerable sectors at the forefront and the continued vaccination rollout efforts are </w:t>
      </w:r>
      <w:r w:rsidRPr="006270C5">
        <w:rPr>
          <w:rFonts w:eastAsia="Arial"/>
        </w:rPr>
        <w:t>commendable</w:t>
      </w:r>
      <w:r w:rsidRPr="006270C5">
        <w:rPr>
          <w:rFonts w:eastAsia="Arial"/>
          <w:color w:val="000000"/>
        </w:rPr>
        <w:t xml:space="preserve">, the government must ensure that various sectors of women are involved in the planning and implementation process to ensure that sufficient measures are in place to address pre-existing and emerging issues confronted by women in the pandemic. </w:t>
      </w:r>
    </w:p>
    <w:p w14:paraId="575A8998" w14:textId="77777777" w:rsidR="005762FD" w:rsidRPr="006270C5" w:rsidRDefault="005762FD" w:rsidP="005762FD">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6270C5">
        <w:rPr>
          <w:rFonts w:eastAsia="Arial"/>
          <w:color w:val="000000"/>
        </w:rPr>
        <w:t xml:space="preserve">The Commission recommends the following measures to address women’s rights issues </w:t>
      </w:r>
      <w:r w:rsidRPr="006270C5">
        <w:rPr>
          <w:rFonts w:eastAsia="Arial"/>
        </w:rPr>
        <w:t>aggravated</w:t>
      </w:r>
      <w:r w:rsidRPr="006270C5">
        <w:rPr>
          <w:rFonts w:eastAsia="Arial"/>
          <w:color w:val="000000"/>
        </w:rPr>
        <w:t xml:space="preserve"> by the COVID19 pandemic and to ensure inclusive socio-economic recovery:</w:t>
      </w:r>
    </w:p>
    <w:p w14:paraId="475D703F" w14:textId="77777777" w:rsidR="005762FD" w:rsidRPr="00745C0B" w:rsidRDefault="005762FD" w:rsidP="00C32473">
      <w:pPr>
        <w:pStyle w:val="ListParagraph"/>
        <w:numPr>
          <w:ilvl w:val="0"/>
          <w:numId w:val="26"/>
        </w:numPr>
        <w:pBdr>
          <w:top w:val="nil"/>
          <w:left w:val="nil"/>
          <w:bottom w:val="nil"/>
          <w:right w:val="nil"/>
          <w:between w:val="nil"/>
        </w:pBdr>
        <w:tabs>
          <w:tab w:val="left" w:pos="630"/>
        </w:tabs>
        <w:spacing w:after="120" w:line="240" w:lineRule="atLeast"/>
        <w:ind w:left="1134" w:right="1134" w:firstLine="567"/>
        <w:jc w:val="both"/>
        <w:rPr>
          <w:rFonts w:eastAsia="Arial"/>
          <w:color w:val="000000"/>
        </w:rPr>
      </w:pPr>
      <w:r w:rsidRPr="00745C0B">
        <w:rPr>
          <w:rFonts w:eastAsia="Arial"/>
          <w:color w:val="000000"/>
        </w:rPr>
        <w:t>Ensure participation of women organizations in the design, planning, and implementation of crisis interventions, transition, and recovery plans;</w:t>
      </w:r>
    </w:p>
    <w:p w14:paraId="5BB26AB7" w14:textId="77777777" w:rsidR="00E65E98" w:rsidRDefault="005762FD" w:rsidP="00C32473">
      <w:pPr>
        <w:pStyle w:val="ListParagraph"/>
        <w:numPr>
          <w:ilvl w:val="0"/>
          <w:numId w:val="26"/>
        </w:numPr>
        <w:pBdr>
          <w:top w:val="nil"/>
          <w:left w:val="nil"/>
          <w:bottom w:val="nil"/>
          <w:right w:val="nil"/>
          <w:between w:val="nil"/>
        </w:pBdr>
        <w:tabs>
          <w:tab w:val="left" w:pos="630"/>
        </w:tabs>
        <w:spacing w:after="120" w:line="240" w:lineRule="atLeast"/>
        <w:ind w:left="1134" w:right="1134" w:firstLine="567"/>
        <w:jc w:val="both"/>
        <w:rPr>
          <w:rFonts w:eastAsia="Arial"/>
          <w:color w:val="000000"/>
        </w:rPr>
      </w:pPr>
      <w:r w:rsidRPr="00745C0B">
        <w:rPr>
          <w:rFonts w:eastAsia="Arial"/>
          <w:color w:val="000000"/>
        </w:rPr>
        <w:t>Unpaid care work and multiple burden of women should be recognized such that community consultations are designed to ensure their meaningful participation;</w:t>
      </w:r>
    </w:p>
    <w:p w14:paraId="581C02C8" w14:textId="6E3AAAAC" w:rsidR="005762FD" w:rsidRPr="00E65E98" w:rsidRDefault="005762FD" w:rsidP="00C32473">
      <w:pPr>
        <w:pStyle w:val="ListParagraph"/>
        <w:numPr>
          <w:ilvl w:val="0"/>
          <w:numId w:val="26"/>
        </w:numPr>
        <w:pBdr>
          <w:top w:val="nil"/>
          <w:left w:val="nil"/>
          <w:bottom w:val="nil"/>
          <w:right w:val="nil"/>
          <w:between w:val="nil"/>
        </w:pBdr>
        <w:tabs>
          <w:tab w:val="left" w:pos="630"/>
        </w:tabs>
        <w:spacing w:after="120" w:line="240" w:lineRule="atLeast"/>
        <w:ind w:left="1134" w:right="1134" w:firstLine="567"/>
        <w:jc w:val="both"/>
        <w:rPr>
          <w:rFonts w:eastAsia="Arial"/>
          <w:color w:val="000000"/>
        </w:rPr>
      </w:pPr>
      <w:r w:rsidRPr="00E65E98">
        <w:rPr>
          <w:rFonts w:eastAsia="Arial"/>
          <w:color w:val="000000"/>
        </w:rPr>
        <w:t xml:space="preserve">Provide socio-economic support to women in the informal economy. COVID-19 response and economic recovery plans should address gender inequalities in employment, promote transition of women in the informal economy to the formal economy and provide relevant social protection systems for them. The government should also formulate post-pandemic programs and targets for women’s economic empowerment. This should be accessible to women with disabilities, internally displaced persons, indigenous peoples, rural women and other marginalized groups. </w:t>
      </w:r>
    </w:p>
    <w:p w14:paraId="45A38D78" w14:textId="77777777" w:rsidR="005762FD" w:rsidRPr="00745C0B" w:rsidRDefault="005762FD" w:rsidP="00C32473">
      <w:pPr>
        <w:pStyle w:val="ListParagraph"/>
        <w:numPr>
          <w:ilvl w:val="0"/>
          <w:numId w:val="26"/>
        </w:numPr>
        <w:pBdr>
          <w:top w:val="nil"/>
          <w:left w:val="nil"/>
          <w:bottom w:val="nil"/>
          <w:right w:val="nil"/>
          <w:between w:val="nil"/>
        </w:pBdr>
        <w:tabs>
          <w:tab w:val="left" w:pos="630"/>
        </w:tabs>
        <w:spacing w:after="120" w:line="240" w:lineRule="atLeast"/>
        <w:ind w:left="1134" w:right="1134" w:firstLine="567"/>
        <w:jc w:val="both"/>
        <w:rPr>
          <w:rFonts w:eastAsia="Arial"/>
          <w:color w:val="000000"/>
        </w:rPr>
      </w:pPr>
      <w:r w:rsidRPr="00745C0B">
        <w:rPr>
          <w:rFonts w:eastAsia="Arial"/>
          <w:color w:val="000000"/>
        </w:rPr>
        <w:t>Ensure continuing education. Due to the shutdown of educational institutions and children staying at home, many women and girls are relegated to stereotyped roles in domestic work. Inclusive and accessible alternative educational tools free of charge, including in rural or remote areas where internet access is limited, should be provided.</w:t>
      </w:r>
    </w:p>
    <w:p w14:paraId="22112986" w14:textId="4002210E" w:rsidR="005762FD" w:rsidRPr="00DC0184" w:rsidRDefault="005762FD" w:rsidP="00C32473">
      <w:pPr>
        <w:pStyle w:val="ListParagraph"/>
        <w:numPr>
          <w:ilvl w:val="0"/>
          <w:numId w:val="26"/>
        </w:numPr>
        <w:pBdr>
          <w:top w:val="nil"/>
          <w:left w:val="nil"/>
          <w:bottom w:val="nil"/>
          <w:right w:val="nil"/>
          <w:between w:val="nil"/>
        </w:pBdr>
        <w:tabs>
          <w:tab w:val="left" w:pos="630"/>
        </w:tabs>
        <w:spacing w:after="120" w:line="240" w:lineRule="atLeast"/>
        <w:ind w:left="1134" w:right="1134" w:firstLine="567"/>
        <w:jc w:val="both"/>
        <w:rPr>
          <w:rFonts w:eastAsia="Arial"/>
          <w:color w:val="000000"/>
        </w:rPr>
      </w:pPr>
      <w:r w:rsidRPr="00DC0184">
        <w:rPr>
          <w:rFonts w:eastAsia="Arial"/>
          <w:color w:val="000000"/>
        </w:rPr>
        <w:t>The distribution of social amelioration programs in the Philippines have helped ease the financial burden of older persons. However, post-</w:t>
      </w:r>
      <w:proofErr w:type="spellStart"/>
      <w:r w:rsidRPr="00DC0184">
        <w:rPr>
          <w:rFonts w:eastAsia="Arial"/>
          <w:color w:val="000000"/>
        </w:rPr>
        <w:t>Covid</w:t>
      </w:r>
      <w:proofErr w:type="spellEnd"/>
      <w:r w:rsidRPr="00DC0184">
        <w:rPr>
          <w:rFonts w:eastAsia="Arial"/>
          <w:color w:val="000000"/>
        </w:rPr>
        <w:t xml:space="preserve"> – 19 measures should closely look at non-contributory social pensions. A comprehensive pension system is critical not only to support dignity in later life, but as part of a broader strategy to tackle poverty and inequality.</w:t>
      </w:r>
    </w:p>
    <w:p w14:paraId="10D69D8D" w14:textId="5CE33831" w:rsidR="001E66D4" w:rsidRPr="001E66D4" w:rsidRDefault="001E66D4" w:rsidP="0023080F">
      <w:pPr>
        <w:pStyle w:val="ListParagraph"/>
        <w:suppressAutoHyphens/>
        <w:spacing w:after="120" w:line="240" w:lineRule="atLeast"/>
        <w:ind w:left="1134" w:right="1134"/>
        <w:jc w:val="center"/>
        <w:rPr>
          <w:rFonts w:eastAsia="Calibri"/>
          <w:u w:val="single"/>
        </w:rPr>
      </w:pPr>
      <w:r>
        <w:rPr>
          <w:rFonts w:eastAsia="Calibri"/>
          <w:u w:val="single"/>
        </w:rPr>
        <w:tab/>
      </w:r>
      <w:r>
        <w:rPr>
          <w:rFonts w:eastAsia="Calibri"/>
          <w:u w:val="single"/>
        </w:rPr>
        <w:tab/>
      </w:r>
      <w:r>
        <w:rPr>
          <w:rFonts w:eastAsia="Calibri"/>
          <w:u w:val="single"/>
        </w:rPr>
        <w:tab/>
      </w:r>
      <w:r w:rsidR="0023080F">
        <w:rPr>
          <w:rFonts w:eastAsia="Calibri"/>
          <w:u w:val="single"/>
        </w:rPr>
        <w:tab/>
      </w:r>
    </w:p>
    <w:sectPr w:rsidR="001E66D4" w:rsidRPr="001E66D4" w:rsidSect="00245873">
      <w:headerReference w:type="even" r:id="rId8"/>
      <w:headerReference w:type="default" r:id="rId9"/>
      <w:footerReference w:type="even" r:id="rId10"/>
      <w:footerReference w:type="default" r:id="rId11"/>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4C370" w14:textId="77777777" w:rsidR="007A2D4B" w:rsidRDefault="007A2D4B"/>
  </w:endnote>
  <w:endnote w:type="continuationSeparator" w:id="0">
    <w:p w14:paraId="64C22E25" w14:textId="77777777" w:rsidR="007A2D4B" w:rsidRDefault="007A2D4B"/>
  </w:endnote>
  <w:endnote w:type="continuationNotice" w:id="1">
    <w:p w14:paraId="78EAEB66" w14:textId="77777777" w:rsidR="007A2D4B" w:rsidRDefault="007A2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15ED" w14:textId="5AD18E66" w:rsidR="00DB7780" w:rsidRPr="00EA277E" w:rsidRDefault="00DB7780" w:rsidP="00EA277E">
    <w:pPr>
      <w:pStyle w:val="Footer"/>
      <w:tabs>
        <w:tab w:val="right" w:pos="9598"/>
      </w:tabs>
      <w:rPr>
        <w:b/>
        <w:noProof/>
        <w:sz w:val="18"/>
      </w:rPr>
    </w:pPr>
    <w:r w:rsidRPr="00EA277E">
      <w:rPr>
        <w:b/>
        <w:noProof/>
        <w:sz w:val="18"/>
      </w:rPr>
      <w:fldChar w:fldCharType="begin"/>
    </w:r>
    <w:r w:rsidRPr="00EA277E">
      <w:rPr>
        <w:b/>
        <w:noProof/>
        <w:sz w:val="18"/>
      </w:rPr>
      <w:instrText xml:space="preserve"> PAGE   \* MERGEFORMAT </w:instrText>
    </w:r>
    <w:r w:rsidRPr="00EA277E">
      <w:rPr>
        <w:b/>
        <w:noProof/>
        <w:sz w:val="18"/>
      </w:rPr>
      <w:fldChar w:fldCharType="separate"/>
    </w:r>
    <w:r w:rsidR="00F92D78">
      <w:rPr>
        <w:b/>
        <w:noProof/>
        <w:sz w:val="18"/>
      </w:rPr>
      <w:t>6</w:t>
    </w:r>
    <w:r w:rsidRPr="00EA277E">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99815" w14:textId="5BC2A03E" w:rsidR="00DB7780" w:rsidRPr="00587B49" w:rsidRDefault="00DB7780" w:rsidP="00587B49">
    <w:pPr>
      <w:pStyle w:val="Footer"/>
      <w:tabs>
        <w:tab w:val="right" w:pos="9598"/>
      </w:tabs>
      <w:rPr>
        <w:b/>
        <w:sz w:val="18"/>
      </w:rPr>
    </w:pPr>
    <w:r>
      <w:tab/>
    </w:r>
    <w:r w:rsidRPr="00587B49">
      <w:rPr>
        <w:b/>
        <w:sz w:val="18"/>
      </w:rPr>
      <w:fldChar w:fldCharType="begin"/>
    </w:r>
    <w:r w:rsidRPr="00587B49">
      <w:rPr>
        <w:b/>
        <w:sz w:val="18"/>
      </w:rPr>
      <w:instrText xml:space="preserve"> PAGE  \* MERGEFORMAT </w:instrText>
    </w:r>
    <w:r w:rsidRPr="00587B49">
      <w:rPr>
        <w:b/>
        <w:sz w:val="18"/>
      </w:rPr>
      <w:fldChar w:fldCharType="separate"/>
    </w:r>
    <w:r w:rsidR="00F92D78">
      <w:rPr>
        <w:b/>
        <w:noProof/>
        <w:sz w:val="18"/>
      </w:rPr>
      <w:t>5</w:t>
    </w:r>
    <w:r w:rsidRPr="00587B4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9879D" w14:textId="77777777" w:rsidR="007A2D4B" w:rsidRPr="000B175B" w:rsidRDefault="007A2D4B" w:rsidP="000B175B">
      <w:pPr>
        <w:tabs>
          <w:tab w:val="right" w:pos="2155"/>
        </w:tabs>
        <w:spacing w:after="80"/>
        <w:ind w:left="680"/>
        <w:rPr>
          <w:u w:val="single"/>
        </w:rPr>
      </w:pPr>
      <w:r>
        <w:rPr>
          <w:u w:val="single"/>
        </w:rPr>
        <w:tab/>
      </w:r>
    </w:p>
  </w:footnote>
  <w:footnote w:type="continuationSeparator" w:id="0">
    <w:p w14:paraId="6BB592DB" w14:textId="77777777" w:rsidR="007A2D4B" w:rsidRPr="00FC68B7" w:rsidRDefault="007A2D4B" w:rsidP="00FC68B7">
      <w:pPr>
        <w:tabs>
          <w:tab w:val="left" w:pos="2155"/>
        </w:tabs>
        <w:spacing w:after="80"/>
        <w:ind w:left="680"/>
        <w:rPr>
          <w:u w:val="single"/>
        </w:rPr>
      </w:pPr>
      <w:r>
        <w:rPr>
          <w:u w:val="single"/>
        </w:rPr>
        <w:tab/>
      </w:r>
    </w:p>
  </w:footnote>
  <w:footnote w:type="continuationNotice" w:id="1">
    <w:p w14:paraId="53E99CB1" w14:textId="77777777" w:rsidR="007A2D4B" w:rsidRDefault="007A2D4B"/>
  </w:footnote>
  <w:footnote w:id="2">
    <w:p w14:paraId="47B5DC1D" w14:textId="6B88D418" w:rsidR="00245873" w:rsidRPr="00245873" w:rsidRDefault="00245873" w:rsidP="00B57416">
      <w:pPr>
        <w:pStyle w:val="FootnoteText"/>
        <w:rPr>
          <w:lang w:val="en-GB"/>
        </w:rPr>
      </w:pPr>
      <w:r>
        <w:rPr>
          <w:rStyle w:val="FootnoteReference"/>
        </w:rPr>
        <w:tab/>
      </w:r>
      <w:r w:rsidRPr="00245873">
        <w:rPr>
          <w:rStyle w:val="FootnoteReference"/>
          <w:sz w:val="20"/>
          <w:vertAlign w:val="baseline"/>
        </w:rPr>
        <w:t>*</w:t>
      </w:r>
      <w:r>
        <w:rPr>
          <w:rStyle w:val="FootnoteReference"/>
          <w:sz w:val="20"/>
          <w:vertAlign w:val="baseline"/>
        </w:rPr>
        <w:tab/>
      </w:r>
      <w:r w:rsidRPr="00C67968">
        <w:t>National human rights institution with A</w:t>
      </w:r>
      <w:r>
        <w:rPr>
          <w:lang w:val="en-US"/>
        </w:rPr>
        <w:t xml:space="preserve"> </w:t>
      </w:r>
      <w:r>
        <w:t xml:space="preserve">status accreditation from the </w:t>
      </w:r>
      <w:r>
        <w:rPr>
          <w:szCs w:val="18"/>
          <w:lang w:val="en-CA"/>
        </w:rPr>
        <w:t xml:space="preserve">Global Alliance </w:t>
      </w:r>
      <w:r w:rsidRPr="00680DEF">
        <w:rPr>
          <w:szCs w:val="18"/>
          <w:lang w:val="en-CA"/>
        </w:rPr>
        <w:t>of National Institutions for</w:t>
      </w:r>
      <w:r>
        <w:rPr>
          <w:szCs w:val="18"/>
          <w:lang w:val="en-CA"/>
        </w:rPr>
        <w:t xml:space="preserve"> </w:t>
      </w:r>
      <w:r w:rsidRPr="00680DEF">
        <w:rPr>
          <w:szCs w:val="18"/>
          <w:lang w:val="en-CA"/>
        </w:rPr>
        <w:t>the Promotion and Protection of Human Rights</w:t>
      </w:r>
      <w:r w:rsidRPr="00C67968">
        <w:t>.</w:t>
      </w:r>
    </w:p>
  </w:footnote>
  <w:footnote w:id="3">
    <w:p w14:paraId="6B29630A" w14:textId="77777777" w:rsidR="001E66D4" w:rsidRPr="00C67968" w:rsidRDefault="001E66D4" w:rsidP="00B57416">
      <w:pPr>
        <w:pStyle w:val="FootnoteText"/>
      </w:pPr>
      <w:r>
        <w:tab/>
      </w:r>
      <w:r w:rsidRPr="0023080F">
        <w:rPr>
          <w:rStyle w:val="FootnoteReference"/>
          <w:sz w:val="20"/>
          <w:vertAlign w:val="baseline"/>
        </w:rPr>
        <w:t>**</w:t>
      </w:r>
      <w:r>
        <w:rPr>
          <w:sz w:val="20"/>
        </w:rPr>
        <w:tab/>
      </w:r>
      <w:r>
        <w:t xml:space="preserve">Circulated </w:t>
      </w:r>
      <w:r>
        <w:rPr>
          <w:lang w:val="en-US"/>
        </w:rPr>
        <w:t xml:space="preserve">as received, </w:t>
      </w:r>
      <w:r>
        <w:t>in the language of submission only</w:t>
      </w:r>
      <w:r w:rsidRPr="00397D06">
        <w:rPr>
          <w:rFonts w:eastAsia="SimSun"/>
          <w:szCs w:val="24"/>
          <w:lang w:val="en-US" w:eastAsia="zh-CN"/>
        </w:rPr>
        <w:t>.</w:t>
      </w:r>
    </w:p>
  </w:footnote>
  <w:footnote w:id="4">
    <w:p w14:paraId="66B3BE20" w14:textId="6A4D2BA7" w:rsidR="004233AF" w:rsidRPr="001C07F5" w:rsidRDefault="00D43519" w:rsidP="00D43519">
      <w:pPr>
        <w:pStyle w:val="FootnoteText"/>
      </w:pPr>
      <w:r>
        <w:tab/>
      </w:r>
      <w:r w:rsidR="005762FD" w:rsidRPr="004233AF">
        <w:rPr>
          <w:rStyle w:val="FootnoteReference"/>
        </w:rPr>
        <w:footnoteRef/>
      </w:r>
      <w:r>
        <w:tab/>
      </w:r>
      <w:r w:rsidR="005762FD" w:rsidRPr="004233AF">
        <w:rPr>
          <w:rStyle w:val="FootnoteReference"/>
        </w:rPr>
        <w:t xml:space="preserve"> </w:t>
      </w:r>
      <w:r w:rsidR="005762FD" w:rsidRPr="004233AF">
        <w:t xml:space="preserve">The Commission of Human Rights of the Philippines </w:t>
      </w:r>
      <w:r w:rsidR="004233AF" w:rsidRPr="004233AF">
        <w:t xml:space="preserve">is an independent human rights </w:t>
      </w:r>
      <w:r w:rsidR="005762FD" w:rsidRPr="004233AF">
        <w:t xml:space="preserve">institution committed to the mission to “ensure the primacy of all human rights and to their protection, promotion and </w:t>
      </w:r>
      <w:proofErr w:type="spellStart"/>
      <w:r w:rsidR="005762FD" w:rsidRPr="004233AF">
        <w:t>fulfillment</w:t>
      </w:r>
      <w:proofErr w:type="spellEnd"/>
      <w:r w:rsidR="005762FD" w:rsidRPr="004233AF">
        <w:t>, on the basis of equality and non-discrimination, in particular for those who are marginalized and vulnerable” pursuant to the Universal Declaration of Human Rights, and in accordance with the powers and functions granted by the 1987 Constitution of the Philippines.</w:t>
      </w:r>
    </w:p>
  </w:footnote>
  <w:footnote w:id="5">
    <w:p w14:paraId="63AF44B7" w14:textId="6B4F0127" w:rsidR="005762FD" w:rsidRPr="00C32473" w:rsidRDefault="00D43519" w:rsidP="00D43519">
      <w:pPr>
        <w:pStyle w:val="FootnoteText"/>
        <w:rPr>
          <w:i/>
          <w:lang w:val="en-GB"/>
        </w:rPr>
      </w:pPr>
      <w:r>
        <w:tab/>
      </w:r>
      <w:r w:rsidR="005762FD" w:rsidRPr="001C07F5">
        <w:rPr>
          <w:rStyle w:val="FootnoteReference"/>
        </w:rPr>
        <w:footnoteRef/>
      </w:r>
      <w:r>
        <w:tab/>
      </w:r>
      <w:r w:rsidR="005762FD" w:rsidRPr="006270C5">
        <w:t xml:space="preserve">Commission on Human Rights of the Philippines, </w:t>
      </w:r>
      <w:r w:rsidR="005762FD" w:rsidRPr="006270C5">
        <w:rPr>
          <w:i/>
        </w:rPr>
        <w:t xml:space="preserve">Gender </w:t>
      </w:r>
      <w:proofErr w:type="spellStart"/>
      <w:r w:rsidR="005762FD" w:rsidRPr="006270C5">
        <w:rPr>
          <w:i/>
        </w:rPr>
        <w:t>Ombud</w:t>
      </w:r>
      <w:proofErr w:type="spellEnd"/>
      <w:r w:rsidR="005762FD" w:rsidRPr="006270C5">
        <w:rPr>
          <w:i/>
        </w:rPr>
        <w:t xml:space="preserve"> </w:t>
      </w:r>
      <w:proofErr w:type="spellStart"/>
      <w:r w:rsidR="005762FD" w:rsidRPr="006270C5">
        <w:rPr>
          <w:i/>
        </w:rPr>
        <w:t>Situationer</w:t>
      </w:r>
      <w:proofErr w:type="spellEnd"/>
      <w:r w:rsidR="005762FD" w:rsidRPr="006270C5">
        <w:rPr>
          <w:i/>
        </w:rPr>
        <w:t xml:space="preserve"> for 2nd and 3rd Quarter: Gendered impact of the Pandemic and the need for gendered and intersectional responses (March 15 to 30 September), </w:t>
      </w:r>
      <w:r w:rsidR="005762FD" w:rsidRPr="006270C5">
        <w:t>2021</w:t>
      </w:r>
      <w:r w:rsidR="00C32473">
        <w:rPr>
          <w:lang w:val="en-GB"/>
        </w:rPr>
        <w:t>.</w:t>
      </w:r>
    </w:p>
  </w:footnote>
  <w:footnote w:id="6">
    <w:p w14:paraId="5B75B05C" w14:textId="47AB1744" w:rsidR="005762FD" w:rsidRPr="006270C5" w:rsidRDefault="00D43519" w:rsidP="00D43519">
      <w:pPr>
        <w:pStyle w:val="FootnoteText"/>
      </w:pPr>
      <w:r>
        <w:rPr>
          <w:lang w:val="en-GB"/>
        </w:rPr>
        <w:tab/>
      </w:r>
      <w:r w:rsidR="005762FD" w:rsidRPr="004233AF">
        <w:rPr>
          <w:rStyle w:val="FootnoteReference"/>
          <w:szCs w:val="18"/>
        </w:rPr>
        <w:footnoteRef/>
      </w:r>
      <w:r>
        <w:rPr>
          <w:lang w:val="en-GB"/>
        </w:rPr>
        <w:tab/>
      </w:r>
      <w:r w:rsidR="005762FD" w:rsidRPr="006270C5">
        <w:t>The GBV Mapping of Legal Referral Mechanisms funded by Go Just was undertaken in 15 of the</w:t>
      </w:r>
      <w:r w:rsidR="00A85D15">
        <w:t xml:space="preserve"> </w:t>
      </w:r>
      <w:r w:rsidR="005762FD" w:rsidRPr="006270C5">
        <w:t xml:space="preserve">Commissions’ 16 regional offices, through focus group discussions with the government agencies, women’s organizations and community women the Mapping has gathered data from 30 cities/municipalities all over the country. The final report is still being consolidated by the CHR Gender Equality and Women’s Human Rights </w:t>
      </w:r>
      <w:proofErr w:type="spellStart"/>
      <w:r w:rsidR="005762FD" w:rsidRPr="006270C5">
        <w:t>Center</w:t>
      </w:r>
      <w:proofErr w:type="spellEnd"/>
      <w:r w:rsidR="005762FD" w:rsidRPr="006270C5">
        <w:t>.</w:t>
      </w:r>
      <w:r w:rsidR="002062D2">
        <w:t xml:space="preserve"> </w:t>
      </w:r>
      <w:r w:rsidR="005762FD" w:rsidRPr="006270C5">
        <w:t xml:space="preserve">Link to GBV observatory: </w:t>
      </w:r>
      <w:hyperlink r:id="rId1" w:history="1">
        <w:r w:rsidR="005762FD" w:rsidRPr="006270C5">
          <w:rPr>
            <w:rStyle w:val="Hyperlink"/>
          </w:rPr>
          <w:t>https://chr-observatories.uwazi.io/page/x4zyavfe0g</w:t>
        </w:r>
      </w:hyperlink>
      <w:r w:rsidR="00C32473">
        <w:rPr>
          <w:rStyle w:val="Hyperlink"/>
          <w:lang w:val="en-GB"/>
        </w:rPr>
        <w:t>.</w:t>
      </w:r>
      <w:r w:rsidR="005762FD" w:rsidRPr="006270C5">
        <w:t xml:space="preserve"> </w:t>
      </w:r>
    </w:p>
  </w:footnote>
  <w:footnote w:id="7">
    <w:p w14:paraId="4CFBB2A8" w14:textId="5548AFB8" w:rsidR="005762FD" w:rsidRPr="00891CCF" w:rsidRDefault="00D43519" w:rsidP="00D43519">
      <w:pPr>
        <w:pStyle w:val="FootnoteText"/>
        <w:rPr>
          <w:rStyle w:val="FootnoteTextChar"/>
        </w:rPr>
      </w:pPr>
      <w:r>
        <w:rPr>
          <w:rStyle w:val="FootnoteTextChar"/>
        </w:rPr>
        <w:tab/>
      </w:r>
      <w:r w:rsidR="005762FD" w:rsidRPr="004233AF">
        <w:rPr>
          <w:rStyle w:val="FootnoteReference"/>
          <w:szCs w:val="18"/>
        </w:rPr>
        <w:footnoteRef/>
      </w:r>
      <w:r>
        <w:rPr>
          <w:rStyle w:val="FootnoteTextChar"/>
        </w:rPr>
        <w:tab/>
      </w:r>
      <w:r w:rsidR="005762FD" w:rsidRPr="00891CCF">
        <w:rPr>
          <w:rStyle w:val="FootnoteTextChar"/>
        </w:rPr>
        <w:t>These include: Indigenous Women, Elderly Women, Women with</w:t>
      </w:r>
      <w:r w:rsidR="00E65E98">
        <w:rPr>
          <w:rStyle w:val="FootnoteTextChar"/>
        </w:rPr>
        <w:t xml:space="preserve"> Disability, Rural Women, Urban </w:t>
      </w:r>
      <w:r w:rsidR="005762FD" w:rsidRPr="00891CCF">
        <w:rPr>
          <w:rStyle w:val="FootnoteTextChar"/>
        </w:rPr>
        <w:t>Poor Women,</w:t>
      </w:r>
      <w:r w:rsidR="00A85D15">
        <w:rPr>
          <w:rStyle w:val="FootnoteTextChar"/>
        </w:rPr>
        <w:t xml:space="preserve"> </w:t>
      </w:r>
      <w:r w:rsidR="005762FD" w:rsidRPr="00891CCF">
        <w:rPr>
          <w:rStyle w:val="FootnoteTextChar"/>
        </w:rPr>
        <w:t>Women in context of armed conflict and</w:t>
      </w:r>
      <w:r w:rsidR="00C32473">
        <w:rPr>
          <w:rStyle w:val="FootnoteTextChar"/>
        </w:rPr>
        <w:t xml:space="preserve"> other humanitarian conditions.</w:t>
      </w:r>
    </w:p>
  </w:footnote>
  <w:footnote w:id="8">
    <w:p w14:paraId="6F01ACD2" w14:textId="2DFBAFB0" w:rsidR="005762FD" w:rsidRPr="00C32473" w:rsidRDefault="00D43519" w:rsidP="00D43519">
      <w:pPr>
        <w:pStyle w:val="FootnoteText"/>
        <w:rPr>
          <w:rStyle w:val="FootnoteTextChar"/>
          <w:lang w:val="en-GB"/>
        </w:rPr>
      </w:pPr>
      <w:r>
        <w:rPr>
          <w:rStyle w:val="FootnoteReference"/>
        </w:rPr>
        <w:tab/>
      </w:r>
      <w:r w:rsidR="005762FD" w:rsidRPr="00E65E98">
        <w:rPr>
          <w:rStyle w:val="FootnoteReference"/>
        </w:rPr>
        <w:footnoteRef/>
      </w:r>
      <w:r>
        <w:rPr>
          <w:rStyle w:val="FootnoteReference"/>
        </w:rPr>
        <w:tab/>
      </w:r>
      <w:r w:rsidR="005762FD" w:rsidRPr="00E65E98">
        <w:rPr>
          <w:rStyle w:val="FootnoteReference"/>
        </w:rPr>
        <w:t xml:space="preserve"> </w:t>
      </w:r>
      <w:r w:rsidR="005762FD" w:rsidRPr="00E65E98">
        <w:rPr>
          <w:rStyle w:val="FootnoteTextChar"/>
        </w:rPr>
        <w:t xml:space="preserve">Submission of Philippine Alliance of Women with Disabilities (PAWID) to the CEDAW Committee for the consideration of the review of the Philippines, </w:t>
      </w:r>
      <w:hyperlink r:id="rId2">
        <w:r w:rsidR="005762FD" w:rsidRPr="00E65E98">
          <w:rPr>
            <w:rStyle w:val="FootnoteTextChar"/>
          </w:rPr>
          <w:t>http://tbinternet.ohchr.org/Treaties/CEDAW/Shared%20Documents/PHL/INT_CEDAW_NGO_PHL_24222_E.pdf</w:t>
        </w:r>
      </w:hyperlink>
      <w:r w:rsidR="005762FD" w:rsidRPr="00E65E98">
        <w:rPr>
          <w:rStyle w:val="FootnoteTextChar"/>
        </w:rPr>
        <w:t xml:space="preserve"> (last accessed: 28 December 2017.)</w:t>
      </w:r>
      <w:r w:rsidR="00C32473">
        <w:rPr>
          <w:rStyle w:val="FootnoteTextChar"/>
          <w:lang w:val="en-GB"/>
        </w:rPr>
        <w:t>.</w:t>
      </w:r>
    </w:p>
  </w:footnote>
  <w:footnote w:id="9">
    <w:p w14:paraId="2E4FF3AB" w14:textId="1EAE4349" w:rsidR="005762FD" w:rsidRPr="006270C5" w:rsidRDefault="000D1925" w:rsidP="000D1925">
      <w:pPr>
        <w:pStyle w:val="FootnoteText"/>
      </w:pPr>
      <w:r>
        <w:tab/>
      </w:r>
      <w:r w:rsidR="005762FD" w:rsidRPr="00E65E98">
        <w:rPr>
          <w:rStyle w:val="FootnoteReference"/>
          <w:szCs w:val="18"/>
        </w:rPr>
        <w:footnoteRef/>
      </w:r>
      <w:r>
        <w:tab/>
      </w:r>
      <w:r w:rsidR="005762FD" w:rsidRPr="006270C5">
        <w:t>DOH. Interim Guidelines on the Continuous Provision of Maternal Health Services during COVID-19 Pandemic. 28 May 2020.</w:t>
      </w:r>
    </w:p>
  </w:footnote>
  <w:footnote w:id="10">
    <w:p w14:paraId="4C43B8DE" w14:textId="21618256" w:rsidR="005762FD" w:rsidRPr="00C32473" w:rsidRDefault="000D1925" w:rsidP="000D1925">
      <w:pPr>
        <w:pStyle w:val="FootnoteText"/>
        <w:rPr>
          <w:lang w:val="en-GB"/>
        </w:rPr>
      </w:pPr>
      <w:r>
        <w:tab/>
      </w:r>
      <w:r w:rsidR="005762FD" w:rsidRPr="00E65E98">
        <w:rPr>
          <w:rStyle w:val="FootnoteReference"/>
          <w:szCs w:val="18"/>
        </w:rPr>
        <w:footnoteRef/>
      </w:r>
      <w:r>
        <w:tab/>
      </w:r>
      <w:r w:rsidR="005762FD" w:rsidRPr="006270C5">
        <w:t>Violence against women</w:t>
      </w:r>
      <w:r w:rsidR="00C32473">
        <w:rPr>
          <w:lang w:val="en-GB"/>
        </w:rPr>
        <w:t>.</w:t>
      </w:r>
    </w:p>
  </w:footnote>
  <w:footnote w:id="11">
    <w:p w14:paraId="5D17FD01" w14:textId="0DE45854" w:rsidR="005762FD" w:rsidRPr="00C32473" w:rsidRDefault="000D1925" w:rsidP="000D1925">
      <w:pPr>
        <w:pStyle w:val="FootnoteText"/>
        <w:rPr>
          <w:lang w:val="en-GB"/>
        </w:rPr>
      </w:pPr>
      <w:r>
        <w:tab/>
      </w:r>
      <w:r w:rsidR="005762FD" w:rsidRPr="00E65E98">
        <w:rPr>
          <w:rStyle w:val="FootnoteReference"/>
          <w:szCs w:val="18"/>
        </w:rPr>
        <w:footnoteRef/>
      </w:r>
      <w:r>
        <w:tab/>
      </w:r>
      <w:r w:rsidR="005762FD" w:rsidRPr="006270C5">
        <w:t>Supra note 2</w:t>
      </w:r>
      <w:r w:rsidR="00C32473">
        <w:rPr>
          <w:lang w:val="en-GB"/>
        </w:rPr>
        <w:t>.</w:t>
      </w:r>
    </w:p>
  </w:footnote>
  <w:footnote w:id="12">
    <w:p w14:paraId="7C51FFD4" w14:textId="386240EB" w:rsidR="005762FD" w:rsidRPr="006270C5" w:rsidRDefault="000D1925" w:rsidP="000D1925">
      <w:pPr>
        <w:pStyle w:val="FootnoteText"/>
      </w:pPr>
      <w:r>
        <w:tab/>
      </w:r>
      <w:r w:rsidR="005762FD" w:rsidRPr="00E65E98">
        <w:rPr>
          <w:rStyle w:val="FootnoteReference"/>
          <w:szCs w:val="18"/>
        </w:rPr>
        <w:footnoteRef/>
      </w:r>
      <w:r>
        <w:tab/>
      </w:r>
      <w:r w:rsidR="005762FD" w:rsidRPr="006270C5">
        <w:t>Id.</w:t>
      </w:r>
    </w:p>
  </w:footnote>
  <w:footnote w:id="13">
    <w:p w14:paraId="70D05A81" w14:textId="34AB970D" w:rsidR="005762FD" w:rsidRPr="006270C5" w:rsidRDefault="000D1925" w:rsidP="000D1925">
      <w:pPr>
        <w:pStyle w:val="FootnoteText"/>
      </w:pPr>
      <w:r>
        <w:tab/>
      </w:r>
      <w:r w:rsidR="005762FD" w:rsidRPr="00E65E98">
        <w:rPr>
          <w:rStyle w:val="FootnoteReference"/>
          <w:szCs w:val="18"/>
        </w:rPr>
        <w:footnoteRef/>
      </w:r>
      <w:r>
        <w:tab/>
      </w:r>
      <w:r w:rsidR="005762FD" w:rsidRPr="006270C5">
        <w:t>Id.</w:t>
      </w:r>
    </w:p>
  </w:footnote>
  <w:footnote w:id="14">
    <w:p w14:paraId="042CF5B0" w14:textId="74F648E3" w:rsidR="005762FD" w:rsidRPr="006270C5" w:rsidRDefault="00C619C2" w:rsidP="00C619C2">
      <w:pPr>
        <w:pStyle w:val="FootnoteText"/>
      </w:pPr>
      <w:r>
        <w:tab/>
      </w:r>
      <w:r w:rsidR="005762FD" w:rsidRPr="00E65E98">
        <w:rPr>
          <w:rStyle w:val="FootnoteReference"/>
          <w:szCs w:val="18"/>
        </w:rPr>
        <w:footnoteRef/>
      </w:r>
      <w:r>
        <w:tab/>
      </w:r>
      <w:r w:rsidR="005762FD" w:rsidRPr="006270C5">
        <w:t>Id.</w:t>
      </w:r>
    </w:p>
  </w:footnote>
  <w:footnote w:id="15">
    <w:p w14:paraId="4BDA06ED" w14:textId="519DD72C" w:rsidR="005762FD" w:rsidRPr="00E65E98" w:rsidRDefault="00C619C2" w:rsidP="00C619C2">
      <w:pPr>
        <w:pStyle w:val="FootnoteText"/>
        <w:rPr>
          <w:szCs w:val="18"/>
        </w:rPr>
      </w:pPr>
      <w:r>
        <w:rPr>
          <w:szCs w:val="18"/>
        </w:rPr>
        <w:tab/>
      </w:r>
      <w:r w:rsidR="005762FD" w:rsidRPr="00E65E98">
        <w:rPr>
          <w:rStyle w:val="FootnoteReference"/>
          <w:szCs w:val="18"/>
        </w:rPr>
        <w:footnoteRef/>
      </w:r>
      <w:r>
        <w:rPr>
          <w:szCs w:val="18"/>
        </w:rPr>
        <w:tab/>
      </w:r>
      <w:r w:rsidR="005762FD" w:rsidRPr="00E65E98">
        <w:rPr>
          <w:szCs w:val="18"/>
        </w:rPr>
        <w:t>Commission on Human Rights, Monitoring of Women With Disabilities’ Access to Services, 2021.</w:t>
      </w:r>
    </w:p>
  </w:footnote>
  <w:footnote w:id="16">
    <w:p w14:paraId="06488F76" w14:textId="0AEAC55E" w:rsidR="005762FD" w:rsidRPr="00E65E98" w:rsidRDefault="00C619C2" w:rsidP="00C619C2">
      <w:pPr>
        <w:pStyle w:val="FootnoteText"/>
        <w:rPr>
          <w:rStyle w:val="FootnoteReference"/>
          <w:szCs w:val="18"/>
        </w:rPr>
      </w:pPr>
      <w:r>
        <w:rPr>
          <w:szCs w:val="18"/>
        </w:rPr>
        <w:tab/>
      </w:r>
      <w:r w:rsidR="005762FD" w:rsidRPr="00E65E98">
        <w:rPr>
          <w:rStyle w:val="FootnoteReference"/>
          <w:szCs w:val="18"/>
        </w:rPr>
        <w:footnoteRef/>
      </w:r>
      <w:r>
        <w:rPr>
          <w:szCs w:val="18"/>
        </w:rPr>
        <w:tab/>
      </w:r>
      <w:r w:rsidR="005762FD" w:rsidRPr="00E65E98">
        <w:rPr>
          <w:szCs w:val="18"/>
        </w:rPr>
        <w:t>Supra note 2.</w:t>
      </w:r>
    </w:p>
  </w:footnote>
  <w:footnote w:id="17">
    <w:p w14:paraId="28B461C8" w14:textId="696F40F8" w:rsidR="005762FD" w:rsidRPr="00E65E98" w:rsidRDefault="00C619C2" w:rsidP="00C619C2">
      <w:pPr>
        <w:pStyle w:val="FootnoteText"/>
        <w:rPr>
          <w:szCs w:val="18"/>
        </w:rPr>
      </w:pPr>
      <w:r>
        <w:rPr>
          <w:szCs w:val="18"/>
        </w:rPr>
        <w:tab/>
      </w:r>
      <w:r w:rsidR="005762FD" w:rsidRPr="00E65E98">
        <w:rPr>
          <w:rStyle w:val="FootnoteReference"/>
          <w:szCs w:val="18"/>
        </w:rPr>
        <w:footnoteRef/>
      </w:r>
      <w:r>
        <w:rPr>
          <w:szCs w:val="18"/>
        </w:rPr>
        <w:tab/>
      </w:r>
      <w:r w:rsidR="005762FD" w:rsidRPr="00E65E98">
        <w:rPr>
          <w:szCs w:val="18"/>
        </w:rPr>
        <w:t>Id.</w:t>
      </w:r>
    </w:p>
  </w:footnote>
  <w:footnote w:id="18">
    <w:p w14:paraId="2B180D2D" w14:textId="5FB7C185" w:rsidR="005762FD" w:rsidRPr="006270C5" w:rsidRDefault="00CC1741" w:rsidP="00CC1741">
      <w:pPr>
        <w:pStyle w:val="FootnoteText"/>
      </w:pPr>
      <w:r>
        <w:tab/>
      </w:r>
      <w:r w:rsidR="005762FD" w:rsidRPr="006270C5">
        <w:rPr>
          <w:rStyle w:val="FootnoteReference"/>
          <w:sz w:val="16"/>
        </w:rPr>
        <w:footnoteRef/>
      </w:r>
      <w:r>
        <w:tab/>
      </w:r>
      <w:r w:rsidR="005762FD" w:rsidRPr="006270C5">
        <w:t>Id.</w:t>
      </w:r>
    </w:p>
  </w:footnote>
  <w:footnote w:id="19">
    <w:p w14:paraId="54BE30D1" w14:textId="0A6E309A" w:rsidR="005762FD" w:rsidRPr="006270C5" w:rsidRDefault="00CC1741" w:rsidP="00CC1741">
      <w:pPr>
        <w:pStyle w:val="FootnoteText"/>
      </w:pPr>
      <w:r>
        <w:tab/>
      </w:r>
      <w:r w:rsidR="005762FD" w:rsidRPr="006270C5">
        <w:rPr>
          <w:rStyle w:val="FootnoteReference"/>
          <w:sz w:val="16"/>
        </w:rPr>
        <w:footnoteRef/>
      </w:r>
      <w:r>
        <w:tab/>
      </w:r>
      <w:r w:rsidR="005762FD" w:rsidRPr="006270C5">
        <w:t>Id.</w:t>
      </w:r>
    </w:p>
  </w:footnote>
  <w:footnote w:id="20">
    <w:p w14:paraId="1F63A7FB" w14:textId="7806A34B" w:rsidR="005762FD" w:rsidRPr="006270C5" w:rsidRDefault="00CC1741" w:rsidP="00CC1741">
      <w:pPr>
        <w:pStyle w:val="FootnoteText"/>
      </w:pPr>
      <w:r>
        <w:tab/>
      </w:r>
      <w:r w:rsidR="005762FD" w:rsidRPr="006270C5">
        <w:rPr>
          <w:rStyle w:val="FootnoteReference"/>
          <w:sz w:val="16"/>
        </w:rPr>
        <w:footnoteRef/>
      </w:r>
      <w:r>
        <w:tab/>
      </w:r>
      <w:r w:rsidR="005762FD" w:rsidRPr="006270C5">
        <w:t xml:space="preserve">Id. </w:t>
      </w:r>
    </w:p>
  </w:footnote>
  <w:footnote w:id="21">
    <w:p w14:paraId="4D300ACB" w14:textId="1508F943" w:rsidR="005762FD" w:rsidRPr="006270C5" w:rsidRDefault="00CC1741" w:rsidP="00CC1741">
      <w:pPr>
        <w:pStyle w:val="FootnoteText"/>
      </w:pPr>
      <w:r>
        <w:tab/>
      </w:r>
      <w:r w:rsidR="005762FD" w:rsidRPr="006270C5">
        <w:rPr>
          <w:rStyle w:val="FootnoteReference"/>
          <w:sz w:val="16"/>
        </w:rPr>
        <w:footnoteRef/>
      </w:r>
      <w:r>
        <w:tab/>
      </w:r>
      <w:r w:rsidR="005762FD" w:rsidRPr="006270C5">
        <w:t xml:space="preserve">Department of Finance, We will rise as one brochure as of October 31, 2020, </w:t>
      </w:r>
      <w:r w:rsidR="005762FD" w:rsidRPr="006270C5">
        <w:rPr>
          <w:i/>
        </w:rPr>
        <w:t xml:space="preserve">available at </w:t>
      </w:r>
      <w:hyperlink r:id="rId3">
        <w:r w:rsidR="005762FD" w:rsidRPr="006270C5">
          <w:rPr>
            <w:color w:val="1155CC"/>
            <w:u w:val="single"/>
          </w:rPr>
          <w:t>https://www.dof.gov.ph/wp-content/uploads/2020/11/We-Will-Rise-As-One-brochure-as-of-Oct-30.pdf</w:t>
        </w:r>
      </w:hyperlink>
      <w:r w:rsidR="005762FD" w:rsidRPr="006270C5">
        <w:t xml:space="preserve">. </w:t>
      </w:r>
    </w:p>
  </w:footnote>
  <w:footnote w:id="22">
    <w:p w14:paraId="70F3777A" w14:textId="721F2050" w:rsidR="005762FD" w:rsidRPr="00CC1741" w:rsidRDefault="00CC1741" w:rsidP="00CC1741">
      <w:pPr>
        <w:pStyle w:val="FootnoteText"/>
      </w:pPr>
      <w:r>
        <w:rPr>
          <w:color w:val="000000"/>
        </w:rPr>
        <w:tab/>
      </w:r>
      <w:r w:rsidR="005762FD" w:rsidRPr="006270C5">
        <w:rPr>
          <w:rStyle w:val="FootnoteReference"/>
          <w:sz w:val="16"/>
        </w:rPr>
        <w:footnoteRef/>
      </w:r>
      <w:r>
        <w:rPr>
          <w:color w:val="000000"/>
        </w:rPr>
        <w:tab/>
      </w:r>
      <w:r w:rsidR="005762FD" w:rsidRPr="006270C5">
        <w:rPr>
          <w:color w:val="000000"/>
        </w:rPr>
        <w:t xml:space="preserve">Commission on Human Rights of the Philippines, Statement of the CHR Spokesperson, Atty. Jacqueline Ann de </w:t>
      </w:r>
      <w:proofErr w:type="spellStart"/>
      <w:r w:rsidR="005762FD" w:rsidRPr="006270C5">
        <w:rPr>
          <w:color w:val="000000"/>
        </w:rPr>
        <w:t>Guia</w:t>
      </w:r>
      <w:proofErr w:type="spellEnd"/>
      <w:r w:rsidR="005762FD" w:rsidRPr="006270C5">
        <w:rPr>
          <w:color w:val="000000"/>
        </w:rPr>
        <w:t>, on local government efforts to speed up vaccination</w:t>
      </w:r>
      <w:r w:rsidR="005762FD" w:rsidRPr="006270C5">
        <w:t xml:space="preserve">, 5 </w:t>
      </w:r>
      <w:proofErr w:type="spellStart"/>
      <w:r w:rsidR="005762FD" w:rsidRPr="006270C5">
        <w:t>jUne</w:t>
      </w:r>
      <w:proofErr w:type="spellEnd"/>
      <w:r w:rsidR="005762FD" w:rsidRPr="006270C5">
        <w:t xml:space="preserve"> 2021, </w:t>
      </w:r>
      <w:r w:rsidR="005762FD" w:rsidRPr="006270C5">
        <w:rPr>
          <w:i/>
        </w:rPr>
        <w:t xml:space="preserve">available at </w:t>
      </w:r>
      <w:hyperlink r:id="rId4">
        <w:r w:rsidR="005762FD" w:rsidRPr="006270C5">
          <w:rPr>
            <w:color w:val="1155CC"/>
            <w:u w:val="single"/>
          </w:rPr>
          <w:t>https://chr.gov.ph/statement-of-the-chr-spokesperson-atty-jacqueline-ann-de-guia-on-local-government-efforts-to-speed-up-vaccination/</w:t>
        </w:r>
      </w:hyperlink>
      <w:r w:rsidR="005762FD" w:rsidRPr="006270C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488D9" w14:textId="5DED14C4" w:rsidR="00DB7780" w:rsidRPr="002E7581" w:rsidRDefault="002E7581" w:rsidP="002E7581">
    <w:pPr>
      <w:pStyle w:val="Header"/>
    </w:pPr>
    <w:r w:rsidRPr="002E7581">
      <w:rPr>
        <w:lang w:val="fr-CH"/>
      </w:rPr>
      <w:t>A/HRC/47/NI/</w:t>
    </w:r>
    <w:r w:rsidR="005762FD">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93CC" w14:textId="6428B4C6" w:rsidR="00DB7780" w:rsidRPr="00277516" w:rsidRDefault="00445BC4" w:rsidP="00932EE4">
    <w:pPr>
      <w:pStyle w:val="Header"/>
      <w:jc w:val="right"/>
    </w:pPr>
    <w:r>
      <w:t>A/HRC/47/NI/</w:t>
    </w:r>
    <w:r w:rsidR="00E65E98">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368A0"/>
    <w:multiLevelType w:val="multilevel"/>
    <w:tmpl w:val="100844B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F334A0"/>
    <w:multiLevelType w:val="hybridMultilevel"/>
    <w:tmpl w:val="02B63CB8"/>
    <w:lvl w:ilvl="0" w:tplc="15F24824">
      <w:start w:val="2013"/>
      <w:numFmt w:val="bullet"/>
      <w:lvlText w:val="-"/>
      <w:lvlJc w:val="left"/>
      <w:pPr>
        <w:ind w:left="1494" w:hanging="360"/>
      </w:pPr>
      <w:rPr>
        <w:rFonts w:ascii="Calibri" w:eastAsia="Calibri" w:hAnsi="Calibri"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6"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F02F8"/>
    <w:multiLevelType w:val="hybridMultilevel"/>
    <w:tmpl w:val="0ADAAE56"/>
    <w:lvl w:ilvl="0" w:tplc="EE3E5700">
      <w:start w:val="21"/>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6FF0D5B"/>
    <w:multiLevelType w:val="hybridMultilevel"/>
    <w:tmpl w:val="C6E4C7C6"/>
    <w:lvl w:ilvl="0" w:tplc="040C0017">
      <w:start w:val="1"/>
      <w:numFmt w:val="lowerLetter"/>
      <w:lvlText w:val="%1)"/>
      <w:lvlJc w:val="left"/>
      <w:pPr>
        <w:ind w:left="720" w:hanging="360"/>
      </w:pPr>
    </w:lvl>
    <w:lvl w:ilvl="1" w:tplc="A972F2E6">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5C44CD"/>
    <w:multiLevelType w:val="hybridMultilevel"/>
    <w:tmpl w:val="4FE8D4F0"/>
    <w:lvl w:ilvl="0" w:tplc="8722CA06">
      <w:start w:val="1"/>
      <w:numFmt w:val="lowerLetter"/>
      <w:lvlText w:val="%1)"/>
      <w:lvlJc w:val="left"/>
      <w:pPr>
        <w:ind w:left="1800" w:hanging="360"/>
      </w:pPr>
      <w:rPr>
        <w:rFonts w:ascii="Times New Roman" w:eastAsia="Arial" w:hAnsi="Times New Roman" w:cs="Times New Roman"/>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1" w15:restartNumberingAfterBreak="0">
    <w:nsid w:val="49DA047A"/>
    <w:multiLevelType w:val="hybridMultilevel"/>
    <w:tmpl w:val="F26A81C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1863FD1"/>
    <w:multiLevelType w:val="hybridMultilevel"/>
    <w:tmpl w:val="FD5C6B5C"/>
    <w:lvl w:ilvl="0" w:tplc="A972F2E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06154"/>
    <w:multiLevelType w:val="hybridMultilevel"/>
    <w:tmpl w:val="7DC8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E1C6881"/>
    <w:multiLevelType w:val="hybridMultilevel"/>
    <w:tmpl w:val="D4D215BC"/>
    <w:lvl w:ilvl="0" w:tplc="A972F2E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24"/>
  </w:num>
  <w:num w:numId="4">
    <w:abstractNumId w:val="12"/>
  </w:num>
  <w:num w:numId="5">
    <w:abstractNumId w:val="10"/>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6"/>
  </w:num>
  <w:num w:numId="18">
    <w:abstractNumId w:val="15"/>
  </w:num>
  <w:num w:numId="19">
    <w:abstractNumId w:val="23"/>
  </w:num>
  <w:num w:numId="20">
    <w:abstractNumId w:val="18"/>
  </w:num>
  <w:num w:numId="21">
    <w:abstractNumId w:val="14"/>
  </w:num>
  <w:num w:numId="22">
    <w:abstractNumId w:val="19"/>
  </w:num>
  <w:num w:numId="23">
    <w:abstractNumId w:val="21"/>
  </w:num>
  <w:num w:numId="24">
    <w:abstractNumId w:val="20"/>
  </w:num>
  <w:num w:numId="25">
    <w:abstractNumId w:val="25"/>
  </w:num>
  <w:num w:numId="2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CH"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fr-CH"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FF"/>
    <w:rsid w:val="00000DD7"/>
    <w:rsid w:val="00001105"/>
    <w:rsid w:val="00007F7F"/>
    <w:rsid w:val="00011646"/>
    <w:rsid w:val="00014FF6"/>
    <w:rsid w:val="00015703"/>
    <w:rsid w:val="00022DB5"/>
    <w:rsid w:val="00022E13"/>
    <w:rsid w:val="00026D06"/>
    <w:rsid w:val="000319DA"/>
    <w:rsid w:val="000403D1"/>
    <w:rsid w:val="000449AA"/>
    <w:rsid w:val="00046FEF"/>
    <w:rsid w:val="000505A0"/>
    <w:rsid w:val="00050F6B"/>
    <w:rsid w:val="0006015A"/>
    <w:rsid w:val="00060DDC"/>
    <w:rsid w:val="000621EC"/>
    <w:rsid w:val="00067CB0"/>
    <w:rsid w:val="00067E7B"/>
    <w:rsid w:val="00072C8C"/>
    <w:rsid w:val="00073E70"/>
    <w:rsid w:val="00074278"/>
    <w:rsid w:val="000760BD"/>
    <w:rsid w:val="00076221"/>
    <w:rsid w:val="00082EC7"/>
    <w:rsid w:val="000830A7"/>
    <w:rsid w:val="000833B9"/>
    <w:rsid w:val="00083D59"/>
    <w:rsid w:val="000861C7"/>
    <w:rsid w:val="000876EB"/>
    <w:rsid w:val="000902C4"/>
    <w:rsid w:val="00091419"/>
    <w:rsid w:val="000921F0"/>
    <w:rsid w:val="000931C0"/>
    <w:rsid w:val="00095E72"/>
    <w:rsid w:val="00096B1D"/>
    <w:rsid w:val="000A01AF"/>
    <w:rsid w:val="000A0EA1"/>
    <w:rsid w:val="000A4A0A"/>
    <w:rsid w:val="000A7F85"/>
    <w:rsid w:val="000B175B"/>
    <w:rsid w:val="000B3A0F"/>
    <w:rsid w:val="000B46D3"/>
    <w:rsid w:val="000B4A3B"/>
    <w:rsid w:val="000B525A"/>
    <w:rsid w:val="000C2B19"/>
    <w:rsid w:val="000C4069"/>
    <w:rsid w:val="000C78D8"/>
    <w:rsid w:val="000D0E64"/>
    <w:rsid w:val="000D1851"/>
    <w:rsid w:val="000D1925"/>
    <w:rsid w:val="000D2454"/>
    <w:rsid w:val="000D6622"/>
    <w:rsid w:val="000E0415"/>
    <w:rsid w:val="000E1AFA"/>
    <w:rsid w:val="000E4B01"/>
    <w:rsid w:val="000F06A8"/>
    <w:rsid w:val="000F1CD9"/>
    <w:rsid w:val="000F2657"/>
    <w:rsid w:val="000F296B"/>
    <w:rsid w:val="00110FBF"/>
    <w:rsid w:val="00112A7E"/>
    <w:rsid w:val="00114C5F"/>
    <w:rsid w:val="00114EB4"/>
    <w:rsid w:val="00117B8E"/>
    <w:rsid w:val="001332FD"/>
    <w:rsid w:val="00134C6D"/>
    <w:rsid w:val="00135C4B"/>
    <w:rsid w:val="00137363"/>
    <w:rsid w:val="00143583"/>
    <w:rsid w:val="001440C3"/>
    <w:rsid w:val="00146342"/>
    <w:rsid w:val="00146D32"/>
    <w:rsid w:val="001509BA"/>
    <w:rsid w:val="00151674"/>
    <w:rsid w:val="00152EEF"/>
    <w:rsid w:val="00153819"/>
    <w:rsid w:val="001538C5"/>
    <w:rsid w:val="00154233"/>
    <w:rsid w:val="00161882"/>
    <w:rsid w:val="00162D36"/>
    <w:rsid w:val="00163B9E"/>
    <w:rsid w:val="001652B9"/>
    <w:rsid w:val="00167363"/>
    <w:rsid w:val="00167549"/>
    <w:rsid w:val="001677DB"/>
    <w:rsid w:val="00167ED7"/>
    <w:rsid w:val="001801D3"/>
    <w:rsid w:val="00182C5F"/>
    <w:rsid w:val="00182EF0"/>
    <w:rsid w:val="00183253"/>
    <w:rsid w:val="00187C60"/>
    <w:rsid w:val="00190164"/>
    <w:rsid w:val="00193D0C"/>
    <w:rsid w:val="00194CCF"/>
    <w:rsid w:val="00196846"/>
    <w:rsid w:val="00197474"/>
    <w:rsid w:val="001A3DF5"/>
    <w:rsid w:val="001A420A"/>
    <w:rsid w:val="001B0907"/>
    <w:rsid w:val="001B140F"/>
    <w:rsid w:val="001B2F89"/>
    <w:rsid w:val="001B4B04"/>
    <w:rsid w:val="001B53AE"/>
    <w:rsid w:val="001B553A"/>
    <w:rsid w:val="001B7095"/>
    <w:rsid w:val="001C07F5"/>
    <w:rsid w:val="001C129E"/>
    <w:rsid w:val="001C6663"/>
    <w:rsid w:val="001C7895"/>
    <w:rsid w:val="001C7E90"/>
    <w:rsid w:val="001D22AE"/>
    <w:rsid w:val="001D26DF"/>
    <w:rsid w:val="001D35B3"/>
    <w:rsid w:val="001D72AB"/>
    <w:rsid w:val="001E2790"/>
    <w:rsid w:val="001E27C2"/>
    <w:rsid w:val="001E397F"/>
    <w:rsid w:val="001E47E4"/>
    <w:rsid w:val="001E66D4"/>
    <w:rsid w:val="001E714C"/>
    <w:rsid w:val="001F20EA"/>
    <w:rsid w:val="001F2A7B"/>
    <w:rsid w:val="001F4237"/>
    <w:rsid w:val="001F4AFA"/>
    <w:rsid w:val="001F5CB0"/>
    <w:rsid w:val="00200331"/>
    <w:rsid w:val="00204D31"/>
    <w:rsid w:val="002062D2"/>
    <w:rsid w:val="002108A2"/>
    <w:rsid w:val="00211E0B"/>
    <w:rsid w:val="00211E72"/>
    <w:rsid w:val="00214047"/>
    <w:rsid w:val="00214B3D"/>
    <w:rsid w:val="00217ECD"/>
    <w:rsid w:val="002209B6"/>
    <w:rsid w:val="0022130F"/>
    <w:rsid w:val="00221416"/>
    <w:rsid w:val="00221DD9"/>
    <w:rsid w:val="002235F2"/>
    <w:rsid w:val="00225A51"/>
    <w:rsid w:val="0023016E"/>
    <w:rsid w:val="0023080F"/>
    <w:rsid w:val="0023422F"/>
    <w:rsid w:val="00237785"/>
    <w:rsid w:val="002407C5"/>
    <w:rsid w:val="00241055"/>
    <w:rsid w:val="0024109D"/>
    <w:rsid w:val="002410DD"/>
    <w:rsid w:val="00241466"/>
    <w:rsid w:val="0024383C"/>
    <w:rsid w:val="00244442"/>
    <w:rsid w:val="00245873"/>
    <w:rsid w:val="00253D58"/>
    <w:rsid w:val="00255FD4"/>
    <w:rsid w:val="002560E7"/>
    <w:rsid w:val="00263607"/>
    <w:rsid w:val="00264CCE"/>
    <w:rsid w:val="0027725F"/>
    <w:rsid w:val="00277516"/>
    <w:rsid w:val="00280049"/>
    <w:rsid w:val="00281D86"/>
    <w:rsid w:val="0028579B"/>
    <w:rsid w:val="00290821"/>
    <w:rsid w:val="00290BDA"/>
    <w:rsid w:val="0029114C"/>
    <w:rsid w:val="0029174F"/>
    <w:rsid w:val="00295528"/>
    <w:rsid w:val="00297625"/>
    <w:rsid w:val="002A17C8"/>
    <w:rsid w:val="002A3B97"/>
    <w:rsid w:val="002A612A"/>
    <w:rsid w:val="002B2097"/>
    <w:rsid w:val="002B3CFA"/>
    <w:rsid w:val="002B6D31"/>
    <w:rsid w:val="002C1020"/>
    <w:rsid w:val="002C1398"/>
    <w:rsid w:val="002C21F0"/>
    <w:rsid w:val="002C2A40"/>
    <w:rsid w:val="002D0385"/>
    <w:rsid w:val="002D110E"/>
    <w:rsid w:val="002D52AB"/>
    <w:rsid w:val="002D5977"/>
    <w:rsid w:val="002D6816"/>
    <w:rsid w:val="002E29A9"/>
    <w:rsid w:val="002E45ED"/>
    <w:rsid w:val="002E7496"/>
    <w:rsid w:val="002E7581"/>
    <w:rsid w:val="002F1399"/>
    <w:rsid w:val="002F2A0A"/>
    <w:rsid w:val="002F7004"/>
    <w:rsid w:val="002F72DC"/>
    <w:rsid w:val="002F73AD"/>
    <w:rsid w:val="002F77DD"/>
    <w:rsid w:val="00310569"/>
    <w:rsid w:val="003107FA"/>
    <w:rsid w:val="00311A96"/>
    <w:rsid w:val="00312BF0"/>
    <w:rsid w:val="00315BA3"/>
    <w:rsid w:val="003175DE"/>
    <w:rsid w:val="00317768"/>
    <w:rsid w:val="003210DE"/>
    <w:rsid w:val="003229D8"/>
    <w:rsid w:val="003231BF"/>
    <w:rsid w:val="003236F0"/>
    <w:rsid w:val="0032609B"/>
    <w:rsid w:val="0032641D"/>
    <w:rsid w:val="00330C39"/>
    <w:rsid w:val="003314D1"/>
    <w:rsid w:val="00331E90"/>
    <w:rsid w:val="00335A2F"/>
    <w:rsid w:val="00341937"/>
    <w:rsid w:val="003438C8"/>
    <w:rsid w:val="00344DE2"/>
    <w:rsid w:val="00350B64"/>
    <w:rsid w:val="003528C0"/>
    <w:rsid w:val="00360009"/>
    <w:rsid w:val="003600FE"/>
    <w:rsid w:val="0036115C"/>
    <w:rsid w:val="0036306A"/>
    <w:rsid w:val="00363F1B"/>
    <w:rsid w:val="0036470B"/>
    <w:rsid w:val="00377485"/>
    <w:rsid w:val="00382894"/>
    <w:rsid w:val="0038414D"/>
    <w:rsid w:val="00384698"/>
    <w:rsid w:val="00385275"/>
    <w:rsid w:val="00386994"/>
    <w:rsid w:val="0039277A"/>
    <w:rsid w:val="00393CD7"/>
    <w:rsid w:val="003961A5"/>
    <w:rsid w:val="003972E0"/>
    <w:rsid w:val="003975ED"/>
    <w:rsid w:val="003A0FB8"/>
    <w:rsid w:val="003A0FF9"/>
    <w:rsid w:val="003A2B9E"/>
    <w:rsid w:val="003A44FB"/>
    <w:rsid w:val="003A7B15"/>
    <w:rsid w:val="003A7B57"/>
    <w:rsid w:val="003B1BFA"/>
    <w:rsid w:val="003B3A15"/>
    <w:rsid w:val="003B4AFC"/>
    <w:rsid w:val="003B5373"/>
    <w:rsid w:val="003C108E"/>
    <w:rsid w:val="003C2CC4"/>
    <w:rsid w:val="003C3651"/>
    <w:rsid w:val="003C5E9C"/>
    <w:rsid w:val="003D4B23"/>
    <w:rsid w:val="003E1E2E"/>
    <w:rsid w:val="003E5D02"/>
    <w:rsid w:val="003E5F3A"/>
    <w:rsid w:val="003F0164"/>
    <w:rsid w:val="003F0D13"/>
    <w:rsid w:val="003F7191"/>
    <w:rsid w:val="00400357"/>
    <w:rsid w:val="00403799"/>
    <w:rsid w:val="0040549A"/>
    <w:rsid w:val="0040635C"/>
    <w:rsid w:val="00407969"/>
    <w:rsid w:val="00415022"/>
    <w:rsid w:val="0042170F"/>
    <w:rsid w:val="004233AF"/>
    <w:rsid w:val="00424C80"/>
    <w:rsid w:val="0042689E"/>
    <w:rsid w:val="004278A0"/>
    <w:rsid w:val="00430549"/>
    <w:rsid w:val="004325CB"/>
    <w:rsid w:val="00433D6E"/>
    <w:rsid w:val="0043484B"/>
    <w:rsid w:val="004357E1"/>
    <w:rsid w:val="0043658A"/>
    <w:rsid w:val="004410A6"/>
    <w:rsid w:val="00443121"/>
    <w:rsid w:val="004443E7"/>
    <w:rsid w:val="0044503A"/>
    <w:rsid w:val="00445BC4"/>
    <w:rsid w:val="004462E8"/>
    <w:rsid w:val="00446DE4"/>
    <w:rsid w:val="00447761"/>
    <w:rsid w:val="00451EC3"/>
    <w:rsid w:val="0045546D"/>
    <w:rsid w:val="00462460"/>
    <w:rsid w:val="00462E80"/>
    <w:rsid w:val="004671C1"/>
    <w:rsid w:val="004678CD"/>
    <w:rsid w:val="00471BA2"/>
    <w:rsid w:val="00471F2A"/>
    <w:rsid w:val="004721B1"/>
    <w:rsid w:val="00477F2B"/>
    <w:rsid w:val="00477FAC"/>
    <w:rsid w:val="004859EC"/>
    <w:rsid w:val="00492531"/>
    <w:rsid w:val="004958F3"/>
    <w:rsid w:val="00495DB5"/>
    <w:rsid w:val="004966E0"/>
    <w:rsid w:val="00496A15"/>
    <w:rsid w:val="00497C2D"/>
    <w:rsid w:val="004A28F9"/>
    <w:rsid w:val="004A3AB7"/>
    <w:rsid w:val="004A430A"/>
    <w:rsid w:val="004A4ED4"/>
    <w:rsid w:val="004A7C78"/>
    <w:rsid w:val="004B0533"/>
    <w:rsid w:val="004B125A"/>
    <w:rsid w:val="004B514D"/>
    <w:rsid w:val="004B75D2"/>
    <w:rsid w:val="004C1747"/>
    <w:rsid w:val="004C40DA"/>
    <w:rsid w:val="004C4E5B"/>
    <w:rsid w:val="004D1140"/>
    <w:rsid w:val="004D1D76"/>
    <w:rsid w:val="004D41A1"/>
    <w:rsid w:val="004D4A54"/>
    <w:rsid w:val="004D7B9F"/>
    <w:rsid w:val="004D7EA2"/>
    <w:rsid w:val="004E323C"/>
    <w:rsid w:val="004E36E3"/>
    <w:rsid w:val="004E569E"/>
    <w:rsid w:val="004E7B21"/>
    <w:rsid w:val="004F1F6E"/>
    <w:rsid w:val="004F51A7"/>
    <w:rsid w:val="004F55ED"/>
    <w:rsid w:val="004F68B4"/>
    <w:rsid w:val="004F6FCD"/>
    <w:rsid w:val="004F7E0E"/>
    <w:rsid w:val="00504C23"/>
    <w:rsid w:val="00511866"/>
    <w:rsid w:val="0051456E"/>
    <w:rsid w:val="005176CD"/>
    <w:rsid w:val="005216A8"/>
    <w:rsid w:val="0052176C"/>
    <w:rsid w:val="005218B8"/>
    <w:rsid w:val="005219F6"/>
    <w:rsid w:val="005261E5"/>
    <w:rsid w:val="00526947"/>
    <w:rsid w:val="00527C35"/>
    <w:rsid w:val="0053118D"/>
    <w:rsid w:val="00533F36"/>
    <w:rsid w:val="005346FE"/>
    <w:rsid w:val="005420F2"/>
    <w:rsid w:val="00542574"/>
    <w:rsid w:val="005436AB"/>
    <w:rsid w:val="00543F43"/>
    <w:rsid w:val="00544B11"/>
    <w:rsid w:val="005463CE"/>
    <w:rsid w:val="00546DBF"/>
    <w:rsid w:val="00547674"/>
    <w:rsid w:val="0055026E"/>
    <w:rsid w:val="0055361F"/>
    <w:rsid w:val="00553D76"/>
    <w:rsid w:val="005543EB"/>
    <w:rsid w:val="005552B5"/>
    <w:rsid w:val="0056044D"/>
    <w:rsid w:val="0056117B"/>
    <w:rsid w:val="005700DF"/>
    <w:rsid w:val="00571365"/>
    <w:rsid w:val="00571F96"/>
    <w:rsid w:val="00575F9A"/>
    <w:rsid w:val="005762FD"/>
    <w:rsid w:val="005765FF"/>
    <w:rsid w:val="005774C1"/>
    <w:rsid w:val="00577915"/>
    <w:rsid w:val="0058618A"/>
    <w:rsid w:val="005868E2"/>
    <w:rsid w:val="00586D91"/>
    <w:rsid w:val="00587B49"/>
    <w:rsid w:val="0059416D"/>
    <w:rsid w:val="00595FB5"/>
    <w:rsid w:val="00597585"/>
    <w:rsid w:val="00597619"/>
    <w:rsid w:val="005A0447"/>
    <w:rsid w:val="005A40C6"/>
    <w:rsid w:val="005B0E57"/>
    <w:rsid w:val="005B2575"/>
    <w:rsid w:val="005B39C9"/>
    <w:rsid w:val="005B3DB3"/>
    <w:rsid w:val="005B424B"/>
    <w:rsid w:val="005B6E48"/>
    <w:rsid w:val="005B7C5C"/>
    <w:rsid w:val="005B7EB9"/>
    <w:rsid w:val="005C0AD5"/>
    <w:rsid w:val="005C21E0"/>
    <w:rsid w:val="005D2285"/>
    <w:rsid w:val="005D259F"/>
    <w:rsid w:val="005E02F2"/>
    <w:rsid w:val="005E14D2"/>
    <w:rsid w:val="005E1712"/>
    <w:rsid w:val="005E1A96"/>
    <w:rsid w:val="005E75E2"/>
    <w:rsid w:val="005F18EF"/>
    <w:rsid w:val="005F20BE"/>
    <w:rsid w:val="005F6BE5"/>
    <w:rsid w:val="006042F8"/>
    <w:rsid w:val="00610E1D"/>
    <w:rsid w:val="00611FC4"/>
    <w:rsid w:val="006176FB"/>
    <w:rsid w:val="00617F1C"/>
    <w:rsid w:val="0062136D"/>
    <w:rsid w:val="00623094"/>
    <w:rsid w:val="00623FE5"/>
    <w:rsid w:val="006243BB"/>
    <w:rsid w:val="00624547"/>
    <w:rsid w:val="006265E1"/>
    <w:rsid w:val="00626A92"/>
    <w:rsid w:val="00631D81"/>
    <w:rsid w:val="00632965"/>
    <w:rsid w:val="006334CE"/>
    <w:rsid w:val="00635C93"/>
    <w:rsid w:val="00635E74"/>
    <w:rsid w:val="006373BB"/>
    <w:rsid w:val="00637AB8"/>
    <w:rsid w:val="0064091B"/>
    <w:rsid w:val="00640B26"/>
    <w:rsid w:val="00640E7C"/>
    <w:rsid w:val="00641DE9"/>
    <w:rsid w:val="00641EF8"/>
    <w:rsid w:val="00642669"/>
    <w:rsid w:val="0064479E"/>
    <w:rsid w:val="00645215"/>
    <w:rsid w:val="006471C3"/>
    <w:rsid w:val="00647F1B"/>
    <w:rsid w:val="00651B99"/>
    <w:rsid w:val="00654F50"/>
    <w:rsid w:val="00662858"/>
    <w:rsid w:val="0066511E"/>
    <w:rsid w:val="00665208"/>
    <w:rsid w:val="00670741"/>
    <w:rsid w:val="0067625E"/>
    <w:rsid w:val="00681F1F"/>
    <w:rsid w:val="00685978"/>
    <w:rsid w:val="00686DDE"/>
    <w:rsid w:val="00693DB2"/>
    <w:rsid w:val="00693F51"/>
    <w:rsid w:val="00696BD6"/>
    <w:rsid w:val="006A0B23"/>
    <w:rsid w:val="006A2A3F"/>
    <w:rsid w:val="006A4BC6"/>
    <w:rsid w:val="006A6B9D"/>
    <w:rsid w:val="006A7392"/>
    <w:rsid w:val="006B1EDE"/>
    <w:rsid w:val="006B2653"/>
    <w:rsid w:val="006B2DAB"/>
    <w:rsid w:val="006B3189"/>
    <w:rsid w:val="006B602D"/>
    <w:rsid w:val="006B71C2"/>
    <w:rsid w:val="006B7D65"/>
    <w:rsid w:val="006C434D"/>
    <w:rsid w:val="006C4B91"/>
    <w:rsid w:val="006C57A2"/>
    <w:rsid w:val="006C5C3F"/>
    <w:rsid w:val="006D6DA6"/>
    <w:rsid w:val="006E30B5"/>
    <w:rsid w:val="006E3206"/>
    <w:rsid w:val="006E4D0E"/>
    <w:rsid w:val="006E564B"/>
    <w:rsid w:val="006E5D60"/>
    <w:rsid w:val="006F13F0"/>
    <w:rsid w:val="006F1D97"/>
    <w:rsid w:val="006F43A4"/>
    <w:rsid w:val="006F5035"/>
    <w:rsid w:val="006F5091"/>
    <w:rsid w:val="006F6C72"/>
    <w:rsid w:val="007065EB"/>
    <w:rsid w:val="00710028"/>
    <w:rsid w:val="00710DC4"/>
    <w:rsid w:val="00716402"/>
    <w:rsid w:val="00716A20"/>
    <w:rsid w:val="00720183"/>
    <w:rsid w:val="0072256E"/>
    <w:rsid w:val="007239B9"/>
    <w:rsid w:val="00725872"/>
    <w:rsid w:val="007258C5"/>
    <w:rsid w:val="0072632A"/>
    <w:rsid w:val="00726602"/>
    <w:rsid w:val="00736A85"/>
    <w:rsid w:val="0074096B"/>
    <w:rsid w:val="0074200B"/>
    <w:rsid w:val="007429E4"/>
    <w:rsid w:val="00743256"/>
    <w:rsid w:val="007442CD"/>
    <w:rsid w:val="0075305D"/>
    <w:rsid w:val="0075362C"/>
    <w:rsid w:val="007538A9"/>
    <w:rsid w:val="00754088"/>
    <w:rsid w:val="007565F4"/>
    <w:rsid w:val="00761B52"/>
    <w:rsid w:val="00762671"/>
    <w:rsid w:val="007631A2"/>
    <w:rsid w:val="00764377"/>
    <w:rsid w:val="007661EF"/>
    <w:rsid w:val="00766EE3"/>
    <w:rsid w:val="00766FF0"/>
    <w:rsid w:val="007722EA"/>
    <w:rsid w:val="00782FB0"/>
    <w:rsid w:val="0078593D"/>
    <w:rsid w:val="00786613"/>
    <w:rsid w:val="00793ED0"/>
    <w:rsid w:val="00794203"/>
    <w:rsid w:val="007952DD"/>
    <w:rsid w:val="00797118"/>
    <w:rsid w:val="007A2D4B"/>
    <w:rsid w:val="007A6296"/>
    <w:rsid w:val="007A6D9A"/>
    <w:rsid w:val="007B0611"/>
    <w:rsid w:val="007B0C2C"/>
    <w:rsid w:val="007B0F5A"/>
    <w:rsid w:val="007B1D3F"/>
    <w:rsid w:val="007B6BA5"/>
    <w:rsid w:val="007B6EEB"/>
    <w:rsid w:val="007C1B62"/>
    <w:rsid w:val="007C2646"/>
    <w:rsid w:val="007C3390"/>
    <w:rsid w:val="007C3A26"/>
    <w:rsid w:val="007C4F4B"/>
    <w:rsid w:val="007D2CDC"/>
    <w:rsid w:val="007D402E"/>
    <w:rsid w:val="007D4401"/>
    <w:rsid w:val="007D5327"/>
    <w:rsid w:val="007E01B4"/>
    <w:rsid w:val="007E04CE"/>
    <w:rsid w:val="007E570A"/>
    <w:rsid w:val="007F0847"/>
    <w:rsid w:val="007F0FA1"/>
    <w:rsid w:val="007F1819"/>
    <w:rsid w:val="007F4725"/>
    <w:rsid w:val="007F5BC3"/>
    <w:rsid w:val="007F6611"/>
    <w:rsid w:val="00800884"/>
    <w:rsid w:val="00800D54"/>
    <w:rsid w:val="008018C7"/>
    <w:rsid w:val="008023BF"/>
    <w:rsid w:val="00802847"/>
    <w:rsid w:val="0080532B"/>
    <w:rsid w:val="00811C96"/>
    <w:rsid w:val="008155C3"/>
    <w:rsid w:val="00816286"/>
    <w:rsid w:val="00816B5C"/>
    <w:rsid w:val="008175E9"/>
    <w:rsid w:val="00821A98"/>
    <w:rsid w:val="0082243E"/>
    <w:rsid w:val="008242D7"/>
    <w:rsid w:val="008356C6"/>
    <w:rsid w:val="0083789F"/>
    <w:rsid w:val="00844A8F"/>
    <w:rsid w:val="0085617C"/>
    <w:rsid w:val="00856CD2"/>
    <w:rsid w:val="00860449"/>
    <w:rsid w:val="00861BC6"/>
    <w:rsid w:val="008628F2"/>
    <w:rsid w:val="008672A0"/>
    <w:rsid w:val="008703A7"/>
    <w:rsid w:val="0087083A"/>
    <w:rsid w:val="00870D79"/>
    <w:rsid w:val="00871FD5"/>
    <w:rsid w:val="0088134E"/>
    <w:rsid w:val="00881B3A"/>
    <w:rsid w:val="00881C51"/>
    <w:rsid w:val="008836BD"/>
    <w:rsid w:val="00885343"/>
    <w:rsid w:val="00887383"/>
    <w:rsid w:val="00891CCF"/>
    <w:rsid w:val="0089297B"/>
    <w:rsid w:val="008931FA"/>
    <w:rsid w:val="00893766"/>
    <w:rsid w:val="0089449E"/>
    <w:rsid w:val="00894C85"/>
    <w:rsid w:val="00896303"/>
    <w:rsid w:val="00896535"/>
    <w:rsid w:val="008979B1"/>
    <w:rsid w:val="008A1FCC"/>
    <w:rsid w:val="008A5C04"/>
    <w:rsid w:val="008A655C"/>
    <w:rsid w:val="008A6B25"/>
    <w:rsid w:val="008A6C4F"/>
    <w:rsid w:val="008B0207"/>
    <w:rsid w:val="008B67D6"/>
    <w:rsid w:val="008B7112"/>
    <w:rsid w:val="008C1E4D"/>
    <w:rsid w:val="008C5D8C"/>
    <w:rsid w:val="008D405E"/>
    <w:rsid w:val="008D517F"/>
    <w:rsid w:val="008D645D"/>
    <w:rsid w:val="008D7E2D"/>
    <w:rsid w:val="008E0D71"/>
    <w:rsid w:val="008E0E46"/>
    <w:rsid w:val="008E1985"/>
    <w:rsid w:val="008E29A1"/>
    <w:rsid w:val="008E6388"/>
    <w:rsid w:val="008F077C"/>
    <w:rsid w:val="008F084F"/>
    <w:rsid w:val="008F1417"/>
    <w:rsid w:val="008F1C28"/>
    <w:rsid w:val="008F3A4F"/>
    <w:rsid w:val="008F5C24"/>
    <w:rsid w:val="008F5E90"/>
    <w:rsid w:val="008F61A4"/>
    <w:rsid w:val="008F68C2"/>
    <w:rsid w:val="008F6E1F"/>
    <w:rsid w:val="00900F97"/>
    <w:rsid w:val="00902D9F"/>
    <w:rsid w:val="00902F30"/>
    <w:rsid w:val="0090452C"/>
    <w:rsid w:val="00905254"/>
    <w:rsid w:val="00906465"/>
    <w:rsid w:val="00907C3F"/>
    <w:rsid w:val="00914788"/>
    <w:rsid w:val="00922250"/>
    <w:rsid w:val="00925B68"/>
    <w:rsid w:val="00930F29"/>
    <w:rsid w:val="00932EE4"/>
    <w:rsid w:val="00933C9F"/>
    <w:rsid w:val="00933DFC"/>
    <w:rsid w:val="0093707B"/>
    <w:rsid w:val="009400EB"/>
    <w:rsid w:val="009408A9"/>
    <w:rsid w:val="009427E3"/>
    <w:rsid w:val="00944785"/>
    <w:rsid w:val="00946641"/>
    <w:rsid w:val="00947031"/>
    <w:rsid w:val="009510A3"/>
    <w:rsid w:val="0095210D"/>
    <w:rsid w:val="00955482"/>
    <w:rsid w:val="00956D9B"/>
    <w:rsid w:val="009607E9"/>
    <w:rsid w:val="0096130E"/>
    <w:rsid w:val="009624A6"/>
    <w:rsid w:val="00963CBA"/>
    <w:rsid w:val="00964CB7"/>
    <w:rsid w:val="009654B7"/>
    <w:rsid w:val="00972306"/>
    <w:rsid w:val="00977C85"/>
    <w:rsid w:val="009819B6"/>
    <w:rsid w:val="0098328B"/>
    <w:rsid w:val="00991261"/>
    <w:rsid w:val="00993A59"/>
    <w:rsid w:val="009952BA"/>
    <w:rsid w:val="00996D83"/>
    <w:rsid w:val="009A0B83"/>
    <w:rsid w:val="009A1438"/>
    <w:rsid w:val="009A238D"/>
    <w:rsid w:val="009A395A"/>
    <w:rsid w:val="009A7FA8"/>
    <w:rsid w:val="009B0A34"/>
    <w:rsid w:val="009B3800"/>
    <w:rsid w:val="009B6132"/>
    <w:rsid w:val="009B638F"/>
    <w:rsid w:val="009B6742"/>
    <w:rsid w:val="009B7E8D"/>
    <w:rsid w:val="009C17F6"/>
    <w:rsid w:val="009C4CA0"/>
    <w:rsid w:val="009C4CE1"/>
    <w:rsid w:val="009C56F5"/>
    <w:rsid w:val="009D15F4"/>
    <w:rsid w:val="009D22AC"/>
    <w:rsid w:val="009D3715"/>
    <w:rsid w:val="009D50DB"/>
    <w:rsid w:val="009E0CBA"/>
    <w:rsid w:val="009E0FE9"/>
    <w:rsid w:val="009E170D"/>
    <w:rsid w:val="009E17C4"/>
    <w:rsid w:val="009E1C4E"/>
    <w:rsid w:val="009E1FDA"/>
    <w:rsid w:val="009E2C20"/>
    <w:rsid w:val="009E49F2"/>
    <w:rsid w:val="009E4BA7"/>
    <w:rsid w:val="009E5980"/>
    <w:rsid w:val="009F1D42"/>
    <w:rsid w:val="00A04EB3"/>
    <w:rsid w:val="00A058A5"/>
    <w:rsid w:val="00A05CE0"/>
    <w:rsid w:val="00A05E0B"/>
    <w:rsid w:val="00A1103E"/>
    <w:rsid w:val="00A11B42"/>
    <w:rsid w:val="00A13379"/>
    <w:rsid w:val="00A1427D"/>
    <w:rsid w:val="00A14876"/>
    <w:rsid w:val="00A1636A"/>
    <w:rsid w:val="00A16D71"/>
    <w:rsid w:val="00A17DF2"/>
    <w:rsid w:val="00A200AD"/>
    <w:rsid w:val="00A20C72"/>
    <w:rsid w:val="00A21272"/>
    <w:rsid w:val="00A22364"/>
    <w:rsid w:val="00A23EE2"/>
    <w:rsid w:val="00A2586F"/>
    <w:rsid w:val="00A27483"/>
    <w:rsid w:val="00A325FC"/>
    <w:rsid w:val="00A36CEF"/>
    <w:rsid w:val="00A37892"/>
    <w:rsid w:val="00A4261C"/>
    <w:rsid w:val="00A4634F"/>
    <w:rsid w:val="00A468B9"/>
    <w:rsid w:val="00A51AF3"/>
    <w:rsid w:val="00A51CF3"/>
    <w:rsid w:val="00A5296F"/>
    <w:rsid w:val="00A54BB3"/>
    <w:rsid w:val="00A64BBD"/>
    <w:rsid w:val="00A65CED"/>
    <w:rsid w:val="00A67151"/>
    <w:rsid w:val="00A71EC6"/>
    <w:rsid w:val="00A72425"/>
    <w:rsid w:val="00A72F22"/>
    <w:rsid w:val="00A748A6"/>
    <w:rsid w:val="00A75D0B"/>
    <w:rsid w:val="00A775AE"/>
    <w:rsid w:val="00A80F33"/>
    <w:rsid w:val="00A85D15"/>
    <w:rsid w:val="00A86930"/>
    <w:rsid w:val="00A879A4"/>
    <w:rsid w:val="00A87E95"/>
    <w:rsid w:val="00A92B62"/>
    <w:rsid w:val="00A92E29"/>
    <w:rsid w:val="00A92E90"/>
    <w:rsid w:val="00A949DD"/>
    <w:rsid w:val="00AA05F7"/>
    <w:rsid w:val="00AA0C33"/>
    <w:rsid w:val="00AA0FA0"/>
    <w:rsid w:val="00AA13CC"/>
    <w:rsid w:val="00AA1567"/>
    <w:rsid w:val="00AA1937"/>
    <w:rsid w:val="00AB0352"/>
    <w:rsid w:val="00AB0368"/>
    <w:rsid w:val="00AB6D27"/>
    <w:rsid w:val="00AC5E14"/>
    <w:rsid w:val="00AC7BAF"/>
    <w:rsid w:val="00AD03E3"/>
    <w:rsid w:val="00AD09E9"/>
    <w:rsid w:val="00AD0D04"/>
    <w:rsid w:val="00AD0E6B"/>
    <w:rsid w:val="00AD185D"/>
    <w:rsid w:val="00AD56C3"/>
    <w:rsid w:val="00AD7D69"/>
    <w:rsid w:val="00AE35FD"/>
    <w:rsid w:val="00AF0576"/>
    <w:rsid w:val="00AF0630"/>
    <w:rsid w:val="00AF0B2F"/>
    <w:rsid w:val="00AF10E8"/>
    <w:rsid w:val="00AF285E"/>
    <w:rsid w:val="00AF2D6A"/>
    <w:rsid w:val="00AF3829"/>
    <w:rsid w:val="00AF6B1D"/>
    <w:rsid w:val="00B02FC0"/>
    <w:rsid w:val="00B037F0"/>
    <w:rsid w:val="00B0645D"/>
    <w:rsid w:val="00B07757"/>
    <w:rsid w:val="00B12EC2"/>
    <w:rsid w:val="00B160C3"/>
    <w:rsid w:val="00B17979"/>
    <w:rsid w:val="00B22A63"/>
    <w:rsid w:val="00B2327D"/>
    <w:rsid w:val="00B242EA"/>
    <w:rsid w:val="00B24AFC"/>
    <w:rsid w:val="00B2670B"/>
    <w:rsid w:val="00B2718F"/>
    <w:rsid w:val="00B30179"/>
    <w:rsid w:val="00B3317B"/>
    <w:rsid w:val="00B3332B"/>
    <w:rsid w:val="00B334DC"/>
    <w:rsid w:val="00B33594"/>
    <w:rsid w:val="00B3605A"/>
    <w:rsid w:val="00B3631A"/>
    <w:rsid w:val="00B3667D"/>
    <w:rsid w:val="00B36F7C"/>
    <w:rsid w:val="00B3796F"/>
    <w:rsid w:val="00B442FD"/>
    <w:rsid w:val="00B51172"/>
    <w:rsid w:val="00B52C7E"/>
    <w:rsid w:val="00B53013"/>
    <w:rsid w:val="00B55AFC"/>
    <w:rsid w:val="00B57416"/>
    <w:rsid w:val="00B57958"/>
    <w:rsid w:val="00B57E15"/>
    <w:rsid w:val="00B648A4"/>
    <w:rsid w:val="00B67066"/>
    <w:rsid w:val="00B67EF7"/>
    <w:rsid w:val="00B67F5E"/>
    <w:rsid w:val="00B73486"/>
    <w:rsid w:val="00B73E65"/>
    <w:rsid w:val="00B75379"/>
    <w:rsid w:val="00B80450"/>
    <w:rsid w:val="00B81E12"/>
    <w:rsid w:val="00B87110"/>
    <w:rsid w:val="00B8781E"/>
    <w:rsid w:val="00B92674"/>
    <w:rsid w:val="00B97FA8"/>
    <w:rsid w:val="00BA0916"/>
    <w:rsid w:val="00BA5098"/>
    <w:rsid w:val="00BB0382"/>
    <w:rsid w:val="00BB21C3"/>
    <w:rsid w:val="00BB7F6E"/>
    <w:rsid w:val="00BC0381"/>
    <w:rsid w:val="00BC0B95"/>
    <w:rsid w:val="00BC10C0"/>
    <w:rsid w:val="00BC1385"/>
    <w:rsid w:val="00BC64B3"/>
    <w:rsid w:val="00BC74E9"/>
    <w:rsid w:val="00BD1F12"/>
    <w:rsid w:val="00BD7365"/>
    <w:rsid w:val="00BE1DD4"/>
    <w:rsid w:val="00BE584C"/>
    <w:rsid w:val="00BE618E"/>
    <w:rsid w:val="00BE623D"/>
    <w:rsid w:val="00BE7BAA"/>
    <w:rsid w:val="00BF4811"/>
    <w:rsid w:val="00BF48F8"/>
    <w:rsid w:val="00C001FC"/>
    <w:rsid w:val="00C16A44"/>
    <w:rsid w:val="00C22E9F"/>
    <w:rsid w:val="00C239FA"/>
    <w:rsid w:val="00C24693"/>
    <w:rsid w:val="00C26102"/>
    <w:rsid w:val="00C31285"/>
    <w:rsid w:val="00C32473"/>
    <w:rsid w:val="00C32DD8"/>
    <w:rsid w:val="00C355DE"/>
    <w:rsid w:val="00C35F0B"/>
    <w:rsid w:val="00C42560"/>
    <w:rsid w:val="00C427CA"/>
    <w:rsid w:val="00C42C6E"/>
    <w:rsid w:val="00C463DD"/>
    <w:rsid w:val="00C46836"/>
    <w:rsid w:val="00C50FC8"/>
    <w:rsid w:val="00C5119D"/>
    <w:rsid w:val="00C52451"/>
    <w:rsid w:val="00C526D1"/>
    <w:rsid w:val="00C610C8"/>
    <w:rsid w:val="00C619C2"/>
    <w:rsid w:val="00C64458"/>
    <w:rsid w:val="00C64D78"/>
    <w:rsid w:val="00C656CA"/>
    <w:rsid w:val="00C663FE"/>
    <w:rsid w:val="00C745C3"/>
    <w:rsid w:val="00C74B59"/>
    <w:rsid w:val="00C75332"/>
    <w:rsid w:val="00C7760D"/>
    <w:rsid w:val="00C77BAD"/>
    <w:rsid w:val="00C82AC1"/>
    <w:rsid w:val="00C82BFF"/>
    <w:rsid w:val="00C87935"/>
    <w:rsid w:val="00C87DD4"/>
    <w:rsid w:val="00C93274"/>
    <w:rsid w:val="00C93539"/>
    <w:rsid w:val="00C93562"/>
    <w:rsid w:val="00C9656E"/>
    <w:rsid w:val="00C96A55"/>
    <w:rsid w:val="00CA2A58"/>
    <w:rsid w:val="00CA3AFA"/>
    <w:rsid w:val="00CA79EB"/>
    <w:rsid w:val="00CB468C"/>
    <w:rsid w:val="00CB679F"/>
    <w:rsid w:val="00CB6BBF"/>
    <w:rsid w:val="00CB6C69"/>
    <w:rsid w:val="00CC0B55"/>
    <w:rsid w:val="00CC1741"/>
    <w:rsid w:val="00CC1924"/>
    <w:rsid w:val="00CC5617"/>
    <w:rsid w:val="00CC5D65"/>
    <w:rsid w:val="00CC5EDD"/>
    <w:rsid w:val="00CC71B9"/>
    <w:rsid w:val="00CD6995"/>
    <w:rsid w:val="00CD7391"/>
    <w:rsid w:val="00CE4A8F"/>
    <w:rsid w:val="00CE4DAA"/>
    <w:rsid w:val="00CE69DD"/>
    <w:rsid w:val="00CE7A93"/>
    <w:rsid w:val="00CF0196"/>
    <w:rsid w:val="00CF10F4"/>
    <w:rsid w:val="00CF33D8"/>
    <w:rsid w:val="00CF3EA3"/>
    <w:rsid w:val="00CF586F"/>
    <w:rsid w:val="00CF5BDA"/>
    <w:rsid w:val="00CF7D43"/>
    <w:rsid w:val="00D02401"/>
    <w:rsid w:val="00D10066"/>
    <w:rsid w:val="00D11129"/>
    <w:rsid w:val="00D1647A"/>
    <w:rsid w:val="00D165F0"/>
    <w:rsid w:val="00D2031B"/>
    <w:rsid w:val="00D20B00"/>
    <w:rsid w:val="00D22332"/>
    <w:rsid w:val="00D22877"/>
    <w:rsid w:val="00D2544C"/>
    <w:rsid w:val="00D25FE2"/>
    <w:rsid w:val="00D34D12"/>
    <w:rsid w:val="00D376FC"/>
    <w:rsid w:val="00D43252"/>
    <w:rsid w:val="00D43519"/>
    <w:rsid w:val="00D445B8"/>
    <w:rsid w:val="00D5203E"/>
    <w:rsid w:val="00D52DF7"/>
    <w:rsid w:val="00D53F79"/>
    <w:rsid w:val="00D550F9"/>
    <w:rsid w:val="00D556BA"/>
    <w:rsid w:val="00D56342"/>
    <w:rsid w:val="00D572B0"/>
    <w:rsid w:val="00D60B58"/>
    <w:rsid w:val="00D62E90"/>
    <w:rsid w:val="00D66C48"/>
    <w:rsid w:val="00D67287"/>
    <w:rsid w:val="00D70C53"/>
    <w:rsid w:val="00D71DBA"/>
    <w:rsid w:val="00D72188"/>
    <w:rsid w:val="00D735C7"/>
    <w:rsid w:val="00D75F83"/>
    <w:rsid w:val="00D80D94"/>
    <w:rsid w:val="00D82241"/>
    <w:rsid w:val="00D82E94"/>
    <w:rsid w:val="00D83601"/>
    <w:rsid w:val="00D83773"/>
    <w:rsid w:val="00D858DE"/>
    <w:rsid w:val="00D859CA"/>
    <w:rsid w:val="00D90E8B"/>
    <w:rsid w:val="00D97572"/>
    <w:rsid w:val="00D978C6"/>
    <w:rsid w:val="00DA1897"/>
    <w:rsid w:val="00DA4359"/>
    <w:rsid w:val="00DA539D"/>
    <w:rsid w:val="00DA65B1"/>
    <w:rsid w:val="00DA67AD"/>
    <w:rsid w:val="00DB18CE"/>
    <w:rsid w:val="00DB4634"/>
    <w:rsid w:val="00DB6C88"/>
    <w:rsid w:val="00DB7780"/>
    <w:rsid w:val="00DC0184"/>
    <w:rsid w:val="00DC4D10"/>
    <w:rsid w:val="00DC55EC"/>
    <w:rsid w:val="00DC7AC3"/>
    <w:rsid w:val="00DD17D8"/>
    <w:rsid w:val="00DD2429"/>
    <w:rsid w:val="00DD5F17"/>
    <w:rsid w:val="00DD6B81"/>
    <w:rsid w:val="00DD7734"/>
    <w:rsid w:val="00DE13BD"/>
    <w:rsid w:val="00DE2C2A"/>
    <w:rsid w:val="00DE3EC0"/>
    <w:rsid w:val="00DE5D98"/>
    <w:rsid w:val="00DE602B"/>
    <w:rsid w:val="00DE6339"/>
    <w:rsid w:val="00DE68B4"/>
    <w:rsid w:val="00DF036B"/>
    <w:rsid w:val="00DF3347"/>
    <w:rsid w:val="00DF36EA"/>
    <w:rsid w:val="00DF6B60"/>
    <w:rsid w:val="00E06422"/>
    <w:rsid w:val="00E11593"/>
    <w:rsid w:val="00E12B6B"/>
    <w:rsid w:val="00E130AB"/>
    <w:rsid w:val="00E14EDA"/>
    <w:rsid w:val="00E207DD"/>
    <w:rsid w:val="00E23B79"/>
    <w:rsid w:val="00E23DCD"/>
    <w:rsid w:val="00E26D19"/>
    <w:rsid w:val="00E34A71"/>
    <w:rsid w:val="00E34C44"/>
    <w:rsid w:val="00E35391"/>
    <w:rsid w:val="00E378B8"/>
    <w:rsid w:val="00E37BD0"/>
    <w:rsid w:val="00E41811"/>
    <w:rsid w:val="00E438D9"/>
    <w:rsid w:val="00E44FF3"/>
    <w:rsid w:val="00E46FF7"/>
    <w:rsid w:val="00E503C4"/>
    <w:rsid w:val="00E521A0"/>
    <w:rsid w:val="00E562A8"/>
    <w:rsid w:val="00E5644E"/>
    <w:rsid w:val="00E5652E"/>
    <w:rsid w:val="00E64239"/>
    <w:rsid w:val="00E6579E"/>
    <w:rsid w:val="00E65B0E"/>
    <w:rsid w:val="00E65E98"/>
    <w:rsid w:val="00E71462"/>
    <w:rsid w:val="00E715BC"/>
    <w:rsid w:val="00E7260F"/>
    <w:rsid w:val="00E75C72"/>
    <w:rsid w:val="00E76082"/>
    <w:rsid w:val="00E806EE"/>
    <w:rsid w:val="00E821CC"/>
    <w:rsid w:val="00E8238A"/>
    <w:rsid w:val="00E8309A"/>
    <w:rsid w:val="00E85A1C"/>
    <w:rsid w:val="00E9055E"/>
    <w:rsid w:val="00E90EAC"/>
    <w:rsid w:val="00E9170F"/>
    <w:rsid w:val="00E921F4"/>
    <w:rsid w:val="00E9349A"/>
    <w:rsid w:val="00E94B93"/>
    <w:rsid w:val="00E96630"/>
    <w:rsid w:val="00E968AA"/>
    <w:rsid w:val="00EA277E"/>
    <w:rsid w:val="00EA48D9"/>
    <w:rsid w:val="00EA649C"/>
    <w:rsid w:val="00EB0C03"/>
    <w:rsid w:val="00EB0FB9"/>
    <w:rsid w:val="00EB26B5"/>
    <w:rsid w:val="00EB3B44"/>
    <w:rsid w:val="00EC2AED"/>
    <w:rsid w:val="00EC7DD6"/>
    <w:rsid w:val="00ED0645"/>
    <w:rsid w:val="00ED0CA9"/>
    <w:rsid w:val="00ED53B7"/>
    <w:rsid w:val="00ED77F1"/>
    <w:rsid w:val="00ED7A2A"/>
    <w:rsid w:val="00EE175B"/>
    <w:rsid w:val="00EE2B9B"/>
    <w:rsid w:val="00EE7CC7"/>
    <w:rsid w:val="00EF10F5"/>
    <w:rsid w:val="00EF168F"/>
    <w:rsid w:val="00EF1D7F"/>
    <w:rsid w:val="00EF34B6"/>
    <w:rsid w:val="00EF44C1"/>
    <w:rsid w:val="00EF4518"/>
    <w:rsid w:val="00EF4899"/>
    <w:rsid w:val="00EF5BDB"/>
    <w:rsid w:val="00EF7CE3"/>
    <w:rsid w:val="00F07FD9"/>
    <w:rsid w:val="00F104E3"/>
    <w:rsid w:val="00F10B71"/>
    <w:rsid w:val="00F1789B"/>
    <w:rsid w:val="00F17BB5"/>
    <w:rsid w:val="00F22683"/>
    <w:rsid w:val="00F227C3"/>
    <w:rsid w:val="00F23933"/>
    <w:rsid w:val="00F24119"/>
    <w:rsid w:val="00F241F5"/>
    <w:rsid w:val="00F31D1C"/>
    <w:rsid w:val="00F323D6"/>
    <w:rsid w:val="00F34E30"/>
    <w:rsid w:val="00F36281"/>
    <w:rsid w:val="00F40409"/>
    <w:rsid w:val="00F408FF"/>
    <w:rsid w:val="00F40E75"/>
    <w:rsid w:val="00F41D72"/>
    <w:rsid w:val="00F42CD9"/>
    <w:rsid w:val="00F43DD8"/>
    <w:rsid w:val="00F45B7A"/>
    <w:rsid w:val="00F47589"/>
    <w:rsid w:val="00F52936"/>
    <w:rsid w:val="00F5294A"/>
    <w:rsid w:val="00F52E7A"/>
    <w:rsid w:val="00F5503D"/>
    <w:rsid w:val="00F55F3A"/>
    <w:rsid w:val="00F56E45"/>
    <w:rsid w:val="00F57EA5"/>
    <w:rsid w:val="00F60CD6"/>
    <w:rsid w:val="00F63AFB"/>
    <w:rsid w:val="00F64D1D"/>
    <w:rsid w:val="00F66885"/>
    <w:rsid w:val="00F677CB"/>
    <w:rsid w:val="00F70112"/>
    <w:rsid w:val="00F716E3"/>
    <w:rsid w:val="00F71CC4"/>
    <w:rsid w:val="00F75127"/>
    <w:rsid w:val="00F832A1"/>
    <w:rsid w:val="00F924EF"/>
    <w:rsid w:val="00F9268B"/>
    <w:rsid w:val="00F92D78"/>
    <w:rsid w:val="00F933B3"/>
    <w:rsid w:val="00F93A22"/>
    <w:rsid w:val="00F952AA"/>
    <w:rsid w:val="00F96201"/>
    <w:rsid w:val="00F963E7"/>
    <w:rsid w:val="00F96E5D"/>
    <w:rsid w:val="00F97EB9"/>
    <w:rsid w:val="00FA313D"/>
    <w:rsid w:val="00FA4448"/>
    <w:rsid w:val="00FA71A6"/>
    <w:rsid w:val="00FA7486"/>
    <w:rsid w:val="00FA7DF3"/>
    <w:rsid w:val="00FB209F"/>
    <w:rsid w:val="00FB2FCB"/>
    <w:rsid w:val="00FB310F"/>
    <w:rsid w:val="00FC01C7"/>
    <w:rsid w:val="00FC3A9A"/>
    <w:rsid w:val="00FC5A45"/>
    <w:rsid w:val="00FC68B7"/>
    <w:rsid w:val="00FD61BB"/>
    <w:rsid w:val="00FD6C9E"/>
    <w:rsid w:val="00FD7C12"/>
    <w:rsid w:val="00FE0F5C"/>
    <w:rsid w:val="00FE183C"/>
    <w:rsid w:val="00FE65B2"/>
    <w:rsid w:val="00FF23C3"/>
    <w:rsid w:val="00FF71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39BB3"/>
  <w15:docId w15:val="{A01C0441-7FC2-49DD-AD47-29AEB525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4_GA,Footnotes refss,Footnote number,Footnote,Odwołanie przypisu,Footnote symbol,Footnote Reference Number,Appel note de bas de p,Appel note de bas de p + (Asian) Batang,Black,(NECG) Footnote Reference,Nota,Footnote Refernece"/>
    <w:uiPriority w:val="99"/>
    <w:qFormat/>
    <w:rsid w:val="00D11129"/>
    <w:rPr>
      <w:rFonts w:ascii="Times New Roman" w:hAnsi="Times New Roman"/>
      <w:sz w:val="18"/>
      <w:vertAlign w:val="superscript"/>
    </w:rPr>
  </w:style>
  <w:style w:type="paragraph" w:styleId="EndnoteText">
    <w:name w:val="endnote text"/>
    <w:aliases w:val="2_G"/>
    <w:basedOn w:val="FootnoteText"/>
    <w:link w:val="EndnoteTextChar"/>
    <w:uiPriority w:val="99"/>
    <w:rsid w:val="0052176C"/>
  </w:style>
  <w:style w:type="paragraph" w:styleId="FootnoteText">
    <w:name w:val="footnote text"/>
    <w:aliases w:val="5_G, Char Char Char, Char Char Char Char Char Char, Char Char Char Char Char Char Char,Char Char Char,Char Char Char Char Char,Char Char Char Char Char Char,Char Char Char Char Char Char Char,Char, Char,Sharp - Footnote Text,single space"/>
    <w:basedOn w:val="Normal"/>
    <w:link w:val="FootnoteTextChar"/>
    <w:uiPriority w:val="99"/>
    <w:qFormat/>
    <w:rsid w:val="00D11129"/>
    <w:pPr>
      <w:tabs>
        <w:tab w:val="right" w:pos="1021"/>
      </w:tabs>
      <w:spacing w:line="220" w:lineRule="exact"/>
      <w:ind w:left="1134" w:right="1134" w:hanging="1134"/>
    </w:pPr>
    <w:rPr>
      <w:sz w:val="18"/>
      <w:lang w:val="x-none"/>
    </w:rPr>
  </w:style>
  <w:style w:type="paragraph" w:styleId="Footer">
    <w:name w:val="footer"/>
    <w:aliases w:val="3_G"/>
    <w:basedOn w:val="Normal"/>
    <w:link w:val="FooterChar"/>
    <w:uiPriority w:val="99"/>
    <w:rsid w:val="0052176C"/>
    <w:rPr>
      <w:sz w:val="16"/>
      <w:lang w:val="x-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rsid w:val="0052176C"/>
    <w:pPr>
      <w:pBdr>
        <w:bottom w:val="single" w:sz="4" w:space="4" w:color="auto"/>
      </w:pBdr>
    </w:pPr>
    <w:rPr>
      <w:b/>
      <w:sz w:val="18"/>
    </w:rPr>
  </w:style>
  <w:style w:type="character" w:styleId="PageNumber">
    <w:name w:val="page number"/>
    <w:aliases w:val="7_G"/>
    <w:rsid w:val="0052176C"/>
    <w:rPr>
      <w:rFonts w:ascii="Times New Roman" w:hAnsi="Times New Roman"/>
      <w:b/>
      <w:sz w:val="18"/>
    </w:rPr>
  </w:style>
  <w:style w:type="paragraph" w:styleId="PlainText">
    <w:name w:val="Plain Text"/>
    <w:basedOn w:val="Normal"/>
    <w:semiHidden/>
    <w:rsid w:val="00A325FC"/>
    <w:rPr>
      <w:rFonts w:cs="Courier New"/>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semiHidden/>
    <w:rsid w:val="00A325FC"/>
  </w:style>
  <w:style w:type="paragraph" w:styleId="BodyTextIndent">
    <w:name w:val="Body Text Indent"/>
    <w:basedOn w:val="Normal"/>
    <w:semiHidden/>
    <w:rsid w:val="00A325FC"/>
    <w:pPr>
      <w:spacing w:after="120"/>
      <w:ind w:left="283"/>
    </w:pPr>
  </w:style>
  <w:style w:type="paragraph" w:styleId="BlockText">
    <w:name w:val="Block Text"/>
    <w:basedOn w:val="Normal"/>
    <w:semiHidden/>
    <w:rsid w:val="00A325FC"/>
    <w:pPr>
      <w:ind w:left="1440" w:right="1440"/>
    </w:p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3"/>
      </w:numPr>
    </w:pPr>
  </w:style>
  <w:style w:type="numbering" w:styleId="1ai">
    <w:name w:val="Outline List 1"/>
    <w:basedOn w:val="NoList"/>
    <w:semiHidden/>
    <w:rsid w:val="008A6C4F"/>
    <w:pPr>
      <w:numPr>
        <w:numId w:val="4"/>
      </w:numPr>
    </w:pPr>
  </w:style>
  <w:style w:type="character" w:styleId="CommentReference">
    <w:name w:val="annotation reference"/>
    <w:semiHidden/>
    <w:rsid w:val="00A325FC"/>
    <w:rPr>
      <w:sz w:val="6"/>
    </w:rPr>
  </w:style>
  <w:style w:type="paragraph" w:styleId="CommentText">
    <w:name w:val="annotation text"/>
    <w:basedOn w:val="Normal"/>
    <w:link w:val="CommentTextChar"/>
    <w:uiPriority w:val="99"/>
    <w:rsid w:val="00A325FC"/>
  </w:style>
  <w:style w:type="character" w:styleId="LineNumber">
    <w:name w:val="line number"/>
    <w:semiHidden/>
    <w:rsid w:val="00A325FC"/>
    <w:rPr>
      <w:sz w:val="14"/>
    </w:rPr>
  </w:style>
  <w:style w:type="numbering" w:styleId="ArticleSection">
    <w:name w:val="Outline List 3"/>
    <w:basedOn w:val="NoList"/>
    <w:semiHidden/>
    <w:rsid w:val="00A325FC"/>
    <w:pPr>
      <w:numPr>
        <w:numId w:val="16"/>
      </w:numPr>
    </w:pPr>
  </w:style>
  <w:style w:type="paragraph" w:styleId="BodyText2">
    <w:name w:val="Body Text 2"/>
    <w:basedOn w:val="Normal"/>
    <w:semiHidden/>
    <w:rsid w:val="00A325FC"/>
    <w:pPr>
      <w:spacing w:after="120" w:line="480" w:lineRule="auto"/>
    </w:pPr>
  </w:style>
  <w:style w:type="paragraph" w:styleId="BodyText3">
    <w:name w:val="Body Text 3"/>
    <w:basedOn w:val="Normal"/>
    <w:semiHidden/>
    <w:rsid w:val="00A325FC"/>
    <w:pPr>
      <w:spacing w:after="120"/>
    </w:pPr>
    <w:rPr>
      <w:sz w:val="16"/>
      <w:szCs w:val="16"/>
    </w:rPr>
  </w:style>
  <w:style w:type="paragraph" w:styleId="BodyTextFirstIndent">
    <w:name w:val="Body Text First Indent"/>
    <w:basedOn w:val="BodyText"/>
    <w:semiHidden/>
    <w:rsid w:val="00A325FC"/>
    <w:pPr>
      <w:spacing w:after="120"/>
      <w:ind w:firstLine="210"/>
    </w:pPr>
  </w:style>
  <w:style w:type="paragraph" w:styleId="BodyTextFirstIndent2">
    <w:name w:val="Body Text First Indent 2"/>
    <w:basedOn w:val="BodyTextIndent"/>
    <w:semiHidden/>
    <w:rsid w:val="00A325FC"/>
    <w:pPr>
      <w:ind w:firstLine="210"/>
    </w:pPr>
  </w:style>
  <w:style w:type="paragraph" w:styleId="BodyTextIndent2">
    <w:name w:val="Body Text Indent 2"/>
    <w:basedOn w:val="Normal"/>
    <w:semiHidden/>
    <w:rsid w:val="00A325FC"/>
    <w:pPr>
      <w:spacing w:after="120" w:line="480" w:lineRule="auto"/>
      <w:ind w:left="283"/>
    </w:pPr>
  </w:style>
  <w:style w:type="paragraph" w:styleId="BodyTextIndent3">
    <w:name w:val="Body Text Indent 3"/>
    <w:basedOn w:val="Normal"/>
    <w:semiHidden/>
    <w:rsid w:val="00A325FC"/>
    <w:pPr>
      <w:spacing w:after="120"/>
      <w:ind w:left="283"/>
    </w:pPr>
    <w:rPr>
      <w:sz w:val="16"/>
      <w:szCs w:val="16"/>
    </w:rPr>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paragraph" w:styleId="Closing">
    <w:name w:val="Closing"/>
    <w:basedOn w:val="Normal"/>
    <w:semiHidden/>
    <w:rsid w:val="00A325FC"/>
    <w:pPr>
      <w:ind w:left="4252"/>
    </w:pPr>
  </w:style>
  <w:style w:type="character" w:styleId="HTMLAcronym">
    <w:name w:val="HTML Acronym"/>
    <w:basedOn w:val="DefaultParagraphFont"/>
    <w:semiHidden/>
    <w:rsid w:val="008A6C4F"/>
  </w:style>
  <w:style w:type="paragraph" w:styleId="Date">
    <w:name w:val="Date"/>
    <w:basedOn w:val="Normal"/>
    <w:next w:val="Normal"/>
    <w:semiHidden/>
    <w:rsid w:val="00A325FC"/>
  </w:style>
  <w:style w:type="paragraph" w:styleId="E-mailSignature">
    <w:name w:val="E-mail Signature"/>
    <w:basedOn w:val="Normal"/>
    <w:semiHidden/>
    <w:rsid w:val="00A325FC"/>
  </w:style>
  <w:style w:type="character" w:styleId="FollowedHyperlink">
    <w:name w:val="FollowedHyperlink"/>
    <w:semiHidden/>
    <w:rsid w:val="00A325FC"/>
    <w:rPr>
      <w:color w:val="800080"/>
      <w:u w:val="single"/>
    </w:rPr>
  </w:style>
  <w:style w:type="paragraph" w:styleId="HTMLAddress">
    <w:name w:val="HTML Address"/>
    <w:basedOn w:val="Normal"/>
    <w:semiHidden/>
    <w:rsid w:val="00A325FC"/>
    <w:rPr>
      <w:i/>
      <w:iCs/>
    </w:rPr>
  </w:style>
  <w:style w:type="character" w:styleId="HTMLCite">
    <w:name w:val="HTML Cite"/>
    <w:semiHidden/>
    <w:rsid w:val="00A325FC"/>
    <w:rPr>
      <w:i/>
      <w:iCs/>
    </w:rPr>
  </w:style>
  <w:style w:type="character" w:styleId="HTMLCode">
    <w:name w:val="HTML Code"/>
    <w:semiHidden/>
    <w:rsid w:val="00A325FC"/>
    <w:rPr>
      <w:rFonts w:ascii="Courier New" w:hAnsi="Courier New" w:cs="Courier New"/>
      <w:sz w:val="20"/>
      <w:szCs w:val="20"/>
    </w:rPr>
  </w:style>
  <w:style w:type="character" w:styleId="HTMLDefinition">
    <w:name w:val="HTML Definition"/>
    <w:semiHidden/>
    <w:rsid w:val="00A325FC"/>
    <w:rPr>
      <w:i/>
      <w:iCs/>
    </w:rPr>
  </w:style>
  <w:style w:type="character" w:styleId="HTMLKeyboard">
    <w:name w:val="HTML Keyboard"/>
    <w:semiHidden/>
    <w:rsid w:val="00A325FC"/>
    <w:rPr>
      <w:rFonts w:ascii="Courier New" w:hAnsi="Courier New" w:cs="Courier New"/>
      <w:sz w:val="20"/>
      <w:szCs w:val="20"/>
    </w:rPr>
  </w:style>
  <w:style w:type="paragraph" w:styleId="HTMLPreformatted">
    <w:name w:val="HTML Preformatted"/>
    <w:basedOn w:val="Normal"/>
    <w:semiHidden/>
    <w:rsid w:val="00A325FC"/>
    <w:rPr>
      <w:rFonts w:ascii="Courier New" w:hAnsi="Courier New" w:cs="Courier New"/>
    </w:rPr>
  </w:style>
  <w:style w:type="character" w:styleId="HTMLSample">
    <w:name w:val="HTML Sample"/>
    <w:semiHidden/>
    <w:rsid w:val="00A325FC"/>
    <w:rPr>
      <w:rFonts w:ascii="Courier New" w:hAnsi="Courier New" w:cs="Courier New"/>
    </w:rPr>
  </w:style>
  <w:style w:type="character" w:styleId="HTMLTypewriter">
    <w:name w:val="HTML Typewriter"/>
    <w:semiHidden/>
    <w:rsid w:val="00A325FC"/>
    <w:rPr>
      <w:rFonts w:ascii="Courier New" w:hAnsi="Courier New" w:cs="Courier New"/>
      <w:sz w:val="20"/>
      <w:szCs w:val="20"/>
    </w:rPr>
  </w:style>
  <w:style w:type="character" w:styleId="HTMLVariable">
    <w:name w:val="HTML Variable"/>
    <w:semiHidden/>
    <w:rsid w:val="00A325FC"/>
    <w:rPr>
      <w:i/>
      <w:iCs/>
    </w:rPr>
  </w:style>
  <w:style w:type="character" w:styleId="Hyperlink">
    <w:name w:val="Hyperlink"/>
    <w:uiPriority w:val="99"/>
    <w:rsid w:val="00A325FC"/>
    <w:rPr>
      <w:color w:val="0000FF"/>
      <w:u w:val="single"/>
    </w:rPr>
  </w:style>
  <w:style w:type="paragraph" w:styleId="List">
    <w:name w:val="List"/>
    <w:basedOn w:val="Normal"/>
    <w:semiHidden/>
    <w:rsid w:val="00A325FC"/>
    <w:pPr>
      <w:ind w:left="283" w:hanging="283"/>
    </w:pPr>
  </w:style>
  <w:style w:type="paragraph" w:styleId="List2">
    <w:name w:val="List 2"/>
    <w:basedOn w:val="Normal"/>
    <w:semiHidden/>
    <w:rsid w:val="00A325FC"/>
    <w:pPr>
      <w:ind w:left="566" w:hanging="283"/>
    </w:pPr>
  </w:style>
  <w:style w:type="paragraph" w:styleId="List3">
    <w:name w:val="List 3"/>
    <w:basedOn w:val="Normal"/>
    <w:semiHidden/>
    <w:rsid w:val="00A325FC"/>
    <w:pPr>
      <w:ind w:left="849" w:hanging="283"/>
    </w:pPr>
  </w:style>
  <w:style w:type="paragraph" w:styleId="List4">
    <w:name w:val="List 4"/>
    <w:basedOn w:val="Normal"/>
    <w:semiHidden/>
    <w:rsid w:val="00A325FC"/>
    <w:pPr>
      <w:ind w:left="1132" w:hanging="283"/>
    </w:pPr>
  </w:style>
  <w:style w:type="paragraph" w:styleId="List5">
    <w:name w:val="List 5"/>
    <w:basedOn w:val="Normal"/>
    <w:semiHidden/>
    <w:rsid w:val="00A325FC"/>
    <w:pPr>
      <w:ind w:left="1415" w:hanging="283"/>
    </w:pPr>
  </w:style>
  <w:style w:type="paragraph" w:styleId="ListBullet">
    <w:name w:val="List Bullet"/>
    <w:basedOn w:val="Normal"/>
    <w:semiHidden/>
    <w:rsid w:val="00A325FC"/>
    <w:pPr>
      <w:numPr>
        <w:numId w:val="11"/>
      </w:numPr>
    </w:pPr>
  </w:style>
  <w:style w:type="paragraph" w:styleId="ListBullet2">
    <w:name w:val="List Bullet 2"/>
    <w:basedOn w:val="Normal"/>
    <w:semiHidden/>
    <w:rsid w:val="00A325FC"/>
    <w:pPr>
      <w:numPr>
        <w:numId w:val="12"/>
      </w:numPr>
    </w:pPr>
  </w:style>
  <w:style w:type="paragraph" w:styleId="ListBullet3">
    <w:name w:val="List Bullet 3"/>
    <w:basedOn w:val="Normal"/>
    <w:semiHidden/>
    <w:rsid w:val="00A325FC"/>
    <w:pPr>
      <w:numPr>
        <w:numId w:val="13"/>
      </w:numPr>
    </w:pPr>
  </w:style>
  <w:style w:type="paragraph" w:styleId="ListBullet4">
    <w:name w:val="List Bullet 4"/>
    <w:basedOn w:val="Normal"/>
    <w:semiHidden/>
    <w:rsid w:val="00A325FC"/>
    <w:pPr>
      <w:numPr>
        <w:numId w:val="14"/>
      </w:numPr>
    </w:pPr>
  </w:style>
  <w:style w:type="paragraph" w:styleId="ListBullet5">
    <w:name w:val="List Bullet 5"/>
    <w:basedOn w:val="Normal"/>
    <w:semiHidden/>
    <w:rsid w:val="00A325FC"/>
    <w:pPr>
      <w:numPr>
        <w:numId w:val="15"/>
      </w:numPr>
    </w:pPr>
  </w:style>
  <w:style w:type="paragraph" w:styleId="ListContinue">
    <w:name w:val="List Continue"/>
    <w:basedOn w:val="Normal"/>
    <w:semiHidden/>
    <w:rsid w:val="00A325FC"/>
    <w:pPr>
      <w:spacing w:after="120"/>
      <w:ind w:left="283"/>
    </w:pPr>
  </w:style>
  <w:style w:type="paragraph" w:styleId="ListContinue2">
    <w:name w:val="List Continue 2"/>
    <w:basedOn w:val="Normal"/>
    <w:semiHidden/>
    <w:rsid w:val="00A325FC"/>
    <w:pPr>
      <w:spacing w:after="120"/>
      <w:ind w:left="566"/>
    </w:pPr>
  </w:style>
  <w:style w:type="paragraph" w:styleId="ListContinue3">
    <w:name w:val="List Continue 3"/>
    <w:basedOn w:val="Normal"/>
    <w:semiHidden/>
    <w:rsid w:val="00A325FC"/>
    <w:pPr>
      <w:spacing w:after="120"/>
      <w:ind w:left="849"/>
    </w:pPr>
  </w:style>
  <w:style w:type="paragraph" w:styleId="ListContinue4">
    <w:name w:val="List Continue 4"/>
    <w:basedOn w:val="Normal"/>
    <w:semiHidden/>
    <w:rsid w:val="00A325FC"/>
    <w:pPr>
      <w:spacing w:after="120"/>
      <w:ind w:left="1132"/>
    </w:pPr>
  </w:style>
  <w:style w:type="paragraph" w:styleId="ListContinue5">
    <w:name w:val="List Continue 5"/>
    <w:basedOn w:val="Normal"/>
    <w:semiHidden/>
    <w:rsid w:val="00A325FC"/>
    <w:pPr>
      <w:spacing w:after="120"/>
      <w:ind w:left="1415"/>
    </w:pPr>
  </w:style>
  <w:style w:type="paragraph" w:styleId="ListNumber">
    <w:name w:val="List Number"/>
    <w:basedOn w:val="Normal"/>
    <w:semiHidden/>
    <w:rsid w:val="00A325FC"/>
    <w:pPr>
      <w:numPr>
        <w:numId w:val="10"/>
      </w:numPr>
    </w:pPr>
  </w:style>
  <w:style w:type="paragraph" w:styleId="ListNumber2">
    <w:name w:val="List Number 2"/>
    <w:basedOn w:val="Normal"/>
    <w:semiHidden/>
    <w:rsid w:val="00A325FC"/>
    <w:pPr>
      <w:numPr>
        <w:numId w:val="9"/>
      </w:numPr>
    </w:pPr>
  </w:style>
  <w:style w:type="paragraph" w:styleId="ListNumber3">
    <w:name w:val="List Number 3"/>
    <w:basedOn w:val="Normal"/>
    <w:semiHidden/>
    <w:rsid w:val="00A325FC"/>
    <w:pPr>
      <w:numPr>
        <w:numId w:val="8"/>
      </w:numPr>
    </w:pPr>
  </w:style>
  <w:style w:type="paragraph" w:styleId="ListNumber4">
    <w:name w:val="List Number 4"/>
    <w:basedOn w:val="Normal"/>
    <w:semiHidden/>
    <w:rsid w:val="00A325FC"/>
    <w:pPr>
      <w:numPr>
        <w:numId w:val="6"/>
      </w:numPr>
    </w:pPr>
  </w:style>
  <w:style w:type="paragraph" w:styleId="ListNumber5">
    <w:name w:val="List Number 5"/>
    <w:basedOn w:val="Normal"/>
    <w:semiHidden/>
    <w:rsid w:val="00A325FC"/>
    <w:pPr>
      <w:numPr>
        <w:numId w:val="7"/>
      </w:numPr>
    </w:pPr>
  </w:style>
  <w:style w:type="paragraph" w:styleId="MessageHeader">
    <w:name w:val="Message Header"/>
    <w:basedOn w:val="Normal"/>
    <w:semiHidden/>
    <w:rsid w:val="00A325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A325FC"/>
    <w:rPr>
      <w:sz w:val="24"/>
      <w:szCs w:val="24"/>
    </w:rPr>
  </w:style>
  <w:style w:type="paragraph" w:styleId="NormalIndent">
    <w:name w:val="Normal Indent"/>
    <w:basedOn w:val="Normal"/>
    <w:semiHidden/>
    <w:rsid w:val="00A325FC"/>
    <w:pPr>
      <w:ind w:left="567"/>
    </w:pPr>
  </w:style>
  <w:style w:type="paragraph" w:styleId="NoteHeading">
    <w:name w:val="Note Heading"/>
    <w:basedOn w:val="Normal"/>
    <w:next w:val="Normal"/>
    <w:semiHidden/>
    <w:rsid w:val="00A325FC"/>
  </w:style>
  <w:style w:type="paragraph" w:styleId="Salutation">
    <w:name w:val="Salutation"/>
    <w:basedOn w:val="Normal"/>
    <w:next w:val="Normal"/>
    <w:semiHidden/>
    <w:rsid w:val="00A325FC"/>
  </w:style>
  <w:style w:type="paragraph" w:styleId="Signature">
    <w:name w:val="Signature"/>
    <w:basedOn w:val="Normal"/>
    <w:semiHidden/>
    <w:rsid w:val="00A325FC"/>
    <w:pPr>
      <w:ind w:left="4252"/>
    </w:pPr>
  </w:style>
  <w:style w:type="character" w:styleId="Strong">
    <w:name w:val="Strong"/>
    <w:uiPriority w:val="22"/>
    <w:qFormat/>
    <w:rsid w:val="00A325FC"/>
    <w:rPr>
      <w:b/>
      <w:bCs/>
    </w:rPr>
  </w:style>
  <w:style w:type="paragraph" w:styleId="Subtitle">
    <w:name w:val="Subtitle"/>
    <w:basedOn w:val="Normal"/>
    <w:qFormat/>
    <w:rsid w:val="00A325FC"/>
    <w:pPr>
      <w:spacing w:after="60"/>
      <w:jc w:val="center"/>
      <w:outlineLvl w:val="1"/>
    </w:pPr>
    <w:rPr>
      <w:rFonts w:ascii="Arial" w:hAnsi="Arial" w:cs="Arial"/>
      <w:sz w:val="24"/>
      <w:szCs w:val="24"/>
    </w:rPr>
  </w:style>
  <w:style w:type="table" w:styleId="Table3Deffects1">
    <w:name w:val="Table 3D effects 1"/>
    <w:basedOn w:val="TableNormal"/>
    <w:semiHidden/>
    <w:rsid w:val="00A325FC"/>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25FC"/>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25FC"/>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25FC"/>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25FC"/>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25FC"/>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25FC"/>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25FC"/>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25FC"/>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25FC"/>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25FC"/>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25FC"/>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25FC"/>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25FC"/>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25FC"/>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25FC"/>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25FC"/>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25FC"/>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25FC"/>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25FC"/>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25FC"/>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25FC"/>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25FC"/>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25FC"/>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25FC"/>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25FC"/>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25FC"/>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25FC"/>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25F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25FC"/>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25FC"/>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table" w:styleId="TableWeb3">
    <w:name w:val="Table Web 3"/>
    <w:basedOn w:val="TableNormal"/>
    <w:semiHidden/>
    <w:rsid w:val="00A325FC"/>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325FC"/>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CF10F4"/>
    <w:rPr>
      <w:rFonts w:ascii="Tahoma" w:hAnsi="Tahoma" w:cs="Tahoma"/>
      <w:sz w:val="16"/>
      <w:szCs w:val="16"/>
    </w:rPr>
  </w:style>
  <w:style w:type="paragraph" w:customStyle="1" w:styleId="Dash">
    <w:name w:val="Dash"/>
    <w:basedOn w:val="Normal"/>
    <w:rsid w:val="00D71DBA"/>
    <w:pPr>
      <w:numPr>
        <w:numId w:val="17"/>
      </w:numPr>
      <w:adjustRightInd w:val="0"/>
      <w:snapToGrid w:val="0"/>
      <w:spacing w:after="240"/>
    </w:pPr>
    <w:rPr>
      <w:rFonts w:eastAsia="Batang"/>
      <w:sz w:val="24"/>
    </w:rPr>
  </w:style>
  <w:style w:type="paragraph" w:customStyle="1" w:styleId="Paragraphedeliste">
    <w:name w:val="Paragraphe de liste"/>
    <w:basedOn w:val="Normal"/>
    <w:qFormat/>
    <w:rsid w:val="002209B6"/>
    <w:pPr>
      <w:ind w:left="720"/>
    </w:pPr>
    <w:rPr>
      <w:rFonts w:eastAsia="SimSun"/>
      <w:sz w:val="24"/>
      <w:szCs w:val="24"/>
      <w:lang w:eastAsia="zh-CN"/>
    </w:rPr>
  </w:style>
  <w:style w:type="paragraph" w:customStyle="1" w:styleId="StyleArialBold">
    <w:name w:val="Style Arial Bold"/>
    <w:basedOn w:val="Normal"/>
    <w:autoRedefine/>
    <w:rsid w:val="002209B6"/>
    <w:pPr>
      <w:widowControl w:val="0"/>
      <w:autoSpaceDE w:val="0"/>
      <w:autoSpaceDN w:val="0"/>
      <w:spacing w:before="120" w:after="120"/>
      <w:jc w:val="both"/>
    </w:pPr>
    <w:rPr>
      <w:rFonts w:ascii="Arial" w:eastAsia="Batang" w:hAnsi="Arial" w:cs="Arial"/>
      <w:sz w:val="22"/>
      <w:szCs w:val="24"/>
      <w:lang w:val="en-CA"/>
    </w:rPr>
  </w:style>
  <w:style w:type="character" w:customStyle="1" w:styleId="SingleTxtGChar">
    <w:name w:val="_ Single Txt_G Char"/>
    <w:link w:val="SingleTxtG"/>
    <w:rsid w:val="00640E7C"/>
    <w:rPr>
      <w:lang w:val="en-GB" w:eastAsia="en-US" w:bidi="ar-SA"/>
    </w:rPr>
  </w:style>
  <w:style w:type="paragraph" w:styleId="ListParagraph">
    <w:name w:val="List Paragraph"/>
    <w:aliases w:val="references,List Paragraph1,F5 List Paragraph,Dot pt,No Spacing1,List Paragraph Char Char Char,Indicator Text,Numbered Para 1,Bullet 1,List Paragraph12,Bullet Points,MAIN CONTENT,List Paragraph2,Normal numbered,List Paragraph11"/>
    <w:basedOn w:val="Normal"/>
    <w:link w:val="ListParagraphChar"/>
    <w:uiPriority w:val="34"/>
    <w:qFormat/>
    <w:rsid w:val="00E715BC"/>
    <w:pPr>
      <w:ind w:left="720"/>
    </w:pPr>
  </w:style>
  <w:style w:type="character" w:customStyle="1" w:styleId="FooterChar">
    <w:name w:val="Footer Char"/>
    <w:aliases w:val="3_G Char"/>
    <w:link w:val="Footer"/>
    <w:uiPriority w:val="99"/>
    <w:rsid w:val="00F70112"/>
    <w:rPr>
      <w:sz w:val="16"/>
      <w:lang w:eastAsia="en-US"/>
    </w:rPr>
  </w:style>
  <w:style w:type="character" w:customStyle="1" w:styleId="FootnoteTextChar">
    <w:name w:val="Footnote Text Char"/>
    <w:aliases w:val="5_G Char, Char Char Char Char1, Char Char Char Char Char Char Char2, Char Char Char Char Char Char Char Char1,Char Char Char Char1,Char Char Char Char Char Char2,Char Char Char Char Char Char Char2,Char Char, Char Char"/>
    <w:link w:val="FootnoteText"/>
    <w:uiPriority w:val="99"/>
    <w:qFormat/>
    <w:locked/>
    <w:rsid w:val="00626A92"/>
    <w:rPr>
      <w:sz w:val="18"/>
      <w:lang w:eastAsia="en-US"/>
    </w:rPr>
  </w:style>
  <w:style w:type="character" w:customStyle="1" w:styleId="EndnoteTextChar">
    <w:name w:val="Endnote Text Char"/>
    <w:aliases w:val="2_G Char"/>
    <w:link w:val="EndnoteText"/>
    <w:uiPriority w:val="99"/>
    <w:locked/>
    <w:rsid w:val="00626A92"/>
    <w:rPr>
      <w:sz w:val="18"/>
      <w:lang w:eastAsia="en-US"/>
    </w:rPr>
  </w:style>
  <w:style w:type="paragraph" w:customStyle="1" w:styleId="Default">
    <w:name w:val="Default"/>
    <w:rsid w:val="00DD2429"/>
    <w:pPr>
      <w:autoSpaceDE w:val="0"/>
      <w:autoSpaceDN w:val="0"/>
      <w:adjustRightInd w:val="0"/>
    </w:pPr>
    <w:rPr>
      <w:color w:val="000000"/>
      <w:sz w:val="24"/>
      <w:szCs w:val="24"/>
    </w:rPr>
  </w:style>
  <w:style w:type="character" w:customStyle="1" w:styleId="HChGChar">
    <w:name w:val="_ H _Ch_G Char"/>
    <w:link w:val="HChG"/>
    <w:rsid w:val="008A1FCC"/>
    <w:rPr>
      <w:b/>
      <w:sz w:val="28"/>
      <w:lang w:eastAsia="en-US"/>
    </w:rPr>
  </w:style>
  <w:style w:type="paragraph" w:styleId="NoSpacing">
    <w:name w:val="No Spacing"/>
    <w:link w:val="NoSpacingChar"/>
    <w:uiPriority w:val="1"/>
    <w:qFormat/>
    <w:rsid w:val="00E90EAC"/>
    <w:rPr>
      <w:rFonts w:ascii="Calibri" w:hAnsi="Calibri"/>
      <w:sz w:val="22"/>
      <w:szCs w:val="22"/>
      <w:lang w:val="en-US" w:eastAsia="en-US"/>
    </w:rPr>
  </w:style>
  <w:style w:type="character" w:customStyle="1" w:styleId="st">
    <w:name w:val="st"/>
    <w:rsid w:val="00E90EAC"/>
  </w:style>
  <w:style w:type="character" w:customStyle="1" w:styleId="NormalWebChar">
    <w:name w:val="Normal (Web) Char"/>
    <w:link w:val="NormalWeb"/>
    <w:uiPriority w:val="99"/>
    <w:rsid w:val="00932EE4"/>
    <w:rPr>
      <w:sz w:val="24"/>
      <w:szCs w:val="24"/>
      <w:lang w:val="en-GB" w:eastAsia="en-US" w:bidi="ar-SA"/>
    </w:rPr>
  </w:style>
  <w:style w:type="character" w:customStyle="1" w:styleId="FootnoteTextChar1">
    <w:name w:val="Footnote Text Char1"/>
    <w:aliases w:val=" Char Char Char Char, Char Char Char Char Char Char Char1, Char Char Char Char Char Char Char Char,Char Char Char Char,Char Char Char Char Char Char1,Char Char Char Char Char Char Char1,Char Char Char Char Char Char Char Char"/>
    <w:uiPriority w:val="99"/>
    <w:rsid w:val="00932EE4"/>
    <w:rPr>
      <w:rFonts w:cs="Times New Roman"/>
      <w:lang w:val="en-GB" w:eastAsia="en-US" w:bidi="ar-SA"/>
    </w:rPr>
  </w:style>
  <w:style w:type="character" w:customStyle="1" w:styleId="CommentTextChar">
    <w:name w:val="Comment Text Char"/>
    <w:link w:val="CommentText"/>
    <w:uiPriority w:val="99"/>
    <w:rsid w:val="00932EE4"/>
    <w:rPr>
      <w:lang w:val="en-GB" w:eastAsia="en-US" w:bidi="ar-SA"/>
    </w:rPr>
  </w:style>
  <w:style w:type="character" w:customStyle="1" w:styleId="NoSpacingChar">
    <w:name w:val="No Spacing Char"/>
    <w:link w:val="NoSpacing"/>
    <w:uiPriority w:val="1"/>
    <w:rsid w:val="0045546D"/>
    <w:rPr>
      <w:rFonts w:ascii="Calibri" w:hAnsi="Calibri"/>
      <w:sz w:val="22"/>
      <w:szCs w:val="22"/>
      <w:lang w:val="en-US" w:eastAsia="en-US" w:bidi="ar-SA"/>
    </w:rPr>
  </w:style>
  <w:style w:type="paragraph" w:customStyle="1" w:styleId="WW-Default">
    <w:name w:val="WW-Default"/>
    <w:rsid w:val="001C7E90"/>
    <w:pPr>
      <w:suppressAutoHyphens/>
      <w:autoSpaceDE w:val="0"/>
    </w:pPr>
    <w:rPr>
      <w:rFonts w:eastAsia="SimSun"/>
      <w:color w:val="000000"/>
      <w:sz w:val="24"/>
      <w:szCs w:val="24"/>
      <w:lang w:val="en-US" w:eastAsia="ar-SA"/>
    </w:rPr>
  </w:style>
  <w:style w:type="paragraph" w:styleId="CommentSubject">
    <w:name w:val="annotation subject"/>
    <w:basedOn w:val="CommentText"/>
    <w:next w:val="CommentText"/>
    <w:link w:val="CommentSubjectChar"/>
    <w:uiPriority w:val="99"/>
    <w:semiHidden/>
    <w:unhideWhenUsed/>
    <w:rsid w:val="007442CD"/>
    <w:rPr>
      <w:b/>
      <w:bCs/>
    </w:rPr>
  </w:style>
  <w:style w:type="character" w:customStyle="1" w:styleId="CommentSubjectChar">
    <w:name w:val="Comment Subject Char"/>
    <w:link w:val="CommentSubject"/>
    <w:uiPriority w:val="99"/>
    <w:semiHidden/>
    <w:rsid w:val="007442CD"/>
    <w:rPr>
      <w:b/>
      <w:bCs/>
      <w:lang w:val="en-GB" w:eastAsia="en-US" w:bidi="ar-SA"/>
    </w:rPr>
  </w:style>
  <w:style w:type="character" w:customStyle="1" w:styleId="ListParagraphChar">
    <w:name w:val="List Paragraph Char"/>
    <w:aliases w:val="references Char,List Paragraph1 Char,F5 List Paragraph Char,Dot pt Char,No Spacing1 Char,List Paragraph Char Char Char Char,Indicator Text Char,Numbered Para 1 Char,Bullet 1 Char,List Paragraph12 Char,Bullet Points Char"/>
    <w:link w:val="ListParagraph"/>
    <w:uiPriority w:val="34"/>
    <w:qFormat/>
    <w:locked/>
    <w:rsid w:val="005762F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2472">
      <w:bodyDiv w:val="1"/>
      <w:marLeft w:val="0"/>
      <w:marRight w:val="0"/>
      <w:marTop w:val="0"/>
      <w:marBottom w:val="0"/>
      <w:divBdr>
        <w:top w:val="none" w:sz="0" w:space="0" w:color="auto"/>
        <w:left w:val="none" w:sz="0" w:space="0" w:color="auto"/>
        <w:bottom w:val="none" w:sz="0" w:space="0" w:color="auto"/>
        <w:right w:val="none" w:sz="0" w:space="0" w:color="auto"/>
      </w:divBdr>
    </w:div>
    <w:div w:id="834492503">
      <w:bodyDiv w:val="1"/>
      <w:marLeft w:val="0"/>
      <w:marRight w:val="0"/>
      <w:marTop w:val="0"/>
      <w:marBottom w:val="0"/>
      <w:divBdr>
        <w:top w:val="none" w:sz="0" w:space="0" w:color="auto"/>
        <w:left w:val="none" w:sz="0" w:space="0" w:color="auto"/>
        <w:bottom w:val="none" w:sz="0" w:space="0" w:color="auto"/>
        <w:right w:val="none" w:sz="0" w:space="0" w:color="auto"/>
      </w:divBdr>
    </w:div>
    <w:div w:id="1417435883">
      <w:bodyDiv w:val="1"/>
      <w:marLeft w:val="0"/>
      <w:marRight w:val="0"/>
      <w:marTop w:val="0"/>
      <w:marBottom w:val="0"/>
      <w:divBdr>
        <w:top w:val="none" w:sz="0" w:space="0" w:color="auto"/>
        <w:left w:val="none" w:sz="0" w:space="0" w:color="auto"/>
        <w:bottom w:val="none" w:sz="0" w:space="0" w:color="auto"/>
        <w:right w:val="none" w:sz="0" w:space="0" w:color="auto"/>
      </w:divBdr>
    </w:div>
    <w:div w:id="16302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dof.gov.ph/wp-content/uploads/2020/11/We-Will-Rise-As-One-brochure-as-of-Oct-30.pdf" TargetMode="External"/><Relationship Id="rId2" Type="http://schemas.openxmlformats.org/officeDocument/2006/relationships/hyperlink" Target="http://tbinternet.ohchr.org/Treaties/CEDAW/Shared%20Documents/PHL/INT_CEDAW_NGO_PHL_24222_E.pdf" TargetMode="External"/><Relationship Id="rId1" Type="http://schemas.openxmlformats.org/officeDocument/2006/relationships/hyperlink" Target="https://chr-observatories.uwazi.io/page/x4zyavfe0g" TargetMode="External"/><Relationship Id="rId4" Type="http://schemas.openxmlformats.org/officeDocument/2006/relationships/hyperlink" Target="https://chr.gov.ph/statement-of-the-chr-spokesperson-atty-jacqueline-ann-de-guia-on-local-government-efforts-to-speed-up-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8ED0-4D86-4F8E-8138-CBB2CF12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1010278</vt:lpstr>
    </vt:vector>
  </TitlesOfParts>
  <Company>CSD</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1010278</dc:title>
  <dc:subject>A/HRC/47/NI/XX</dc:subject>
  <dc:creator>OHCHR</dc:creator>
  <dc:description>Final</dc:description>
  <cp:lastModifiedBy>LANZ Veronique</cp:lastModifiedBy>
  <cp:revision>2</cp:revision>
  <cp:lastPrinted>2016-01-29T11:21:00Z</cp:lastPrinted>
  <dcterms:created xsi:type="dcterms:W3CDTF">2021-07-02T10:42:00Z</dcterms:created>
  <dcterms:modified xsi:type="dcterms:W3CDTF">2021-07-02T10:42:00Z</dcterms:modified>
</cp:coreProperties>
</file>