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14:paraId="102D3C18" w14:textId="77777777" w:rsidTr="00E6618E">
        <w:trPr>
          <w:trHeight w:hRule="exact" w:val="851"/>
        </w:trPr>
        <w:tc>
          <w:tcPr>
            <w:tcW w:w="1276" w:type="dxa"/>
            <w:tcBorders>
              <w:bottom w:val="single" w:sz="4" w:space="0" w:color="auto"/>
            </w:tcBorders>
          </w:tcPr>
          <w:p w14:paraId="7860EC15" w14:textId="77777777" w:rsidR="00A12E20" w:rsidRPr="00DB58B5" w:rsidRDefault="00A12E20" w:rsidP="006A1321"/>
        </w:tc>
        <w:tc>
          <w:tcPr>
            <w:tcW w:w="2268" w:type="dxa"/>
            <w:tcBorders>
              <w:bottom w:val="single" w:sz="4" w:space="0" w:color="auto"/>
            </w:tcBorders>
            <w:vAlign w:val="bottom"/>
          </w:tcPr>
          <w:p w14:paraId="394DE727" w14:textId="77777777"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CA99104" w14:textId="77777777" w:rsidR="00A12E20" w:rsidRPr="00DB58B5" w:rsidRDefault="006A1321" w:rsidP="006A1321">
            <w:pPr>
              <w:jc w:val="right"/>
            </w:pPr>
            <w:r w:rsidRPr="006A1321">
              <w:rPr>
                <w:sz w:val="40"/>
              </w:rPr>
              <w:t>A</w:t>
            </w:r>
            <w:r>
              <w:t>/HRC/44/L.8</w:t>
            </w:r>
            <w:r w:rsidR="00BE1E51" w:rsidRPr="00BE1E51">
              <w:rPr>
                <w:rStyle w:val="Appelnotedebasdep"/>
                <w:sz w:val="20"/>
                <w:vertAlign w:val="baseline"/>
              </w:rPr>
              <w:footnoteReference w:customMarkFollows="1" w:id="2"/>
              <w:t>*</w:t>
            </w:r>
          </w:p>
        </w:tc>
      </w:tr>
      <w:tr w:rsidR="00A12E20" w:rsidRPr="00DB58B5" w14:paraId="00FC137E" w14:textId="77777777" w:rsidTr="00E6618E">
        <w:trPr>
          <w:trHeight w:hRule="exact" w:val="2835"/>
        </w:trPr>
        <w:tc>
          <w:tcPr>
            <w:tcW w:w="1276" w:type="dxa"/>
            <w:tcBorders>
              <w:top w:val="single" w:sz="4" w:space="0" w:color="auto"/>
              <w:bottom w:val="single" w:sz="12" w:space="0" w:color="auto"/>
            </w:tcBorders>
          </w:tcPr>
          <w:p w14:paraId="32671F17" w14:textId="77777777" w:rsidR="00A12E20" w:rsidRPr="00DB58B5" w:rsidRDefault="00A12E20" w:rsidP="00E6618E">
            <w:pPr>
              <w:spacing w:before="120"/>
              <w:jc w:val="center"/>
            </w:pPr>
            <w:r>
              <w:rPr>
                <w:noProof/>
                <w:lang w:eastAsia="fr-CH"/>
              </w:rPr>
              <w:drawing>
                <wp:inline distT="0" distB="0" distL="0" distR="0" wp14:anchorId="5BDCA900" wp14:editId="3B4C3D1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207BF0" w14:textId="77777777"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2E3F8413" w14:textId="77777777" w:rsidR="00A12E20" w:rsidRDefault="006A1321" w:rsidP="00E6618E">
            <w:pPr>
              <w:spacing w:before="240"/>
            </w:pPr>
            <w:r>
              <w:t xml:space="preserve">Distr. </w:t>
            </w:r>
            <w:r w:rsidR="00BE1E51">
              <w:t>limitée</w:t>
            </w:r>
          </w:p>
          <w:p w14:paraId="55BA973B" w14:textId="77777777" w:rsidR="006A1321" w:rsidRDefault="006A1321" w:rsidP="006A1321">
            <w:pPr>
              <w:spacing w:line="240" w:lineRule="exact"/>
            </w:pPr>
            <w:r>
              <w:t>13 juillet 2020</w:t>
            </w:r>
          </w:p>
          <w:p w14:paraId="72489377" w14:textId="77777777" w:rsidR="006A1321" w:rsidRDefault="006A1321" w:rsidP="006A1321">
            <w:pPr>
              <w:spacing w:line="240" w:lineRule="exact"/>
            </w:pPr>
            <w:r>
              <w:t>Français</w:t>
            </w:r>
          </w:p>
          <w:p w14:paraId="654E1EAF" w14:textId="5B206899" w:rsidR="006A1321" w:rsidRPr="00DB58B5" w:rsidRDefault="006A1321" w:rsidP="006A1321">
            <w:pPr>
              <w:spacing w:line="240" w:lineRule="exact"/>
            </w:pPr>
            <w:r>
              <w:t>Original</w:t>
            </w:r>
            <w:bookmarkStart w:id="0" w:name="_GoBack"/>
            <w:bookmarkEnd w:id="0"/>
            <w:r w:rsidR="00D35A8F">
              <w:t> :</w:t>
            </w:r>
            <w:r>
              <w:t xml:space="preserve"> anglais</w:t>
            </w:r>
          </w:p>
        </w:tc>
      </w:tr>
    </w:tbl>
    <w:p w14:paraId="61847C2C" w14:textId="77777777" w:rsidR="00D45432" w:rsidRDefault="00D45432" w:rsidP="00D45432">
      <w:pPr>
        <w:spacing w:before="120"/>
        <w:rPr>
          <w:b/>
          <w:sz w:val="24"/>
          <w:szCs w:val="24"/>
        </w:rPr>
      </w:pPr>
      <w:r w:rsidRPr="00BA184E">
        <w:rPr>
          <w:b/>
          <w:sz w:val="24"/>
          <w:szCs w:val="24"/>
        </w:rPr>
        <w:t>Conseil des droits de l’homme</w:t>
      </w:r>
    </w:p>
    <w:p w14:paraId="329C950E" w14:textId="77777777" w:rsidR="00D35A8F" w:rsidRPr="001F4F6B" w:rsidRDefault="00D35A8F" w:rsidP="00D35A8F">
      <w:pPr>
        <w:rPr>
          <w:b/>
        </w:rPr>
      </w:pPr>
      <w:r w:rsidRPr="001F4F6B">
        <w:rPr>
          <w:b/>
          <w:bCs/>
        </w:rPr>
        <w:t>Quarante-quatrième session</w:t>
      </w:r>
    </w:p>
    <w:p w14:paraId="3C0EFCB3" w14:textId="77777777" w:rsidR="00D35A8F" w:rsidRPr="001F4F6B" w:rsidRDefault="00D35A8F" w:rsidP="00D35A8F">
      <w:r w:rsidRPr="001F4F6B">
        <w:t>30 juin-17 juillet 2020</w:t>
      </w:r>
    </w:p>
    <w:p w14:paraId="260124DD" w14:textId="77777777" w:rsidR="00D35A8F" w:rsidRPr="001F4F6B" w:rsidRDefault="00D35A8F" w:rsidP="00D35A8F">
      <w:r w:rsidRPr="001F4F6B">
        <w:t>Point 2 de l’ordre du jour</w:t>
      </w:r>
    </w:p>
    <w:p w14:paraId="14EFF0DA" w14:textId="77777777" w:rsidR="00D35A8F" w:rsidRPr="001F4F6B" w:rsidRDefault="00D35A8F" w:rsidP="00D35A8F">
      <w:pPr>
        <w:ind w:right="4676"/>
        <w:rPr>
          <w:b/>
        </w:rPr>
      </w:pPr>
      <w:r w:rsidRPr="001F4F6B">
        <w:rPr>
          <w:b/>
          <w:bCs/>
        </w:rPr>
        <w:t>Rapport annuel du Haut-Commissaire des Nations Unies aux droits de l’homme et rapports du Haut-Commissariat et du Secrétaire général</w:t>
      </w:r>
    </w:p>
    <w:p w14:paraId="53F7A85F" w14:textId="77777777" w:rsidR="00D35A8F" w:rsidRPr="001F4F6B" w:rsidRDefault="00D35A8F" w:rsidP="00D35A8F">
      <w:pPr>
        <w:pStyle w:val="H23G"/>
      </w:pPr>
      <w:r>
        <w:tab/>
      </w:r>
      <w:r w:rsidRPr="001F4F6B">
        <w:tab/>
      </w:r>
      <w:r w:rsidRPr="00082F92">
        <w:t>Allemagne, Australie, Autriche, Belgique</w:t>
      </w:r>
      <w:r w:rsidR="00BE1E51" w:rsidRPr="00BE1E51">
        <w:rPr>
          <w:rStyle w:val="Appelnotedebasdep"/>
          <w:b w:val="0"/>
          <w:bCs/>
          <w:sz w:val="20"/>
          <w:vertAlign w:val="baseline"/>
        </w:rPr>
        <w:footnoteReference w:customMarkFollows="1" w:id="3"/>
        <w:t>**</w:t>
      </w:r>
      <w:r>
        <w:t>,</w:t>
      </w:r>
      <w:r w:rsidRPr="00082F92">
        <w:t xml:space="preserve"> Bulgarie, Canada</w:t>
      </w:r>
      <w:r w:rsidRPr="00D35A8F">
        <w:rPr>
          <w:b w:val="0"/>
        </w:rPr>
        <w:t>*</w:t>
      </w:r>
      <w:r w:rsidR="00BE1E51">
        <w:rPr>
          <w:b w:val="0"/>
        </w:rPr>
        <w:t>*</w:t>
      </w:r>
      <w:r>
        <w:t>,</w:t>
      </w:r>
      <w:r w:rsidRPr="00082F92">
        <w:t xml:space="preserve"> Chypre</w:t>
      </w:r>
      <w:r w:rsidRPr="00D35A8F">
        <w:rPr>
          <w:b w:val="0"/>
        </w:rPr>
        <w:t>*</w:t>
      </w:r>
      <w:r w:rsidR="00BE1E51">
        <w:rPr>
          <w:b w:val="0"/>
        </w:rPr>
        <w:t>*</w:t>
      </w:r>
      <w:r>
        <w:t>,</w:t>
      </w:r>
      <w:r w:rsidRPr="00082F92">
        <w:t xml:space="preserve"> Croatie</w:t>
      </w:r>
      <w:r w:rsidRPr="00D35A8F">
        <w:rPr>
          <w:b w:val="0"/>
        </w:rPr>
        <w:t>*</w:t>
      </w:r>
      <w:r w:rsidR="00BE1E51">
        <w:rPr>
          <w:b w:val="0"/>
        </w:rPr>
        <w:t>*</w:t>
      </w:r>
      <w:r>
        <w:t>,</w:t>
      </w:r>
      <w:r w:rsidRPr="00082F92">
        <w:t xml:space="preserve"> Danemark, Espagne, Estonie</w:t>
      </w:r>
      <w:r w:rsidRPr="00D35A8F">
        <w:rPr>
          <w:b w:val="0"/>
        </w:rPr>
        <w:t>*</w:t>
      </w:r>
      <w:r w:rsidR="00BE1E51">
        <w:rPr>
          <w:b w:val="0"/>
        </w:rPr>
        <w:t>*</w:t>
      </w:r>
      <w:r>
        <w:t>,</w:t>
      </w:r>
      <w:r w:rsidRPr="00082F92">
        <w:t xml:space="preserve"> Finlande</w:t>
      </w:r>
      <w:r w:rsidRPr="00D35A8F">
        <w:rPr>
          <w:b w:val="0"/>
        </w:rPr>
        <w:t>*</w:t>
      </w:r>
      <w:r w:rsidR="00BE1E51">
        <w:rPr>
          <w:b w:val="0"/>
        </w:rPr>
        <w:t>*</w:t>
      </w:r>
      <w:r>
        <w:t xml:space="preserve">, </w:t>
      </w:r>
      <w:r w:rsidRPr="00082F92">
        <w:t>France</w:t>
      </w:r>
      <w:r w:rsidRPr="00D35A8F">
        <w:rPr>
          <w:b w:val="0"/>
        </w:rPr>
        <w:t>*</w:t>
      </w:r>
      <w:r w:rsidR="00BE1E51">
        <w:rPr>
          <w:b w:val="0"/>
        </w:rPr>
        <w:t>*</w:t>
      </w:r>
      <w:r>
        <w:t>,</w:t>
      </w:r>
      <w:r w:rsidRPr="00082F92">
        <w:t xml:space="preserve"> Grèce</w:t>
      </w:r>
      <w:r w:rsidRPr="00D35A8F">
        <w:rPr>
          <w:b w:val="0"/>
        </w:rPr>
        <w:t>*</w:t>
      </w:r>
      <w:r w:rsidR="00BE1E51">
        <w:rPr>
          <w:b w:val="0"/>
        </w:rPr>
        <w:t>*</w:t>
      </w:r>
      <w:r>
        <w:t>,</w:t>
      </w:r>
      <w:r w:rsidRPr="00082F92">
        <w:t xml:space="preserve"> Irlande</w:t>
      </w:r>
      <w:r w:rsidRPr="00D35A8F">
        <w:rPr>
          <w:b w:val="0"/>
        </w:rPr>
        <w:t>*</w:t>
      </w:r>
      <w:r w:rsidR="00BE1E51">
        <w:rPr>
          <w:b w:val="0"/>
        </w:rPr>
        <w:t>*</w:t>
      </w:r>
      <w:r>
        <w:t>,</w:t>
      </w:r>
      <w:r w:rsidRPr="00082F92">
        <w:t xml:space="preserve"> Islande</w:t>
      </w:r>
      <w:r w:rsidRPr="00D35A8F">
        <w:rPr>
          <w:b w:val="0"/>
        </w:rPr>
        <w:t>*</w:t>
      </w:r>
      <w:r w:rsidR="00BE1E51">
        <w:rPr>
          <w:b w:val="0"/>
        </w:rPr>
        <w:t>*</w:t>
      </w:r>
      <w:r>
        <w:t>,</w:t>
      </w:r>
      <w:r w:rsidRPr="00082F92">
        <w:t xml:space="preserve"> Italie, Lettonie</w:t>
      </w:r>
      <w:r w:rsidRPr="00D35A8F">
        <w:rPr>
          <w:b w:val="0"/>
        </w:rPr>
        <w:t>*</w:t>
      </w:r>
      <w:r w:rsidR="00BE1E51">
        <w:rPr>
          <w:b w:val="0"/>
        </w:rPr>
        <w:t>*</w:t>
      </w:r>
      <w:r>
        <w:t>,</w:t>
      </w:r>
      <w:r w:rsidRPr="00082F92">
        <w:t xml:space="preserve"> Liechtenstein</w:t>
      </w:r>
      <w:r w:rsidRPr="00D35A8F">
        <w:rPr>
          <w:b w:val="0"/>
        </w:rPr>
        <w:t>*</w:t>
      </w:r>
      <w:r w:rsidR="00BE1E51">
        <w:rPr>
          <w:b w:val="0"/>
        </w:rPr>
        <w:t>*</w:t>
      </w:r>
      <w:r>
        <w:t>,</w:t>
      </w:r>
      <w:r w:rsidRPr="00082F92">
        <w:t xml:space="preserve"> Lituanie</w:t>
      </w:r>
      <w:r w:rsidRPr="00D35A8F">
        <w:rPr>
          <w:b w:val="0"/>
        </w:rPr>
        <w:t>*</w:t>
      </w:r>
      <w:r w:rsidR="00BE1E51">
        <w:rPr>
          <w:b w:val="0"/>
        </w:rPr>
        <w:t>*</w:t>
      </w:r>
      <w:r>
        <w:t>,</w:t>
      </w:r>
      <w:r w:rsidRPr="00082F92">
        <w:t xml:space="preserve"> Luxembourg</w:t>
      </w:r>
      <w:r w:rsidRPr="00D35A8F">
        <w:rPr>
          <w:b w:val="0"/>
        </w:rPr>
        <w:t>*</w:t>
      </w:r>
      <w:r w:rsidR="00BE1E51">
        <w:rPr>
          <w:b w:val="0"/>
        </w:rPr>
        <w:t>*</w:t>
      </w:r>
      <w:r>
        <w:t>,</w:t>
      </w:r>
      <w:r w:rsidRPr="00082F92">
        <w:t xml:space="preserve"> </w:t>
      </w:r>
      <w:r>
        <w:t>Macédoine du nord</w:t>
      </w:r>
      <w:r w:rsidRPr="00D35A8F">
        <w:rPr>
          <w:b w:val="0"/>
        </w:rPr>
        <w:t>*</w:t>
      </w:r>
      <w:r w:rsidR="00BE1E51">
        <w:rPr>
          <w:b w:val="0"/>
        </w:rPr>
        <w:t>*</w:t>
      </w:r>
      <w:r>
        <w:t>,</w:t>
      </w:r>
      <w:r w:rsidRPr="00082F92">
        <w:t xml:space="preserve"> Malte</w:t>
      </w:r>
      <w:r w:rsidRPr="00D35A8F">
        <w:rPr>
          <w:b w:val="0"/>
        </w:rPr>
        <w:t>*</w:t>
      </w:r>
      <w:r w:rsidR="00BE1E51">
        <w:rPr>
          <w:b w:val="0"/>
        </w:rPr>
        <w:t>*</w:t>
      </w:r>
      <w:r>
        <w:t>,</w:t>
      </w:r>
      <w:r w:rsidRPr="00082F92">
        <w:t xml:space="preserve"> Monaco</w:t>
      </w:r>
      <w:r w:rsidRPr="00D35A8F">
        <w:rPr>
          <w:b w:val="0"/>
        </w:rPr>
        <w:t>*</w:t>
      </w:r>
      <w:r w:rsidR="00BE1E51">
        <w:rPr>
          <w:b w:val="0"/>
        </w:rPr>
        <w:t>*</w:t>
      </w:r>
      <w:r>
        <w:t>,</w:t>
      </w:r>
      <w:r w:rsidRPr="00082F92">
        <w:t xml:space="preserve"> Monténégro</w:t>
      </w:r>
      <w:r w:rsidRPr="00D35A8F">
        <w:rPr>
          <w:b w:val="0"/>
        </w:rPr>
        <w:t>*</w:t>
      </w:r>
      <w:r w:rsidR="00BE1E51">
        <w:rPr>
          <w:b w:val="0"/>
        </w:rPr>
        <w:t>*</w:t>
      </w:r>
      <w:r>
        <w:t>,</w:t>
      </w:r>
      <w:r w:rsidRPr="00082F92">
        <w:t xml:space="preserve"> Norvège</w:t>
      </w:r>
      <w:r w:rsidRPr="00D35A8F">
        <w:rPr>
          <w:b w:val="0"/>
        </w:rPr>
        <w:t>*</w:t>
      </w:r>
      <w:r w:rsidR="00BE1E51">
        <w:rPr>
          <w:b w:val="0"/>
        </w:rPr>
        <w:t>*</w:t>
      </w:r>
      <w:r>
        <w:t>,</w:t>
      </w:r>
      <w:r w:rsidRPr="00082F92">
        <w:t xml:space="preserve"> Pays-Bas, Pologne, Roumanie</w:t>
      </w:r>
      <w:r w:rsidRPr="00D35A8F">
        <w:rPr>
          <w:b w:val="0"/>
        </w:rPr>
        <w:t>*</w:t>
      </w:r>
      <w:r w:rsidR="00BE1E51">
        <w:rPr>
          <w:b w:val="0"/>
        </w:rPr>
        <w:t>*</w:t>
      </w:r>
      <w:r>
        <w:t>,</w:t>
      </w:r>
      <w:r w:rsidRPr="00082F92">
        <w:t xml:space="preserve"> Slovaquie, Slovénie</w:t>
      </w:r>
      <w:r w:rsidRPr="00D35A8F">
        <w:rPr>
          <w:b w:val="0"/>
        </w:rPr>
        <w:t>*</w:t>
      </w:r>
      <w:r w:rsidR="00BE1E51">
        <w:rPr>
          <w:b w:val="0"/>
        </w:rPr>
        <w:t>*</w:t>
      </w:r>
      <w:r>
        <w:t>,</w:t>
      </w:r>
      <w:r w:rsidRPr="00082F92">
        <w:t xml:space="preserve"> Suède</w:t>
      </w:r>
      <w:r w:rsidRPr="00D35A8F">
        <w:rPr>
          <w:b w:val="0"/>
        </w:rPr>
        <w:t>*</w:t>
      </w:r>
      <w:r w:rsidR="00BE1E51">
        <w:rPr>
          <w:b w:val="0"/>
        </w:rPr>
        <w:t>*</w:t>
      </w:r>
      <w:r>
        <w:t xml:space="preserve">, </w:t>
      </w:r>
      <w:r w:rsidRPr="00082F92">
        <w:t>Suisse</w:t>
      </w:r>
      <w:r>
        <w:t xml:space="preserve"> et </w:t>
      </w:r>
      <w:r w:rsidRPr="00082F92">
        <w:t>Tchéquie</w:t>
      </w:r>
      <w:r>
        <w:t> </w:t>
      </w:r>
      <w:r w:rsidRPr="00D35A8F">
        <w:t>:</w:t>
      </w:r>
      <w:r>
        <w:t xml:space="preserve"> </w:t>
      </w:r>
      <w:r w:rsidRPr="001F4F6B">
        <w:rPr>
          <w:bCs/>
        </w:rPr>
        <w:t>projet de résolution</w:t>
      </w:r>
    </w:p>
    <w:p w14:paraId="5F0321CC" w14:textId="77777777" w:rsidR="00D35A8F" w:rsidRPr="001F4F6B" w:rsidRDefault="00D35A8F" w:rsidP="00D35A8F">
      <w:pPr>
        <w:pStyle w:val="H1G"/>
        <w:ind w:left="1985" w:hanging="851"/>
      </w:pPr>
      <w:r w:rsidRPr="001F4F6B">
        <w:t>44/</w:t>
      </w:r>
      <w:r>
        <w:t>…</w:t>
      </w:r>
      <w:r w:rsidRPr="001F4F6B">
        <w:tab/>
        <w:t>Situation des droits de l’homme en Érythrée</w:t>
      </w:r>
    </w:p>
    <w:p w14:paraId="16346E6C" w14:textId="77777777" w:rsidR="00D35A8F" w:rsidRPr="001F4F6B" w:rsidRDefault="00D35A8F" w:rsidP="00D35A8F">
      <w:pPr>
        <w:spacing w:after="120"/>
        <w:ind w:left="1134" w:right="1134" w:firstLine="567"/>
        <w:jc w:val="both"/>
      </w:pPr>
      <w:r w:rsidRPr="001F4F6B">
        <w:rPr>
          <w:i/>
          <w:iCs/>
        </w:rPr>
        <w:t>Le Conseil des droits de l’homme</w:t>
      </w:r>
      <w:r w:rsidRPr="001F4F6B">
        <w:t>,</w:t>
      </w:r>
    </w:p>
    <w:p w14:paraId="747CDA81" w14:textId="77777777" w:rsidR="00D35A8F" w:rsidRPr="001F4F6B" w:rsidRDefault="00D35A8F" w:rsidP="00D35A8F">
      <w:pPr>
        <w:pStyle w:val="SingleTxtG"/>
        <w:ind w:firstLine="567"/>
      </w:pPr>
      <w:r w:rsidRPr="001F4F6B">
        <w:rPr>
          <w:i/>
          <w:iCs/>
        </w:rPr>
        <w:t>Guidé</w:t>
      </w:r>
      <w:r w:rsidRPr="001F4F6B">
        <w:t xml:space="preserve"> par la Charte des Nations Unies, la Déclaration universelle des droits de l’homme, les Pactes internationaux relatifs aux droits de l’homme et les autres instruments internationaux pertinents relatifs aux droits de l’homme,</w:t>
      </w:r>
    </w:p>
    <w:p w14:paraId="74D78CAF" w14:textId="77777777" w:rsidR="00D35A8F" w:rsidRPr="001F4F6B" w:rsidRDefault="00D35A8F" w:rsidP="00D35A8F">
      <w:pPr>
        <w:pStyle w:val="SingleTxtG"/>
        <w:ind w:firstLine="567"/>
      </w:pPr>
      <w:r w:rsidRPr="001F4F6B">
        <w:rPr>
          <w:i/>
          <w:iCs/>
        </w:rPr>
        <w:t>Rappelant</w:t>
      </w:r>
      <w:r w:rsidRPr="001F4F6B">
        <w:t xml:space="preserve"> la résolution 60/251 de l’Assemblée générale, du 15</w:t>
      </w:r>
      <w:r>
        <w:t> </w:t>
      </w:r>
      <w:r w:rsidRPr="001F4F6B">
        <w:t>mars 2006</w:t>
      </w:r>
      <w:r>
        <w:t>,</w:t>
      </w:r>
      <w:r w:rsidRPr="001F4F6B">
        <w:t xml:space="preserve"> ses résolutions 5/1 et 5/2, du 18</w:t>
      </w:r>
      <w:r>
        <w:t> </w:t>
      </w:r>
      <w:r w:rsidRPr="001F4F6B">
        <w:t>juin 2007</w:t>
      </w:r>
      <w:r>
        <w:t> ;</w:t>
      </w:r>
      <w:r w:rsidRPr="001F4F6B">
        <w:t xml:space="preserve"> la résolution 91 et les décisions 250/2002, 275/2003 et 428/12 de la Commission africaine des droits de l’homme et des peuples</w:t>
      </w:r>
      <w:r>
        <w:t>,</w:t>
      </w:r>
      <w:r w:rsidRPr="001F4F6B">
        <w:t xml:space="preserve"> et toutes ses résolutions antérieures sur la situation des droits de l’homme en Érythrée,</w:t>
      </w:r>
    </w:p>
    <w:p w14:paraId="0C3CFF4D" w14:textId="77777777" w:rsidR="00D35A8F" w:rsidRPr="001F4F6B" w:rsidRDefault="00D35A8F" w:rsidP="00D35A8F">
      <w:pPr>
        <w:pStyle w:val="SingleTxtG"/>
        <w:ind w:firstLine="567"/>
      </w:pPr>
      <w:r w:rsidRPr="001F4F6B">
        <w:rPr>
          <w:i/>
          <w:iCs/>
        </w:rPr>
        <w:t>Rappelant également</w:t>
      </w:r>
      <w:r w:rsidRPr="001F4F6B">
        <w:t xml:space="preserve"> les grandes évolutions survenues dans la région ces dernières années et le potentiel qu’elles représentent pour le développement des droits de l’homme en Érythrée,</w:t>
      </w:r>
    </w:p>
    <w:p w14:paraId="1B1AEBD7" w14:textId="77777777" w:rsidR="00D35A8F" w:rsidRPr="001F4F6B" w:rsidRDefault="00D35A8F" w:rsidP="00D35A8F">
      <w:pPr>
        <w:pStyle w:val="SingleTxtG"/>
        <w:ind w:firstLine="567"/>
      </w:pPr>
      <w:r w:rsidRPr="001F4F6B">
        <w:rPr>
          <w:i/>
          <w:iCs/>
        </w:rPr>
        <w:t xml:space="preserve">Se félicitant </w:t>
      </w:r>
      <w:r w:rsidRPr="001F4F6B">
        <w:t>que le Gouvernement érythréen se soit engagé en faveur de la réalisation des objectifs de développement durable, ait participé au troisième cycle de l’Examen périodique universel le 28</w:t>
      </w:r>
      <w:r>
        <w:t> </w:t>
      </w:r>
      <w:r w:rsidRPr="001F4F6B">
        <w:t>janvier 2019</w:t>
      </w:r>
      <w:r w:rsidRPr="001F4F6B">
        <w:rPr>
          <w:rStyle w:val="Appelnotedebasdep"/>
        </w:rPr>
        <w:footnoteReference w:id="4"/>
      </w:r>
      <w:r w:rsidRPr="001F4F6B">
        <w:t xml:space="preserve"> et ait pris part à un dialogue sur les droits de l’homme avec le Comité pour l’élimination de la discrimination à l’égard des femmes le 14</w:t>
      </w:r>
      <w:r>
        <w:t> </w:t>
      </w:r>
      <w:r w:rsidRPr="001F4F6B">
        <w:t>février 2020</w:t>
      </w:r>
      <w:r w:rsidRPr="001F4F6B">
        <w:rPr>
          <w:rStyle w:val="Appelnotedebasdep"/>
        </w:rPr>
        <w:footnoteReference w:id="5"/>
      </w:r>
      <w:r w:rsidRPr="001F4F6B">
        <w:t>,</w:t>
      </w:r>
    </w:p>
    <w:p w14:paraId="72D659CA" w14:textId="77777777" w:rsidR="00D35A8F" w:rsidRPr="001F4F6B" w:rsidRDefault="00D35A8F" w:rsidP="00D35A8F">
      <w:pPr>
        <w:pStyle w:val="SingleTxtG"/>
        <w:ind w:firstLine="567"/>
      </w:pPr>
      <w:r w:rsidRPr="001F4F6B">
        <w:rPr>
          <w:i/>
          <w:iCs/>
        </w:rPr>
        <w:t>Accueillant avec satisfaction</w:t>
      </w:r>
      <w:r w:rsidRPr="001F4F6B">
        <w:t xml:space="preserve"> le rapport de la Rapporteuse spéciale sur la situation des droits de l’homme en Érythrée</w:t>
      </w:r>
      <w:r w:rsidRPr="001F4F6B">
        <w:rPr>
          <w:rStyle w:val="Appelnotedebasdep"/>
        </w:rPr>
        <w:footnoteReference w:id="6"/>
      </w:r>
      <w:r w:rsidRPr="001F4F6B">
        <w:t xml:space="preserve"> et les conclusions qui y sont formulées,</w:t>
      </w:r>
    </w:p>
    <w:p w14:paraId="243F8D8D" w14:textId="77777777" w:rsidR="00D35A8F" w:rsidRPr="001F4F6B" w:rsidRDefault="00D35A8F" w:rsidP="00D35A8F">
      <w:pPr>
        <w:pStyle w:val="SingleTxtG"/>
        <w:keepLines/>
        <w:ind w:firstLine="567"/>
      </w:pPr>
      <w:r w:rsidRPr="001F4F6B">
        <w:lastRenderedPageBreak/>
        <w:t>1.</w:t>
      </w:r>
      <w:r w:rsidRPr="001F4F6B">
        <w:tab/>
      </w:r>
      <w:r w:rsidRPr="001F4F6B">
        <w:rPr>
          <w:i/>
          <w:iCs/>
        </w:rPr>
        <w:t>Prie</w:t>
      </w:r>
      <w:r w:rsidRPr="001F4F6B">
        <w:t xml:space="preserve"> le Haut-Commissariat des Nations Unies aux droits de l’homme de lui présenter, à sa quarante-sixième session, un compte rendu oral des progrès accomplis en ce qui concerne la coopération entre l’Érythrée et le Haut-Commissariat et de leur incidence sur la situation des droits de l’homme en Érythrée</w:t>
      </w:r>
      <w:r>
        <w:t> ;</w:t>
      </w:r>
    </w:p>
    <w:p w14:paraId="352614BE" w14:textId="77777777" w:rsidR="00D35A8F" w:rsidRPr="001F4F6B" w:rsidRDefault="00D35A8F" w:rsidP="00D35A8F">
      <w:pPr>
        <w:pStyle w:val="SingleTxtG"/>
        <w:ind w:firstLine="567"/>
      </w:pPr>
      <w:r w:rsidRPr="001F4F6B">
        <w:t>2.</w:t>
      </w:r>
      <w:r w:rsidRPr="001F4F6B">
        <w:tab/>
      </w:r>
      <w:bookmarkStart w:id="1" w:name="_Hlk45543237"/>
      <w:r w:rsidRPr="001F4F6B">
        <w:rPr>
          <w:i/>
          <w:iCs/>
        </w:rPr>
        <w:t>Décide</w:t>
      </w:r>
      <w:r w:rsidRPr="001F4F6B">
        <w:t xml:space="preserve"> de proroger le mandat de la Rapporteuse spéciale sur la situation des droits de l’homme en Érythrée pour une nouvelle période d’un an et de continuer d’évaluer la situation des droits de l’homme et d’en rendre compte sur la base du rapport de la Rapporteuse spéciale, et prie celle-ci de lui présenter un compte rendu oral à sa quarante-sixième session, au cours d’un dialogue, et de faire rapport sur les activités qu’elle aura menées, au cours d’un dialogue également, à sa quarante-septième session et à la soixante-quinzième session de l’Assemblée générale</w:t>
      </w:r>
      <w:r>
        <w:t> ;</w:t>
      </w:r>
    </w:p>
    <w:bookmarkEnd w:id="1"/>
    <w:p w14:paraId="10F6918C" w14:textId="77777777" w:rsidR="00D35A8F" w:rsidRPr="001F4F6B" w:rsidRDefault="00D35A8F" w:rsidP="00D35A8F">
      <w:pPr>
        <w:pStyle w:val="SingleTxtG"/>
        <w:ind w:firstLine="567"/>
      </w:pPr>
      <w:r w:rsidRPr="001F4F6B">
        <w:t>3.</w:t>
      </w:r>
      <w:r w:rsidRPr="001F4F6B">
        <w:tab/>
      </w:r>
      <w:r w:rsidRPr="001F4F6B">
        <w:rPr>
          <w:i/>
          <w:iCs/>
        </w:rPr>
        <w:t>Demande</w:t>
      </w:r>
      <w:r w:rsidRPr="001F4F6B">
        <w:t xml:space="preserve"> au Gouvernement érythréen de coopérer pleinement avec la Rapporteuse spéciale, notamment en l’autorisant à se rendre dans le pays et en s’engageant à faire des progrès au regard des cinq critères proposés</w:t>
      </w:r>
      <w:r w:rsidRPr="001F4F6B">
        <w:rPr>
          <w:rStyle w:val="Appelnotedebasdep"/>
        </w:rPr>
        <w:footnoteReference w:id="7"/>
      </w:r>
      <w:r>
        <w:t> ;</w:t>
      </w:r>
    </w:p>
    <w:p w14:paraId="5E3A5723" w14:textId="77777777" w:rsidR="00D35A8F" w:rsidRPr="001F4F6B" w:rsidRDefault="00D35A8F" w:rsidP="00D35A8F">
      <w:pPr>
        <w:pStyle w:val="SingleTxtG"/>
        <w:ind w:firstLine="567"/>
      </w:pPr>
      <w:r w:rsidRPr="001F4F6B">
        <w:t>4.</w:t>
      </w:r>
      <w:r w:rsidRPr="001F4F6B">
        <w:tab/>
      </w:r>
      <w:r w:rsidRPr="001F4F6B">
        <w:rPr>
          <w:i/>
          <w:iCs/>
        </w:rPr>
        <w:t>Prie</w:t>
      </w:r>
      <w:r w:rsidRPr="001F4F6B">
        <w:t xml:space="preserve"> le Secrétaire général de fournir à la Rapporteuse spéciale toutes les informations et les ressources nécessaires à l’accomplissement de son mandat</w:t>
      </w:r>
      <w:r>
        <w:t> ;</w:t>
      </w:r>
    </w:p>
    <w:p w14:paraId="7F2DCB27" w14:textId="77777777" w:rsidR="00D35A8F" w:rsidRPr="001F4F6B" w:rsidRDefault="00D35A8F" w:rsidP="00D35A8F">
      <w:pPr>
        <w:pStyle w:val="SingleTxtG"/>
        <w:ind w:firstLine="567"/>
      </w:pPr>
      <w:r w:rsidRPr="001F4F6B">
        <w:t>5.</w:t>
      </w:r>
      <w:r w:rsidRPr="001F4F6B">
        <w:tab/>
      </w:r>
      <w:r w:rsidRPr="001F4F6B">
        <w:rPr>
          <w:i/>
          <w:iCs/>
        </w:rPr>
        <w:t>Décide</w:t>
      </w:r>
      <w:r w:rsidRPr="001F4F6B">
        <w:t xml:space="preserve"> de rester saisi de la question.</w:t>
      </w:r>
    </w:p>
    <w:p w14:paraId="1AD79786" w14:textId="77777777" w:rsidR="00552797" w:rsidRPr="00D35A8F" w:rsidRDefault="00D35A8F" w:rsidP="00D35A8F">
      <w:pPr>
        <w:pStyle w:val="SingleTxtG"/>
        <w:spacing w:before="240" w:after="0"/>
        <w:jc w:val="center"/>
        <w:rPr>
          <w:u w:val="single"/>
        </w:rPr>
      </w:pPr>
      <w:r>
        <w:rPr>
          <w:u w:val="single"/>
        </w:rPr>
        <w:tab/>
      </w:r>
      <w:r>
        <w:rPr>
          <w:u w:val="single"/>
        </w:rPr>
        <w:tab/>
      </w:r>
      <w:r>
        <w:rPr>
          <w:u w:val="single"/>
        </w:rPr>
        <w:tab/>
      </w:r>
    </w:p>
    <w:sectPr w:rsidR="00552797" w:rsidRPr="00D35A8F" w:rsidSect="006A132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6921A" w14:textId="77777777" w:rsidR="00ED4149" w:rsidRPr="00EF7F30" w:rsidRDefault="00ED4149" w:rsidP="00EF7F30">
      <w:pPr>
        <w:pStyle w:val="Pieddepage"/>
      </w:pPr>
    </w:p>
  </w:endnote>
  <w:endnote w:type="continuationSeparator" w:id="0">
    <w:p w14:paraId="1FB980BA" w14:textId="77777777" w:rsidR="00ED4149" w:rsidRPr="00EF7F30" w:rsidRDefault="00ED4149" w:rsidP="00EF7F30">
      <w:pPr>
        <w:pStyle w:val="Pieddepage"/>
      </w:pPr>
    </w:p>
  </w:endnote>
  <w:endnote w:type="continuationNotice" w:id="1">
    <w:p w14:paraId="5E4FDC2A" w14:textId="77777777" w:rsidR="00ED4149" w:rsidRDefault="00ED41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12EEE" w14:textId="77777777" w:rsidR="006A1321" w:rsidRPr="006A1321" w:rsidRDefault="006A1321" w:rsidP="006A1321">
    <w:pPr>
      <w:pStyle w:val="Pieddepage"/>
      <w:tabs>
        <w:tab w:val="right" w:pos="9638"/>
      </w:tabs>
    </w:pPr>
    <w:r w:rsidRPr="006A1321">
      <w:rPr>
        <w:b/>
        <w:sz w:val="18"/>
      </w:rPr>
      <w:fldChar w:fldCharType="begin"/>
    </w:r>
    <w:r w:rsidRPr="006A1321">
      <w:rPr>
        <w:b/>
        <w:sz w:val="18"/>
      </w:rPr>
      <w:instrText xml:space="preserve"> PAGE  \* MERGEFORMAT </w:instrText>
    </w:r>
    <w:r w:rsidRPr="006A1321">
      <w:rPr>
        <w:b/>
        <w:sz w:val="18"/>
      </w:rPr>
      <w:fldChar w:fldCharType="separate"/>
    </w:r>
    <w:r w:rsidRPr="006A1321">
      <w:rPr>
        <w:b/>
        <w:noProof/>
        <w:sz w:val="18"/>
      </w:rPr>
      <w:t>2</w:t>
    </w:r>
    <w:r w:rsidRPr="006A1321">
      <w:rPr>
        <w:b/>
        <w:sz w:val="18"/>
      </w:rPr>
      <w:fldChar w:fldCharType="end"/>
    </w:r>
    <w:r>
      <w:rPr>
        <w:b/>
        <w:sz w:val="18"/>
      </w:rPr>
      <w:tab/>
    </w:r>
    <w:r>
      <w:t>GE.20-09192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AB93B" w14:textId="77777777" w:rsidR="006A1321" w:rsidRPr="006A1321" w:rsidRDefault="006A1321" w:rsidP="006A1321">
    <w:pPr>
      <w:pStyle w:val="Pieddepage"/>
      <w:tabs>
        <w:tab w:val="right" w:pos="9638"/>
      </w:tabs>
      <w:rPr>
        <w:b/>
        <w:sz w:val="18"/>
      </w:rPr>
    </w:pPr>
    <w:r>
      <w:t>GE.20-09192</w:t>
    </w:r>
    <w:r>
      <w:tab/>
    </w:r>
    <w:r w:rsidRPr="006A1321">
      <w:rPr>
        <w:b/>
        <w:sz w:val="18"/>
      </w:rPr>
      <w:fldChar w:fldCharType="begin"/>
    </w:r>
    <w:r w:rsidRPr="006A1321">
      <w:rPr>
        <w:b/>
        <w:sz w:val="18"/>
      </w:rPr>
      <w:instrText xml:space="preserve"> PAGE  \* MERGEFORMAT </w:instrText>
    </w:r>
    <w:r w:rsidRPr="006A1321">
      <w:rPr>
        <w:b/>
        <w:sz w:val="18"/>
      </w:rPr>
      <w:fldChar w:fldCharType="separate"/>
    </w:r>
    <w:r w:rsidRPr="006A1321">
      <w:rPr>
        <w:b/>
        <w:noProof/>
        <w:sz w:val="18"/>
      </w:rPr>
      <w:t>3</w:t>
    </w:r>
    <w:r w:rsidRPr="006A132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8D2A5" w14:textId="77777777" w:rsidR="0094352E" w:rsidRPr="006A1321" w:rsidRDefault="006A1321" w:rsidP="006A1321">
    <w:pPr>
      <w:pStyle w:val="Pieddepage"/>
      <w:spacing w:before="120"/>
      <w:rPr>
        <w:sz w:val="20"/>
      </w:rPr>
    </w:pPr>
    <w:r>
      <w:rPr>
        <w:sz w:val="20"/>
      </w:rPr>
      <w:t>GE.</w:t>
    </w:r>
    <w:r w:rsidR="0094352E">
      <w:rPr>
        <w:noProof/>
        <w:lang w:eastAsia="fr-CH"/>
      </w:rPr>
      <w:drawing>
        <wp:anchor distT="0" distB="0" distL="114300" distR="114300" simplePos="0" relativeHeight="251660288" behindDoc="0" locked="0" layoutInCell="1" allowOverlap="0" wp14:anchorId="505A2D3B" wp14:editId="2E86184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20-09192  (F)    130720    130720</w:t>
    </w:r>
    <w:r>
      <w:rPr>
        <w:sz w:val="20"/>
      </w:rPr>
      <w:br/>
    </w:r>
    <w:r w:rsidRPr="006A1321">
      <w:rPr>
        <w:rFonts w:ascii="C39T30Lfz" w:hAnsi="C39T30Lfz"/>
        <w:sz w:val="56"/>
      </w:rPr>
      <w:t></w:t>
    </w:r>
    <w:r w:rsidRPr="006A1321">
      <w:rPr>
        <w:rFonts w:ascii="C39T30Lfz" w:hAnsi="C39T30Lfz"/>
        <w:sz w:val="56"/>
      </w:rPr>
      <w:t></w:t>
    </w:r>
    <w:r w:rsidRPr="006A1321">
      <w:rPr>
        <w:rFonts w:ascii="C39T30Lfz" w:hAnsi="C39T30Lfz"/>
        <w:sz w:val="56"/>
      </w:rPr>
      <w:t></w:t>
    </w:r>
    <w:r w:rsidRPr="006A1321">
      <w:rPr>
        <w:rFonts w:ascii="C39T30Lfz" w:hAnsi="C39T30Lfz"/>
        <w:sz w:val="56"/>
      </w:rPr>
      <w:t></w:t>
    </w:r>
    <w:r w:rsidRPr="006A1321">
      <w:rPr>
        <w:rFonts w:ascii="C39T30Lfz" w:hAnsi="C39T30Lfz"/>
        <w:sz w:val="56"/>
      </w:rPr>
      <w:t></w:t>
    </w:r>
    <w:r w:rsidRPr="006A1321">
      <w:rPr>
        <w:rFonts w:ascii="C39T30Lfz" w:hAnsi="C39T30Lfz"/>
        <w:sz w:val="56"/>
      </w:rPr>
      <w:t></w:t>
    </w:r>
    <w:r w:rsidRPr="006A1321">
      <w:rPr>
        <w:rFonts w:ascii="C39T30Lfz" w:hAnsi="C39T30Lfz"/>
        <w:sz w:val="56"/>
      </w:rPr>
      <w:t></w:t>
    </w:r>
    <w:r w:rsidRPr="006A1321">
      <w:rPr>
        <w:rFonts w:ascii="C39T30Lfz" w:hAnsi="C39T30Lfz"/>
        <w:sz w:val="56"/>
      </w:rPr>
      <w:t></w:t>
    </w:r>
    <w:r w:rsidRPr="006A1321">
      <w:rPr>
        <w:rFonts w:ascii="C39T30Lfz" w:hAnsi="C39T30Lfz"/>
        <w:sz w:val="56"/>
      </w:rPr>
      <w:t></w:t>
    </w:r>
    <w:r>
      <w:rPr>
        <w:noProof/>
        <w:sz w:val="20"/>
      </w:rPr>
      <w:drawing>
        <wp:anchor distT="0" distB="0" distL="114300" distR="114300" simplePos="0" relativeHeight="251658240" behindDoc="0" locked="0" layoutInCell="1" allowOverlap="1" wp14:anchorId="695E78EA" wp14:editId="6851A563">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C1B32" w14:textId="77777777" w:rsidR="00ED4149" w:rsidRPr="00EF7F30" w:rsidRDefault="00ED4149" w:rsidP="00EF7F30">
      <w:pPr>
        <w:pStyle w:val="Pieddepage"/>
        <w:tabs>
          <w:tab w:val="right" w:pos="2155"/>
        </w:tabs>
        <w:spacing w:after="80" w:line="240" w:lineRule="atLeast"/>
        <w:ind w:left="680"/>
        <w:rPr>
          <w:u w:val="single"/>
        </w:rPr>
      </w:pPr>
      <w:r w:rsidRPr="00EF7F30">
        <w:rPr>
          <w:u w:val="single"/>
        </w:rPr>
        <w:tab/>
      </w:r>
    </w:p>
  </w:footnote>
  <w:footnote w:type="continuationSeparator" w:id="0">
    <w:p w14:paraId="0CCE837C" w14:textId="77777777" w:rsidR="00ED4149" w:rsidRPr="00EF7F30" w:rsidRDefault="00ED4149" w:rsidP="000E5ADA">
      <w:pPr>
        <w:pStyle w:val="Pieddepage"/>
        <w:tabs>
          <w:tab w:val="right" w:pos="2155"/>
        </w:tabs>
        <w:spacing w:after="80" w:line="240" w:lineRule="atLeast"/>
        <w:ind w:left="680"/>
      </w:pPr>
      <w:r w:rsidRPr="00EF7F30">
        <w:rPr>
          <w:u w:val="single"/>
        </w:rPr>
        <w:tab/>
      </w:r>
    </w:p>
  </w:footnote>
  <w:footnote w:type="continuationNotice" w:id="1">
    <w:p w14:paraId="5AC23818" w14:textId="77777777" w:rsidR="00ED4149" w:rsidRPr="000F2457" w:rsidRDefault="00ED4149">
      <w:pPr>
        <w:spacing w:line="240" w:lineRule="auto"/>
        <w:rPr>
          <w:sz w:val="2"/>
          <w:szCs w:val="2"/>
        </w:rPr>
      </w:pPr>
    </w:p>
  </w:footnote>
  <w:footnote w:id="2">
    <w:p w14:paraId="1F42B4E3" w14:textId="77777777" w:rsidR="00BE1E51" w:rsidRPr="00BE1E51" w:rsidRDefault="00BE1E51">
      <w:pPr>
        <w:pStyle w:val="Notedebasdepage"/>
      </w:pPr>
      <w:r>
        <w:rPr>
          <w:rStyle w:val="Appelnotedebasdep"/>
        </w:rPr>
        <w:tab/>
      </w:r>
      <w:r w:rsidRPr="00BE1E51">
        <w:rPr>
          <w:rStyle w:val="Appelnotedebasdep"/>
          <w:sz w:val="20"/>
          <w:vertAlign w:val="baseline"/>
        </w:rPr>
        <w:t>*</w:t>
      </w:r>
      <w:r>
        <w:rPr>
          <w:rStyle w:val="Appelnotedebasdep"/>
          <w:sz w:val="20"/>
          <w:vertAlign w:val="baseline"/>
        </w:rPr>
        <w:tab/>
      </w:r>
      <w:r>
        <w:t>Nouveau tirage pour raisons techniques (14 juillet 2020).</w:t>
      </w:r>
    </w:p>
  </w:footnote>
  <w:footnote w:id="3">
    <w:p w14:paraId="5D222DD9" w14:textId="77777777" w:rsidR="00BE1E51" w:rsidRPr="00BE1E51" w:rsidRDefault="00BE1E51">
      <w:pPr>
        <w:pStyle w:val="Notedebasdepage"/>
      </w:pPr>
      <w:r>
        <w:rPr>
          <w:rStyle w:val="Appelnotedebasdep"/>
        </w:rPr>
        <w:tab/>
      </w:r>
      <w:r w:rsidRPr="00BE1E51">
        <w:rPr>
          <w:rStyle w:val="Appelnotedebasdep"/>
          <w:sz w:val="20"/>
          <w:vertAlign w:val="baseline"/>
        </w:rPr>
        <w:t>**</w:t>
      </w:r>
      <w:r>
        <w:rPr>
          <w:rStyle w:val="Appelnotedebasdep"/>
          <w:sz w:val="20"/>
          <w:vertAlign w:val="baseline"/>
        </w:rPr>
        <w:tab/>
      </w:r>
      <w:r>
        <w:rPr>
          <w:lang w:val="fr-FR"/>
        </w:rPr>
        <w:t>État non membre du Conseil des droits de l’homme.</w:t>
      </w:r>
    </w:p>
  </w:footnote>
  <w:footnote w:id="4">
    <w:p w14:paraId="0345BF51" w14:textId="77777777" w:rsidR="00D35A8F" w:rsidRPr="00D35A8F" w:rsidRDefault="00D35A8F" w:rsidP="00D35A8F">
      <w:pPr>
        <w:pStyle w:val="Notedebasdepage"/>
        <w:rPr>
          <w:lang w:val="en-US"/>
        </w:rPr>
      </w:pPr>
      <w:r w:rsidRPr="00D35A8F">
        <w:tab/>
      </w:r>
      <w:r w:rsidRPr="00D35A8F">
        <w:rPr>
          <w:rStyle w:val="Appelnotedebasdep"/>
        </w:rPr>
        <w:footnoteRef/>
      </w:r>
      <w:r w:rsidRPr="00D35A8F">
        <w:rPr>
          <w:lang w:val="en-US"/>
        </w:rPr>
        <w:tab/>
        <w:t>A/HRC/41/14.</w:t>
      </w:r>
    </w:p>
  </w:footnote>
  <w:footnote w:id="5">
    <w:p w14:paraId="25C945F8" w14:textId="77777777" w:rsidR="00D35A8F" w:rsidRPr="00D35A8F" w:rsidRDefault="00D35A8F" w:rsidP="00D35A8F">
      <w:pPr>
        <w:pStyle w:val="Notedebasdepage"/>
        <w:rPr>
          <w:lang w:val="en-US"/>
        </w:rPr>
      </w:pPr>
      <w:r w:rsidRPr="00D35A8F">
        <w:rPr>
          <w:lang w:val="en-US"/>
        </w:rPr>
        <w:tab/>
      </w:r>
      <w:r w:rsidRPr="00D35A8F">
        <w:rPr>
          <w:rStyle w:val="Appelnotedebasdep"/>
        </w:rPr>
        <w:footnoteRef/>
      </w:r>
      <w:r w:rsidRPr="00D35A8F">
        <w:rPr>
          <w:lang w:val="en-US"/>
        </w:rPr>
        <w:tab/>
        <w:t>Voir CEDAW/C/ERI/CO/6.</w:t>
      </w:r>
    </w:p>
  </w:footnote>
  <w:footnote w:id="6">
    <w:p w14:paraId="358DEFC6" w14:textId="77777777" w:rsidR="00D35A8F" w:rsidRPr="00D35A8F" w:rsidRDefault="00D35A8F" w:rsidP="00D35A8F">
      <w:pPr>
        <w:pStyle w:val="Notedebasdepage"/>
      </w:pPr>
      <w:r w:rsidRPr="00D35A8F">
        <w:rPr>
          <w:lang w:val="en-US"/>
        </w:rPr>
        <w:tab/>
      </w:r>
      <w:r w:rsidRPr="00D35A8F">
        <w:rPr>
          <w:rStyle w:val="Appelnotedebasdep"/>
        </w:rPr>
        <w:footnoteRef/>
      </w:r>
      <w:r w:rsidRPr="00D35A8F">
        <w:tab/>
        <w:t>A/HRC/44/23.</w:t>
      </w:r>
    </w:p>
  </w:footnote>
  <w:footnote w:id="7">
    <w:p w14:paraId="21343DA6" w14:textId="77777777" w:rsidR="00D35A8F" w:rsidRPr="00D35A8F" w:rsidRDefault="00D35A8F" w:rsidP="00D35A8F">
      <w:pPr>
        <w:pStyle w:val="Notedebasdepage"/>
      </w:pPr>
      <w:r w:rsidRPr="00D35A8F">
        <w:tab/>
      </w:r>
      <w:r w:rsidRPr="00D35A8F">
        <w:rPr>
          <w:rStyle w:val="Appelnotedebasdep"/>
        </w:rPr>
        <w:footnoteRef/>
      </w:r>
      <w:r w:rsidRPr="00D35A8F">
        <w:tab/>
        <w:t>A/HRC/41/53, par.</w:t>
      </w:r>
      <w:r>
        <w:t> </w:t>
      </w:r>
      <w:r w:rsidRPr="00D35A8F">
        <w:t>75 à 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1FAE8" w14:textId="639018D8" w:rsidR="006A1321" w:rsidRPr="006A1321" w:rsidRDefault="00762E5C">
    <w:pPr>
      <w:pStyle w:val="En-tte"/>
    </w:pPr>
    <w:r>
      <w:fldChar w:fldCharType="begin"/>
    </w:r>
    <w:r>
      <w:instrText xml:space="preserve"> TITLE  \* MERGEFORMAT </w:instrText>
    </w:r>
    <w:r>
      <w:fldChar w:fldCharType="separate"/>
    </w:r>
    <w:r>
      <w:t>A/HRC/44/L.8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8FD9F" w14:textId="29B335B7" w:rsidR="006A1321" w:rsidRPr="006A1321" w:rsidRDefault="00762E5C" w:rsidP="006A1321">
    <w:pPr>
      <w:pStyle w:val="En-tte"/>
      <w:jc w:val="right"/>
    </w:pPr>
    <w:r>
      <w:fldChar w:fldCharType="begin"/>
    </w:r>
    <w:r>
      <w:instrText xml:space="preserve"> TITLE  \* MERGEFORMAT </w:instrText>
    </w:r>
    <w:r>
      <w:fldChar w:fldCharType="separate"/>
    </w:r>
    <w:r>
      <w:t>A/HRC/44/L.8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49"/>
    <w:rsid w:val="00023842"/>
    <w:rsid w:val="0007796D"/>
    <w:rsid w:val="000E5ADA"/>
    <w:rsid w:val="000F2457"/>
    <w:rsid w:val="00111F2F"/>
    <w:rsid w:val="00131E73"/>
    <w:rsid w:val="0014365E"/>
    <w:rsid w:val="00176178"/>
    <w:rsid w:val="001F525A"/>
    <w:rsid w:val="00212168"/>
    <w:rsid w:val="002165E2"/>
    <w:rsid w:val="00260711"/>
    <w:rsid w:val="002E0D9C"/>
    <w:rsid w:val="003547BE"/>
    <w:rsid w:val="004324FF"/>
    <w:rsid w:val="00446FE5"/>
    <w:rsid w:val="00552797"/>
    <w:rsid w:val="00573BE5"/>
    <w:rsid w:val="00586ED3"/>
    <w:rsid w:val="00587A52"/>
    <w:rsid w:val="005B4E23"/>
    <w:rsid w:val="00617B29"/>
    <w:rsid w:val="0068446C"/>
    <w:rsid w:val="00695AED"/>
    <w:rsid w:val="006A1321"/>
    <w:rsid w:val="00710BD6"/>
    <w:rsid w:val="0071601D"/>
    <w:rsid w:val="00721020"/>
    <w:rsid w:val="00731589"/>
    <w:rsid w:val="00762E5C"/>
    <w:rsid w:val="007C1512"/>
    <w:rsid w:val="0080684C"/>
    <w:rsid w:val="00871C75"/>
    <w:rsid w:val="008776DC"/>
    <w:rsid w:val="008B386A"/>
    <w:rsid w:val="0094352E"/>
    <w:rsid w:val="00962015"/>
    <w:rsid w:val="009705C8"/>
    <w:rsid w:val="009A47AB"/>
    <w:rsid w:val="00A12E20"/>
    <w:rsid w:val="00A2307A"/>
    <w:rsid w:val="00A31C56"/>
    <w:rsid w:val="00AC7BEB"/>
    <w:rsid w:val="00AE323C"/>
    <w:rsid w:val="00B16AAF"/>
    <w:rsid w:val="00B22A9E"/>
    <w:rsid w:val="00B24C75"/>
    <w:rsid w:val="00B528BF"/>
    <w:rsid w:val="00BE1E51"/>
    <w:rsid w:val="00C02897"/>
    <w:rsid w:val="00C12613"/>
    <w:rsid w:val="00D35A8F"/>
    <w:rsid w:val="00D45432"/>
    <w:rsid w:val="00DB1831"/>
    <w:rsid w:val="00DD3BFD"/>
    <w:rsid w:val="00E228A8"/>
    <w:rsid w:val="00E6618E"/>
    <w:rsid w:val="00ED4149"/>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3BD56B"/>
  <w15:docId w15:val="{DDE3EB00-07D0-4723-9A9E-23AB3A30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E35C6-EBD8-4D06-9C78-3497A24C3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2</Pages>
  <Words>488</Words>
  <Characters>2934</Characters>
  <Application>Microsoft Office Word</Application>
  <DocSecurity>0</DocSecurity>
  <Lines>419</Lines>
  <Paragraphs>180</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A/HRC/44/L.8</dc:title>
  <dc:subject/>
  <dc:creator>Nicolas MORIN</dc:creator>
  <cp:keywords/>
  <cp:lastModifiedBy>Nicolas MORIN</cp:lastModifiedBy>
  <cp:revision>3</cp:revision>
  <cp:lastPrinted>2020-07-14T10:11:00Z</cp:lastPrinted>
  <dcterms:created xsi:type="dcterms:W3CDTF">2020-07-14T10:11:00Z</dcterms:created>
  <dcterms:modified xsi:type="dcterms:W3CDTF">2020-07-14T10:11:00Z</dcterms:modified>
</cp:coreProperties>
</file>