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252B2408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2692131" w14:textId="77777777" w:rsidR="002D5AAC" w:rsidRDefault="002D5AAC" w:rsidP="005949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62B5767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7C4D4FA" w14:textId="77777777" w:rsidR="002D5AAC" w:rsidRDefault="00594954" w:rsidP="00594954">
            <w:pPr>
              <w:jc w:val="right"/>
            </w:pPr>
            <w:r w:rsidRPr="00594954">
              <w:rPr>
                <w:sz w:val="40"/>
              </w:rPr>
              <w:t>A</w:t>
            </w:r>
            <w:r>
              <w:t>/HRC/44/L.1</w:t>
            </w:r>
          </w:p>
        </w:tc>
      </w:tr>
      <w:tr w:rsidR="002D5AAC" w:rsidRPr="00477FC2" w14:paraId="54E5116C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121D01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46E6A6C" wp14:editId="1AF5549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EF5786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0FD974F" w14:textId="77777777" w:rsidR="002D5AAC" w:rsidRDefault="00594954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="00CD07E8">
              <w:rPr>
                <w:lang w:val="en-US"/>
              </w:rPr>
              <w:t>Limited</w:t>
            </w:r>
          </w:p>
          <w:p w14:paraId="5BA28432" w14:textId="77777777" w:rsidR="00594954" w:rsidRDefault="00594954" w:rsidP="005949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2020</w:t>
            </w:r>
          </w:p>
          <w:p w14:paraId="04B64B7C" w14:textId="77777777" w:rsidR="00594954" w:rsidRDefault="00594954" w:rsidP="005949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07A74F0" w14:textId="77777777" w:rsidR="00594954" w:rsidRPr="00E71476" w:rsidRDefault="00594954" w:rsidP="005949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2DA4E33" w14:textId="77777777" w:rsidR="00594954" w:rsidRPr="00594954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3BF6DEEF" w14:textId="77777777" w:rsidR="00594954" w:rsidRPr="00EE06CD" w:rsidRDefault="00594954" w:rsidP="00594954">
      <w:pPr>
        <w:rPr>
          <w:b/>
        </w:rPr>
      </w:pPr>
      <w:r>
        <w:rPr>
          <w:b/>
          <w:bCs/>
        </w:rPr>
        <w:t>Сорок четвертая сессия</w:t>
      </w:r>
    </w:p>
    <w:p w14:paraId="08D33997" w14:textId="77777777" w:rsidR="00594954" w:rsidRPr="00EE06CD" w:rsidRDefault="00594954" w:rsidP="00594954">
      <w:r>
        <w:t>30 июня – 17 июля 2020 года</w:t>
      </w:r>
    </w:p>
    <w:p w14:paraId="2A550343" w14:textId="77777777" w:rsidR="00594954" w:rsidRPr="00EE06CD" w:rsidRDefault="00594954" w:rsidP="00594954">
      <w:r>
        <w:t>Пункт 3 повестки дня</w:t>
      </w:r>
    </w:p>
    <w:p w14:paraId="1A6AFE07" w14:textId="77777777" w:rsidR="00594954" w:rsidRPr="00EE06CD" w:rsidRDefault="00594954" w:rsidP="00594954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 w:rsidR="00CD07E8">
        <w:rPr>
          <w:b/>
          <w:bCs/>
        </w:rPr>
        <w:br/>
      </w:r>
      <w:r>
        <w:rPr>
          <w:b/>
          <w:bCs/>
        </w:rPr>
        <w:t xml:space="preserve">гражданских, политических, экономических, </w:t>
      </w:r>
      <w:r w:rsidR="00CD07E8">
        <w:rPr>
          <w:b/>
          <w:bCs/>
        </w:rPr>
        <w:br/>
      </w:r>
      <w:r>
        <w:rPr>
          <w:b/>
          <w:bCs/>
        </w:rPr>
        <w:t xml:space="preserve">социальных и культурных прав, </w:t>
      </w:r>
      <w:r w:rsidR="00CD07E8">
        <w:rPr>
          <w:b/>
          <w:bCs/>
        </w:rPr>
        <w:br/>
      </w:r>
      <w:r>
        <w:rPr>
          <w:b/>
          <w:bCs/>
        </w:rPr>
        <w:t>включая право на развитие</w:t>
      </w:r>
    </w:p>
    <w:p w14:paraId="15A02079" w14:textId="0B19A7B4" w:rsidR="00594954" w:rsidRPr="00EE06CD" w:rsidRDefault="00594954" w:rsidP="00594954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tab/>
      </w:r>
      <w:r>
        <w:tab/>
      </w:r>
      <w:r w:rsidR="00B4076A" w:rsidRPr="00B4076A">
        <w:rPr>
          <w:b/>
          <w:bCs/>
        </w:rPr>
        <w:t>Австралия, Австрия, Албания</w:t>
      </w:r>
      <w:r w:rsidR="00D0471D" w:rsidRPr="00D0471D">
        <w:rPr>
          <w:rStyle w:val="aa"/>
          <w:sz w:val="20"/>
          <w:vertAlign w:val="baseline"/>
        </w:rPr>
        <w:footnoteReference w:customMarkFollows="1" w:id="1"/>
        <w:t>*</w:t>
      </w:r>
      <w:r w:rsidR="00B4076A" w:rsidRPr="00B4076A">
        <w:rPr>
          <w:b/>
          <w:bCs/>
        </w:rPr>
        <w:t>, Аргентина, Армения, Беларусь</w:t>
      </w:r>
      <w:r w:rsidR="00B4076A" w:rsidRPr="00B4076A">
        <w:t>*</w:t>
      </w:r>
      <w:r w:rsidR="00B4076A" w:rsidRPr="00B4076A">
        <w:rPr>
          <w:b/>
          <w:bCs/>
        </w:rPr>
        <w:t>, Бельгия</w:t>
      </w:r>
      <w:r w:rsidR="00B4076A" w:rsidRPr="00B4076A">
        <w:t>*</w:t>
      </w:r>
      <w:r w:rsidR="00B4076A" w:rsidRPr="00B4076A">
        <w:rPr>
          <w:b/>
          <w:bCs/>
        </w:rPr>
        <w:t>, Болгария, Венгрия</w:t>
      </w:r>
      <w:r w:rsidR="00B4076A" w:rsidRPr="00B4076A">
        <w:t>*</w:t>
      </w:r>
      <w:r w:rsidR="00B4076A" w:rsidRPr="00B4076A">
        <w:rPr>
          <w:b/>
          <w:bCs/>
        </w:rPr>
        <w:t>, Германия, Греция</w:t>
      </w:r>
      <w:r w:rsidR="00B4076A" w:rsidRPr="00B4076A">
        <w:t>*</w:t>
      </w:r>
      <w:r w:rsidR="00B4076A" w:rsidRPr="00B4076A">
        <w:rPr>
          <w:b/>
          <w:bCs/>
        </w:rPr>
        <w:t>, Грузия</w:t>
      </w:r>
      <w:r w:rsidR="00B4076A" w:rsidRPr="00B4076A">
        <w:t>*</w:t>
      </w:r>
      <w:r w:rsidR="00B4076A" w:rsidRPr="00B4076A">
        <w:rPr>
          <w:b/>
          <w:bCs/>
        </w:rPr>
        <w:t>, Дания, Ирландия</w:t>
      </w:r>
      <w:r w:rsidR="00B4076A" w:rsidRPr="00B4076A">
        <w:t>*</w:t>
      </w:r>
      <w:r w:rsidR="00B4076A" w:rsidRPr="00B4076A">
        <w:rPr>
          <w:b/>
          <w:bCs/>
        </w:rPr>
        <w:t>, Исландия</w:t>
      </w:r>
      <w:r w:rsidR="00B4076A" w:rsidRPr="00B4076A">
        <w:t>*</w:t>
      </w:r>
      <w:r w:rsidR="00B4076A" w:rsidRPr="00B4076A">
        <w:rPr>
          <w:b/>
          <w:bCs/>
        </w:rPr>
        <w:t>, Испания, Италия, Канада</w:t>
      </w:r>
      <w:r w:rsidR="00B4076A" w:rsidRPr="00B4076A">
        <w:t>*</w:t>
      </w:r>
      <w:r w:rsidR="00B4076A" w:rsidRPr="00B4076A">
        <w:rPr>
          <w:b/>
          <w:bCs/>
        </w:rPr>
        <w:t>, Катар, Кипр</w:t>
      </w:r>
      <w:r w:rsidR="00B4076A" w:rsidRPr="00B4076A">
        <w:t>*</w:t>
      </w:r>
      <w:r w:rsidR="00B4076A" w:rsidRPr="00B4076A">
        <w:rPr>
          <w:b/>
          <w:bCs/>
        </w:rPr>
        <w:t>, Коста-Рика</w:t>
      </w:r>
      <w:r w:rsidR="00B4076A" w:rsidRPr="00B4076A">
        <w:t>*</w:t>
      </w:r>
      <w:r w:rsidR="00B4076A" w:rsidRPr="00B4076A">
        <w:rPr>
          <w:b/>
          <w:bCs/>
        </w:rPr>
        <w:t>, Латвия</w:t>
      </w:r>
      <w:r w:rsidR="00B4076A" w:rsidRPr="00B4076A">
        <w:t>*</w:t>
      </w:r>
      <w:r w:rsidR="00B4076A" w:rsidRPr="00B4076A">
        <w:rPr>
          <w:b/>
          <w:bCs/>
        </w:rPr>
        <w:t>, Литва</w:t>
      </w:r>
      <w:r w:rsidR="00B4076A" w:rsidRPr="00B4076A">
        <w:t>*</w:t>
      </w:r>
      <w:r w:rsidR="00B4076A" w:rsidRPr="00B4076A">
        <w:rPr>
          <w:b/>
          <w:bCs/>
        </w:rPr>
        <w:t>, Люксембург</w:t>
      </w:r>
      <w:r w:rsidR="00B4076A" w:rsidRPr="00B4076A">
        <w:t>*</w:t>
      </w:r>
      <w:r w:rsidR="00B4076A" w:rsidRPr="00B4076A">
        <w:rPr>
          <w:b/>
          <w:bCs/>
        </w:rPr>
        <w:t>, Мальта</w:t>
      </w:r>
      <w:r w:rsidR="00B4076A" w:rsidRPr="00B4076A">
        <w:t>*</w:t>
      </w:r>
      <w:r w:rsidR="00B4076A" w:rsidRPr="00B4076A">
        <w:rPr>
          <w:b/>
          <w:bCs/>
        </w:rPr>
        <w:t>, Мексика, Монако</w:t>
      </w:r>
      <w:r w:rsidR="00B4076A" w:rsidRPr="00B4076A">
        <w:t>*</w:t>
      </w:r>
      <w:r w:rsidR="00B4076A" w:rsidRPr="00B4076A">
        <w:rPr>
          <w:b/>
          <w:bCs/>
        </w:rPr>
        <w:t>, Непал, Нидерланды, Норвегия</w:t>
      </w:r>
      <w:r w:rsidR="00B4076A" w:rsidRPr="00B4076A">
        <w:t>*</w:t>
      </w:r>
      <w:r w:rsidR="00B4076A" w:rsidRPr="00B4076A">
        <w:rPr>
          <w:b/>
          <w:bCs/>
        </w:rPr>
        <w:t>, Пакистан, Парагвай</w:t>
      </w:r>
      <w:r w:rsidR="00B4076A" w:rsidRPr="00B4076A">
        <w:t>*</w:t>
      </w:r>
      <w:r w:rsidR="00B4076A" w:rsidRPr="00B4076A">
        <w:rPr>
          <w:b/>
          <w:bCs/>
        </w:rPr>
        <w:t>, Перу, Польша, Португалия</w:t>
      </w:r>
      <w:r w:rsidR="00B4076A" w:rsidRPr="00B4076A">
        <w:t>*</w:t>
      </w:r>
      <w:r w:rsidR="00B4076A" w:rsidRPr="00B4076A">
        <w:rPr>
          <w:b/>
          <w:bCs/>
        </w:rPr>
        <w:t>, Румыния</w:t>
      </w:r>
      <w:r w:rsidR="00B4076A" w:rsidRPr="00B4076A">
        <w:t>*</w:t>
      </w:r>
      <w:r w:rsidR="00B4076A" w:rsidRPr="00B4076A">
        <w:rPr>
          <w:b/>
          <w:bCs/>
        </w:rPr>
        <w:t xml:space="preserve">, </w:t>
      </w:r>
      <w:r w:rsidR="00B4076A">
        <w:rPr>
          <w:b/>
          <w:bCs/>
        </w:rPr>
        <w:br/>
      </w:r>
      <w:r w:rsidR="00B4076A" w:rsidRPr="00B4076A">
        <w:rPr>
          <w:b/>
          <w:bCs/>
        </w:rPr>
        <w:t>Сан-Марино</w:t>
      </w:r>
      <w:r w:rsidR="00B4076A" w:rsidRPr="00B4076A">
        <w:t>*</w:t>
      </w:r>
      <w:r w:rsidR="00B4076A" w:rsidRPr="00B4076A">
        <w:rPr>
          <w:b/>
          <w:bCs/>
        </w:rPr>
        <w:t>, Северная Македония</w:t>
      </w:r>
      <w:r w:rsidR="00B4076A" w:rsidRPr="00B4076A">
        <w:t>*</w:t>
      </w:r>
      <w:r w:rsidR="00B4076A" w:rsidRPr="00B4076A">
        <w:rPr>
          <w:b/>
          <w:bCs/>
        </w:rPr>
        <w:t>, Словакия, Словения</w:t>
      </w:r>
      <w:r w:rsidR="00B4076A" w:rsidRPr="00B4076A">
        <w:t>*</w:t>
      </w:r>
      <w:r w:rsidR="00B4076A" w:rsidRPr="00B4076A">
        <w:rPr>
          <w:b/>
          <w:bCs/>
        </w:rPr>
        <w:t>, Таиланд</w:t>
      </w:r>
      <w:r w:rsidR="00B4076A" w:rsidRPr="00B4076A">
        <w:t>*</w:t>
      </w:r>
      <w:r w:rsidR="00B4076A" w:rsidRPr="00B4076A">
        <w:rPr>
          <w:b/>
          <w:bCs/>
        </w:rPr>
        <w:t>, Тунис</w:t>
      </w:r>
      <w:r w:rsidR="00B4076A" w:rsidRPr="00B4076A">
        <w:t>*</w:t>
      </w:r>
      <w:r w:rsidR="00B4076A" w:rsidRPr="00B4076A">
        <w:rPr>
          <w:b/>
          <w:bCs/>
        </w:rPr>
        <w:t>, Украина, Уругвай, Фиджи, Филиппины, Финляндия</w:t>
      </w:r>
      <w:r w:rsidR="00B4076A" w:rsidRPr="00B4076A">
        <w:t>*</w:t>
      </w:r>
      <w:r w:rsidR="00B4076A" w:rsidRPr="00B4076A">
        <w:rPr>
          <w:b/>
          <w:bCs/>
        </w:rPr>
        <w:t>, Франция</w:t>
      </w:r>
      <w:r w:rsidR="00B4076A" w:rsidRPr="00B4076A">
        <w:t>*</w:t>
      </w:r>
      <w:r w:rsidR="00B4076A" w:rsidRPr="00B4076A">
        <w:rPr>
          <w:b/>
          <w:bCs/>
        </w:rPr>
        <w:t>, Хорватия</w:t>
      </w:r>
      <w:r w:rsidR="00B4076A" w:rsidRPr="00B4076A">
        <w:t>*</w:t>
      </w:r>
      <w:r w:rsidR="00B4076A" w:rsidRPr="00B4076A">
        <w:rPr>
          <w:b/>
          <w:bCs/>
        </w:rPr>
        <w:t>, Черногория</w:t>
      </w:r>
      <w:r w:rsidR="00B4076A" w:rsidRPr="00B4076A">
        <w:t>*</w:t>
      </w:r>
      <w:r w:rsidR="00B4076A" w:rsidRPr="00B4076A">
        <w:rPr>
          <w:b/>
          <w:bCs/>
        </w:rPr>
        <w:t>, Чехия, Чили, Швейцария</w:t>
      </w:r>
      <w:r w:rsidR="00B4076A" w:rsidRPr="00B4076A">
        <w:t>*</w:t>
      </w:r>
      <w:r w:rsidR="00B4076A" w:rsidRPr="00B4076A">
        <w:rPr>
          <w:b/>
          <w:bCs/>
        </w:rPr>
        <w:t>, Швеция</w:t>
      </w:r>
      <w:r w:rsidR="00B4076A" w:rsidRPr="00B4076A">
        <w:t>*</w:t>
      </w:r>
      <w:r w:rsidR="00B4076A" w:rsidRPr="00B4076A">
        <w:rPr>
          <w:b/>
          <w:bCs/>
        </w:rPr>
        <w:t>, Эквадор</w:t>
      </w:r>
      <w:r w:rsidR="00B4076A" w:rsidRPr="00B4076A">
        <w:t>*</w:t>
      </w:r>
      <w:r w:rsidR="00B4076A" w:rsidRPr="00B4076A">
        <w:rPr>
          <w:b/>
          <w:bCs/>
        </w:rPr>
        <w:t>, Эсватини</w:t>
      </w:r>
      <w:r w:rsidR="00B4076A" w:rsidRPr="00B4076A">
        <w:t>*</w:t>
      </w:r>
      <w:r w:rsidR="00B4076A" w:rsidRPr="00B4076A">
        <w:rPr>
          <w:b/>
          <w:bCs/>
        </w:rPr>
        <w:t>, Эстония</w:t>
      </w:r>
      <w:r w:rsidR="00B4076A" w:rsidRPr="00B4076A">
        <w:t>*</w:t>
      </w:r>
      <w:r w:rsidR="00B4076A">
        <w:rPr>
          <w:b/>
          <w:bCs/>
        </w:rPr>
        <w:t xml:space="preserve"> и</w:t>
      </w:r>
      <w:r w:rsidR="00B4076A" w:rsidRPr="00B4076A">
        <w:rPr>
          <w:b/>
          <w:bCs/>
        </w:rPr>
        <w:t xml:space="preserve"> Япония</w:t>
      </w:r>
      <w:r w:rsidRPr="007109F7">
        <w:rPr>
          <w:b/>
          <w:bCs/>
        </w:rPr>
        <w:t>: прое</w:t>
      </w:r>
      <w:r>
        <w:rPr>
          <w:b/>
          <w:bCs/>
        </w:rPr>
        <w:t>кт резолюции</w:t>
      </w:r>
    </w:p>
    <w:p w14:paraId="3B0A71D6" w14:textId="77777777" w:rsidR="00594954" w:rsidRPr="00EE06CD" w:rsidRDefault="00CD07E8" w:rsidP="00CD07E8">
      <w:pPr>
        <w:pStyle w:val="H1G"/>
      </w:pPr>
      <w:r>
        <w:tab/>
      </w:r>
      <w:r>
        <w:tab/>
      </w:r>
      <w:r w:rsidR="00594954">
        <w:t>44/... Право на образование</w:t>
      </w:r>
      <w:bookmarkStart w:id="0" w:name="_GoBack"/>
      <w:bookmarkEnd w:id="0"/>
    </w:p>
    <w:p w14:paraId="1ABDFB35" w14:textId="77777777" w:rsidR="00594954" w:rsidRDefault="00594954" w:rsidP="00594954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человека,</w:t>
      </w:r>
    </w:p>
    <w:p w14:paraId="055AD947" w14:textId="77777777" w:rsidR="00594954" w:rsidRDefault="00594954" w:rsidP="00594954">
      <w:pPr>
        <w:spacing w:after="120"/>
        <w:ind w:left="1134" w:right="1134" w:firstLine="567"/>
        <w:jc w:val="both"/>
      </w:pPr>
      <w:r>
        <w:rPr>
          <w:i/>
          <w:iCs/>
        </w:rPr>
        <w:t>руководствуясь</w:t>
      </w:r>
      <w:r>
        <w:t xml:space="preserve"> целями и принципами Устава Организации Объединенных Наций,</w:t>
      </w:r>
    </w:p>
    <w:p w14:paraId="094E350A" w14:textId="77777777" w:rsidR="00594954" w:rsidRDefault="00594954" w:rsidP="00594954">
      <w:pPr>
        <w:pStyle w:val="SingleTxtG"/>
        <w:ind w:firstLine="567"/>
      </w:pPr>
      <w:r>
        <w:rPr>
          <w:i/>
          <w:iCs/>
        </w:rPr>
        <w:t>вновь подтверждая</w:t>
      </w:r>
      <w:r>
        <w:t xml:space="preserve"> право каждого человека на образование, которое закреплено, в частности, во Всеобщей декларации прав человека, Международном пакте об экономических, социальных и культурных правах, Конвенции о правах ребенка, Конвенции о ликвидации всех форм дискриминации в отношении женщин, Международной конвенции о ликвидации всех форм расовой дискриминации, Международной конвенции о защите прав всех трудящихся-мигрантов и членов их семей, Конвенции о правах инвалидов и Конвенции Организации Объединенных Наций по вопросам образования, науки и культуры о борьбе с дискриминацией в области образования, а также в других соответствующих международных договорах,</w:t>
      </w:r>
    </w:p>
    <w:p w14:paraId="1855759C" w14:textId="77777777" w:rsidR="00594954" w:rsidRDefault="00594954" w:rsidP="00594954">
      <w:pPr>
        <w:spacing w:after="120"/>
        <w:ind w:left="1134" w:right="1134" w:firstLine="567"/>
        <w:jc w:val="both"/>
      </w:pPr>
      <w:r>
        <w:rPr>
          <w:i/>
          <w:iCs/>
        </w:rPr>
        <w:t>вновь подтверждая</w:t>
      </w:r>
      <w:r>
        <w:t xml:space="preserve"> </w:t>
      </w:r>
      <w:r>
        <w:rPr>
          <w:i/>
          <w:iCs/>
        </w:rPr>
        <w:t>также</w:t>
      </w:r>
      <w:r>
        <w:t xml:space="preserve"> резолюцию 70/1 Генеральной Ассамблеи </w:t>
      </w:r>
      <w:r w:rsidR="00CD07E8">
        <w:br/>
      </w:r>
      <w:r>
        <w:t>от 2</w:t>
      </w:r>
      <w:r w:rsidR="00CD07E8" w:rsidRPr="00CD07E8">
        <w:t>7</w:t>
      </w:r>
      <w:r>
        <w:t xml:space="preserve"> сентября 2015 года, озаглавленную «Преобразование нашего мира: Повестка дня в области устойчивого развития на период до 2030 года», и приветствуя </w:t>
      </w:r>
      <w:r w:rsidR="00CD07E8">
        <w:t xml:space="preserve">Цели </w:t>
      </w:r>
      <w:r>
        <w:t xml:space="preserve">в области устойчивого развития, в том числе, в частности, </w:t>
      </w:r>
      <w:r w:rsidR="00CD07E8">
        <w:t xml:space="preserve">Цель </w:t>
      </w:r>
      <w:r>
        <w:t>4, касающуюся обеспечения инклюзивного и справедливого качественного образования и поощрение возможности обучения на протяжении всей жизни для всех, а также ее конкретные и взаимосвязанные задачи и другие цели и задачи, касающиеся образования,</w:t>
      </w:r>
    </w:p>
    <w:p w14:paraId="218DA542" w14:textId="77777777" w:rsidR="00594954" w:rsidRDefault="00594954" w:rsidP="00594954">
      <w:pPr>
        <w:spacing w:after="120"/>
        <w:ind w:left="1134" w:right="1134" w:firstLine="567"/>
        <w:jc w:val="both"/>
      </w:pPr>
      <w:r>
        <w:rPr>
          <w:i/>
          <w:iCs/>
        </w:rPr>
        <w:lastRenderedPageBreak/>
        <w:t>вновь подтверждая далее</w:t>
      </w:r>
      <w:r>
        <w:t xml:space="preserve"> резолюцию 8/4 Совета по правам человека от 18 июня 2008 года и ссылаясь на все другие резолюции Совета о праве на образование, последней из которых является резолюция 41/16 от 11 июля 2019 года, а также резолюции, принятые по данной теме Комиссией по правам человека,</w:t>
      </w:r>
    </w:p>
    <w:p w14:paraId="5209A8AC" w14:textId="77777777" w:rsidR="00594954" w:rsidRDefault="00594954" w:rsidP="00594954">
      <w:pPr>
        <w:spacing w:after="120"/>
        <w:ind w:left="1134" w:right="1134" w:firstLine="567"/>
        <w:jc w:val="both"/>
      </w:pPr>
      <w:r>
        <w:rPr>
          <w:i/>
          <w:iCs/>
        </w:rPr>
        <w:t>ссылаясь</w:t>
      </w:r>
      <w:r>
        <w:t xml:space="preserve"> на свои резолюции 5/1 об институциональном строительстве Совета по правам человека и 5/2 о Кодексе поведения мандатариев специальных процедур Совета от 18 июня 2007 года и подчеркивая, что мандатарий должен выполнять свои обязанности в соответствии с этими резолюциями и приложениями к ним,</w:t>
      </w:r>
    </w:p>
    <w:p w14:paraId="5798A434" w14:textId="77777777" w:rsidR="00594954" w:rsidRDefault="00594954" w:rsidP="00594954">
      <w:pPr>
        <w:spacing w:after="120"/>
        <w:ind w:left="1134" w:right="1134" w:firstLine="567"/>
        <w:jc w:val="both"/>
      </w:pPr>
      <w:r>
        <w:rPr>
          <w:i/>
          <w:iCs/>
        </w:rPr>
        <w:t>признавая</w:t>
      </w:r>
      <w:r>
        <w:t xml:space="preserve"> воздействие пандемии COVID-19 на право на образование,</w:t>
      </w:r>
    </w:p>
    <w:p w14:paraId="15E030F1" w14:textId="77777777" w:rsidR="00594954" w:rsidRDefault="00594954" w:rsidP="00594954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>приветствует</w:t>
      </w:r>
      <w:r>
        <w:t xml:space="preserve"> работу Специального докладчика по вопросу о праве на образование;</w:t>
      </w:r>
    </w:p>
    <w:p w14:paraId="54C23D0E" w14:textId="77777777" w:rsidR="00594954" w:rsidRDefault="00594954" w:rsidP="00594954">
      <w:pPr>
        <w:spacing w:after="120"/>
        <w:ind w:left="1134" w:right="1134" w:firstLine="567"/>
        <w:jc w:val="both"/>
      </w:pPr>
      <w:r>
        <w:t>2.</w:t>
      </w:r>
      <w:r>
        <w:tab/>
      </w:r>
      <w:r>
        <w:rPr>
          <w:i/>
          <w:iCs/>
        </w:rPr>
        <w:t>принимает к сведению</w:t>
      </w:r>
      <w:r>
        <w:t xml:space="preserve"> доклады Специального докладчика, представленные Совету по правам человека на его тридцать восьмой, сорок первой и сорок четвертой сессиях</w:t>
      </w:r>
      <w:r>
        <w:rPr>
          <w:rStyle w:val="aa"/>
        </w:rPr>
        <w:footnoteReference w:id="2"/>
      </w:r>
      <w:r>
        <w:t xml:space="preserve"> и Генеральной Ассамблее на ее семьдесят второй, семьдесят третьей и семьдесят четвертой сессиях</w:t>
      </w:r>
      <w:r>
        <w:rPr>
          <w:rStyle w:val="aa"/>
        </w:rPr>
        <w:footnoteReference w:id="3"/>
      </w:r>
      <w:r>
        <w:t>;</w:t>
      </w:r>
    </w:p>
    <w:p w14:paraId="3AAD2212" w14:textId="77777777" w:rsidR="00594954" w:rsidRDefault="00594954" w:rsidP="00594954">
      <w:pPr>
        <w:spacing w:after="120"/>
        <w:ind w:left="1134" w:right="1134" w:firstLine="567"/>
        <w:jc w:val="both"/>
      </w:pPr>
      <w:r>
        <w:t>3.</w:t>
      </w:r>
      <w:r>
        <w:tab/>
      </w:r>
      <w:r>
        <w:rPr>
          <w:i/>
          <w:iCs/>
        </w:rPr>
        <w:t>постановляет</w:t>
      </w:r>
      <w:r>
        <w:t xml:space="preserve"> продлить мандат Специального докладчика по вопросу о праве на образование еще на три года;</w:t>
      </w:r>
    </w:p>
    <w:p w14:paraId="1F00DA2B" w14:textId="77777777" w:rsidR="00594954" w:rsidRDefault="00594954" w:rsidP="00594954">
      <w:pPr>
        <w:spacing w:after="120"/>
        <w:ind w:left="1134" w:right="1134" w:firstLine="567"/>
        <w:jc w:val="both"/>
      </w:pPr>
      <w:r>
        <w:t>4.</w:t>
      </w:r>
      <w:r>
        <w:tab/>
      </w:r>
      <w:r>
        <w:rPr>
          <w:i/>
          <w:iCs/>
        </w:rPr>
        <w:t>побуждает</w:t>
      </w:r>
      <w:r>
        <w:t xml:space="preserve"> Специального докладчика при выполнении мандата продолжать учитывать и поддерживать осуществление связанных с образованием целей и задач в области устойчивого развития, положений резолюций Совета по правам человека о праве на образование и гендерного подхода;</w:t>
      </w:r>
    </w:p>
    <w:p w14:paraId="7EBE5DFD" w14:textId="77777777" w:rsidR="00594954" w:rsidRDefault="00594954" w:rsidP="00594954">
      <w:pPr>
        <w:spacing w:after="120"/>
        <w:ind w:left="1134" w:right="1134" w:firstLine="567"/>
        <w:jc w:val="both"/>
      </w:pPr>
      <w:r>
        <w:t>5.</w:t>
      </w:r>
      <w:r>
        <w:tab/>
      </w:r>
      <w:r>
        <w:rPr>
          <w:i/>
          <w:iCs/>
        </w:rPr>
        <w:t>просит</w:t>
      </w:r>
      <w:r>
        <w:t xml:space="preserve"> все государства в полной мере сотрудничать со Специальным докладчиком в целях содействия выполнению ее или его задач, уделять должное внимание рекомендациям, сформулированным мандатарием, и положительно реагировать на ее или его просьбы о предоставлении информации и посещениях;</w:t>
      </w:r>
    </w:p>
    <w:p w14:paraId="68289FDB" w14:textId="77777777" w:rsidR="00594954" w:rsidRDefault="00594954" w:rsidP="00594954">
      <w:pPr>
        <w:spacing w:after="120"/>
        <w:ind w:left="1134" w:right="1134" w:firstLine="567"/>
        <w:jc w:val="both"/>
      </w:pPr>
      <w:r>
        <w:t>6.</w:t>
      </w:r>
      <w:r>
        <w:tab/>
      </w:r>
      <w:r>
        <w:rPr>
          <w:i/>
          <w:iCs/>
        </w:rPr>
        <w:t>просит</w:t>
      </w:r>
      <w:r>
        <w:t xml:space="preserve"> Генерального секретаря и Верховного комиссара Организации Объединенных Наций по правам человека и далее предоставлять Специальному докладчику все людские и финансовые ресурсы, необходимые для эффективного выполнения мандата;</w:t>
      </w:r>
    </w:p>
    <w:p w14:paraId="79897297" w14:textId="77777777" w:rsidR="00594954" w:rsidRDefault="00594954" w:rsidP="00594954">
      <w:pPr>
        <w:spacing w:after="120"/>
        <w:ind w:left="1134" w:right="1134" w:firstLine="567"/>
        <w:jc w:val="both"/>
      </w:pPr>
      <w:r>
        <w:t>7.</w:t>
      </w:r>
      <w:r>
        <w:tab/>
      </w:r>
      <w:r>
        <w:rPr>
          <w:i/>
          <w:iCs/>
        </w:rPr>
        <w:t>рекомендует</w:t>
      </w:r>
      <w:r>
        <w:t xml:space="preserve"> всем другим соответствующим заинтересованным сторонам, включая органы и специализированные учреждения, фонды и программы Организации Объединенных Наций, другие международные организации, региональные правозащитные механизмы, национальные правозащитные учреждения и неправительственные организации, в полной мере сотрудничать со Специальным докладчиком, с тем чтобы позволить ей или ему выполнить мандат;</w:t>
      </w:r>
    </w:p>
    <w:p w14:paraId="28FE097C" w14:textId="77777777" w:rsidR="00594954" w:rsidRDefault="00594954" w:rsidP="00594954">
      <w:pPr>
        <w:spacing w:after="120"/>
        <w:ind w:left="1134" w:right="1134" w:firstLine="567"/>
        <w:jc w:val="both"/>
      </w:pPr>
      <w:r>
        <w:t>8.</w:t>
      </w:r>
      <w:r>
        <w:tab/>
      </w:r>
      <w:r>
        <w:rPr>
          <w:i/>
          <w:iCs/>
        </w:rPr>
        <w:t>просит</w:t>
      </w:r>
      <w:r>
        <w:t xml:space="preserve"> Специального докладчика по-прежнему представлять Совету по правам человека и Генеральной Ассамблее ежегодный доклад, охватывающий все связанные с мандатом виды деятельности, с целью получения максимальной выгоды от процесса отчетности;</w:t>
      </w:r>
    </w:p>
    <w:p w14:paraId="34BEB2FD" w14:textId="77777777" w:rsidR="00594954" w:rsidRDefault="00594954" w:rsidP="00594954">
      <w:pPr>
        <w:spacing w:after="120"/>
        <w:ind w:left="1134" w:right="1134" w:firstLine="567"/>
        <w:jc w:val="both"/>
      </w:pPr>
      <w:r>
        <w:t>9.</w:t>
      </w:r>
      <w:r>
        <w:tab/>
      </w:r>
      <w:r>
        <w:rPr>
          <w:i/>
          <w:iCs/>
        </w:rPr>
        <w:t>постановляет</w:t>
      </w:r>
      <w:r>
        <w:t xml:space="preserve"> продолжать заниматься этим вопросом.</w:t>
      </w:r>
    </w:p>
    <w:p w14:paraId="12E55EB1" w14:textId="77777777" w:rsidR="00CB0692" w:rsidRPr="00594954" w:rsidRDefault="00594954" w:rsidP="0059495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0692" w:rsidRPr="00594954" w:rsidSect="0059495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8EA42" w14:textId="77777777" w:rsidR="00BD0A4B" w:rsidRPr="00A312BC" w:rsidRDefault="00BD0A4B" w:rsidP="00A312BC"/>
  </w:endnote>
  <w:endnote w:type="continuationSeparator" w:id="0">
    <w:p w14:paraId="70266983" w14:textId="77777777" w:rsidR="00BD0A4B" w:rsidRPr="00A312BC" w:rsidRDefault="00BD0A4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7BE8E" w14:textId="77777777" w:rsidR="00594954" w:rsidRPr="00594954" w:rsidRDefault="00594954">
    <w:pPr>
      <w:pStyle w:val="a8"/>
    </w:pPr>
    <w:r w:rsidRPr="00594954">
      <w:rPr>
        <w:b/>
        <w:sz w:val="18"/>
      </w:rPr>
      <w:fldChar w:fldCharType="begin"/>
    </w:r>
    <w:r w:rsidRPr="00594954">
      <w:rPr>
        <w:b/>
        <w:sz w:val="18"/>
      </w:rPr>
      <w:instrText xml:space="preserve"> PAGE  \* MERGEFORMAT </w:instrText>
    </w:r>
    <w:r w:rsidRPr="00594954">
      <w:rPr>
        <w:b/>
        <w:sz w:val="18"/>
      </w:rPr>
      <w:fldChar w:fldCharType="separate"/>
    </w:r>
    <w:r w:rsidRPr="00594954">
      <w:rPr>
        <w:b/>
        <w:noProof/>
        <w:sz w:val="18"/>
      </w:rPr>
      <w:t>2</w:t>
    </w:r>
    <w:r w:rsidRPr="00594954">
      <w:rPr>
        <w:b/>
        <w:sz w:val="18"/>
      </w:rPr>
      <w:fldChar w:fldCharType="end"/>
    </w:r>
    <w:r>
      <w:rPr>
        <w:b/>
        <w:sz w:val="18"/>
      </w:rPr>
      <w:tab/>
    </w:r>
    <w:r>
      <w:t>GE.20-09028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D7DB9" w14:textId="77777777" w:rsidR="00594954" w:rsidRPr="00594954" w:rsidRDefault="00594954" w:rsidP="00594954">
    <w:pPr>
      <w:pStyle w:val="a8"/>
      <w:tabs>
        <w:tab w:val="clear" w:pos="9639"/>
        <w:tab w:val="right" w:pos="9638"/>
      </w:tabs>
      <w:rPr>
        <w:b/>
        <w:sz w:val="18"/>
      </w:rPr>
    </w:pPr>
    <w:r>
      <w:t>GE.20-09028</w:t>
    </w:r>
    <w:r>
      <w:tab/>
    </w:r>
    <w:r w:rsidRPr="00594954">
      <w:rPr>
        <w:b/>
        <w:sz w:val="18"/>
      </w:rPr>
      <w:fldChar w:fldCharType="begin"/>
    </w:r>
    <w:r w:rsidRPr="00594954">
      <w:rPr>
        <w:b/>
        <w:sz w:val="18"/>
      </w:rPr>
      <w:instrText xml:space="preserve"> PAGE  \* MERGEFORMAT </w:instrText>
    </w:r>
    <w:r w:rsidRPr="00594954">
      <w:rPr>
        <w:b/>
        <w:sz w:val="18"/>
      </w:rPr>
      <w:fldChar w:fldCharType="separate"/>
    </w:r>
    <w:r w:rsidRPr="00594954">
      <w:rPr>
        <w:b/>
        <w:noProof/>
        <w:sz w:val="18"/>
      </w:rPr>
      <w:t>3</w:t>
    </w:r>
    <w:r w:rsidRPr="005949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A457" w14:textId="77777777" w:rsidR="00042B72" w:rsidRPr="00594954" w:rsidRDefault="00594954" w:rsidP="0059495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5D72273" wp14:editId="59517E1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20-09028  (R)</w:t>
    </w:r>
    <w:r w:rsidR="00CD07E8">
      <w:rPr>
        <w:lang w:val="en-US"/>
      </w:rPr>
      <w:t xml:space="preserve">  100720  100720</w:t>
    </w:r>
    <w:r>
      <w:br/>
    </w:r>
    <w:r w:rsidRPr="00594954">
      <w:rPr>
        <w:rFonts w:ascii="C39T30Lfz" w:hAnsi="C39T30Lfz"/>
        <w:kern w:val="14"/>
        <w:sz w:val="56"/>
      </w:rPr>
      <w:t></w:t>
    </w:r>
    <w:r w:rsidRPr="00594954">
      <w:rPr>
        <w:rFonts w:ascii="C39T30Lfz" w:hAnsi="C39T30Lfz"/>
        <w:kern w:val="14"/>
        <w:sz w:val="56"/>
      </w:rPr>
      <w:t></w:t>
    </w:r>
    <w:r w:rsidRPr="00594954">
      <w:rPr>
        <w:rFonts w:ascii="C39T30Lfz" w:hAnsi="C39T30Lfz"/>
        <w:kern w:val="14"/>
        <w:sz w:val="56"/>
      </w:rPr>
      <w:t></w:t>
    </w:r>
    <w:r w:rsidRPr="00594954">
      <w:rPr>
        <w:rFonts w:ascii="C39T30Lfz" w:hAnsi="C39T30Lfz"/>
        <w:kern w:val="14"/>
        <w:sz w:val="56"/>
      </w:rPr>
      <w:t></w:t>
    </w:r>
    <w:r w:rsidRPr="00594954">
      <w:rPr>
        <w:rFonts w:ascii="C39T30Lfz" w:hAnsi="C39T30Lfz"/>
        <w:kern w:val="14"/>
        <w:sz w:val="56"/>
      </w:rPr>
      <w:t></w:t>
    </w:r>
    <w:r w:rsidRPr="00594954">
      <w:rPr>
        <w:rFonts w:ascii="C39T30Lfz" w:hAnsi="C39T30Lfz"/>
        <w:kern w:val="14"/>
        <w:sz w:val="56"/>
      </w:rPr>
      <w:t></w:t>
    </w:r>
    <w:r w:rsidRPr="00594954">
      <w:rPr>
        <w:rFonts w:ascii="C39T30Lfz" w:hAnsi="C39T30Lfz"/>
        <w:kern w:val="14"/>
        <w:sz w:val="56"/>
      </w:rPr>
      <w:t></w:t>
    </w:r>
    <w:r w:rsidRPr="00594954">
      <w:rPr>
        <w:rFonts w:ascii="C39T30Lfz" w:hAnsi="C39T30Lfz"/>
        <w:kern w:val="14"/>
        <w:sz w:val="56"/>
      </w:rPr>
      <w:t></w:t>
    </w:r>
    <w:r w:rsidRPr="0059495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C6ABC6A" wp14:editId="55CB29E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BF864" w14:textId="77777777" w:rsidR="00BD0A4B" w:rsidRPr="001075E9" w:rsidRDefault="00BD0A4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01EF35" w14:textId="77777777" w:rsidR="00BD0A4B" w:rsidRDefault="00BD0A4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C68A670" w14:textId="72F05398" w:rsidR="00D0471D" w:rsidRPr="00D0471D" w:rsidRDefault="00D0471D">
      <w:pPr>
        <w:pStyle w:val="ad"/>
        <w:rPr>
          <w:sz w:val="20"/>
        </w:rPr>
      </w:pPr>
      <w:r>
        <w:tab/>
      </w:r>
      <w:r w:rsidRPr="00D0471D">
        <w:rPr>
          <w:rStyle w:val="aa"/>
          <w:sz w:val="20"/>
          <w:vertAlign w:val="baseline"/>
        </w:rPr>
        <w:t>*</w:t>
      </w:r>
      <w:r w:rsidRPr="00D0471D">
        <w:rPr>
          <w:rStyle w:val="aa"/>
          <w:vertAlign w:val="baseline"/>
        </w:rPr>
        <w:tab/>
      </w:r>
      <w:r>
        <w:t>Государство, не являющееся членом Совета по правам человека.</w:t>
      </w:r>
    </w:p>
  </w:footnote>
  <w:footnote w:id="2">
    <w:p w14:paraId="52E939A1" w14:textId="77777777" w:rsidR="00594954" w:rsidRPr="00594954" w:rsidRDefault="00594954" w:rsidP="00594954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594954">
        <w:rPr>
          <w:lang w:val="en-US"/>
        </w:rPr>
        <w:t xml:space="preserve"> </w:t>
      </w:r>
      <w:r w:rsidRPr="00594954">
        <w:rPr>
          <w:lang w:val="en-US"/>
        </w:rPr>
        <w:tab/>
        <w:t xml:space="preserve">A/HRC/38/32 </w:t>
      </w:r>
      <w:r>
        <w:t>и</w:t>
      </w:r>
      <w:r w:rsidRPr="00594954">
        <w:rPr>
          <w:lang w:val="en-US"/>
        </w:rPr>
        <w:t xml:space="preserve"> Add.1; A/HRC/41/37; </w:t>
      </w:r>
      <w:r>
        <w:t>и</w:t>
      </w:r>
      <w:r w:rsidRPr="00594954">
        <w:rPr>
          <w:lang w:val="en-US"/>
        </w:rPr>
        <w:t xml:space="preserve"> A/HRC/44/39 </w:t>
      </w:r>
      <w:r>
        <w:t>и</w:t>
      </w:r>
      <w:r w:rsidRPr="00594954">
        <w:rPr>
          <w:lang w:val="en-US"/>
        </w:rPr>
        <w:t xml:space="preserve"> Adds.1-2.</w:t>
      </w:r>
    </w:p>
  </w:footnote>
  <w:footnote w:id="3">
    <w:p w14:paraId="5854BEE9" w14:textId="77777777" w:rsidR="00594954" w:rsidRPr="00B823F8" w:rsidRDefault="00594954" w:rsidP="00594954">
      <w:pPr>
        <w:pStyle w:val="ad"/>
      </w:pPr>
      <w:r w:rsidRPr="00594954">
        <w:rPr>
          <w:lang w:val="en-US"/>
        </w:rPr>
        <w:tab/>
      </w:r>
      <w:r>
        <w:rPr>
          <w:rStyle w:val="aa"/>
        </w:rPr>
        <w:footnoteRef/>
      </w:r>
      <w:r>
        <w:t xml:space="preserve"> </w:t>
      </w:r>
      <w:r>
        <w:tab/>
        <w:t>A/72/496, A/73/262 и A/74/243.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AC03" w14:textId="73958A31" w:rsidR="00594954" w:rsidRPr="00594954" w:rsidRDefault="00C12D14">
    <w:pPr>
      <w:pStyle w:val="a5"/>
    </w:pPr>
    <w:fldSimple w:instr=" TITLE  \* MERGEFORMAT ">
      <w:r w:rsidR="00DA0A21">
        <w:t>A/HRC/44/L.1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DEA5" w14:textId="1198E376" w:rsidR="00594954" w:rsidRPr="00594954" w:rsidRDefault="00C12D14" w:rsidP="00594954">
    <w:pPr>
      <w:pStyle w:val="a5"/>
      <w:jc w:val="right"/>
    </w:pPr>
    <w:fldSimple w:instr=" TITLE  \* MERGEFORMAT ">
      <w:r w:rsidR="00DA0A21">
        <w:t>A/HRC/44/L.1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4B"/>
    <w:rsid w:val="00033EE1"/>
    <w:rsid w:val="00040272"/>
    <w:rsid w:val="00041EA6"/>
    <w:rsid w:val="00042B72"/>
    <w:rsid w:val="000558BD"/>
    <w:rsid w:val="00062C66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953CA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77FC2"/>
    <w:rsid w:val="00484B62"/>
    <w:rsid w:val="0050108D"/>
    <w:rsid w:val="00513081"/>
    <w:rsid w:val="00517901"/>
    <w:rsid w:val="00526683"/>
    <w:rsid w:val="00541726"/>
    <w:rsid w:val="005709E0"/>
    <w:rsid w:val="00572E19"/>
    <w:rsid w:val="00594954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09F7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9D78D0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4076A"/>
    <w:rsid w:val="00B539E7"/>
    <w:rsid w:val="00B62458"/>
    <w:rsid w:val="00BC18B2"/>
    <w:rsid w:val="00BD0A4B"/>
    <w:rsid w:val="00BD33EE"/>
    <w:rsid w:val="00BE0674"/>
    <w:rsid w:val="00C106D6"/>
    <w:rsid w:val="00C12D14"/>
    <w:rsid w:val="00C60F0C"/>
    <w:rsid w:val="00C805C9"/>
    <w:rsid w:val="00C92939"/>
    <w:rsid w:val="00CA1679"/>
    <w:rsid w:val="00CB0692"/>
    <w:rsid w:val="00CB151C"/>
    <w:rsid w:val="00CD07E8"/>
    <w:rsid w:val="00CE5A1A"/>
    <w:rsid w:val="00CF55F6"/>
    <w:rsid w:val="00D0471D"/>
    <w:rsid w:val="00D33D63"/>
    <w:rsid w:val="00D90028"/>
    <w:rsid w:val="00D90138"/>
    <w:rsid w:val="00DA0A21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1BDE3D"/>
  <w15:docId w15:val="{0C1AD94D-363B-4247-9DFD-44DEA6AE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2</Pages>
  <Words>627</Words>
  <Characters>4281</Characters>
  <Application>Microsoft Office Word</Application>
  <DocSecurity>0</DocSecurity>
  <Lines>35</Lines>
  <Paragraphs>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A/HRC/44/L.1</vt:lpstr>
      <vt:lpstr>A/</vt:lpstr>
      <vt:lpstr>A/</vt:lpstr>
      <vt:lpstr>A/</vt:lpstr>
    </vt:vector>
  </TitlesOfParts>
  <Company>DCM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A/HRC/44/L.1</dc:title>
  <dc:subject/>
  <dc:creator>Tatiana SHARKINA</dc:creator>
  <cp:keywords/>
  <cp:lastModifiedBy>Tatiana SHARKINA</cp:lastModifiedBy>
  <cp:revision>3</cp:revision>
  <cp:lastPrinted>2020-07-10T12:46:00Z</cp:lastPrinted>
  <dcterms:created xsi:type="dcterms:W3CDTF">2020-07-10T12:46:00Z</dcterms:created>
  <dcterms:modified xsi:type="dcterms:W3CDTF">2020-07-10T12:47:00Z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