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056625FF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3CC56F2" w14:textId="77777777" w:rsidR="002D5AAC" w:rsidRDefault="002D5AAC" w:rsidP="00B05E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1304BA4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D2C897" w14:textId="77777777" w:rsidR="002D5AAC" w:rsidRDefault="00B05EBB" w:rsidP="00B05EBB">
            <w:pPr>
              <w:jc w:val="right"/>
            </w:pPr>
            <w:r w:rsidRPr="00B05EBB">
              <w:rPr>
                <w:sz w:val="40"/>
              </w:rPr>
              <w:t>A</w:t>
            </w:r>
            <w:r>
              <w:t>/HRC/44/L.7</w:t>
            </w:r>
          </w:p>
        </w:tc>
      </w:tr>
      <w:tr w:rsidR="002D5AAC" w:rsidRPr="00B05EBB" w14:paraId="11B7ACA1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CC52A5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70BA960" wp14:editId="256D932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B8B67D2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E1AC200" w14:textId="77777777" w:rsidR="002D5AAC" w:rsidRDefault="00B05EBB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23914442" w14:textId="77777777" w:rsidR="00B05EBB" w:rsidRDefault="00B05EBB" w:rsidP="00B05E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2020</w:t>
            </w:r>
          </w:p>
          <w:p w14:paraId="16F44BAE" w14:textId="77777777" w:rsidR="00B05EBB" w:rsidRDefault="00B05EBB" w:rsidP="00B05E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508126D" w14:textId="77777777" w:rsidR="00B05EBB" w:rsidRPr="00E71476" w:rsidRDefault="00B05EBB" w:rsidP="00B05E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E664579" w14:textId="77777777" w:rsidR="00B05EBB" w:rsidRPr="00B05EBB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44841A82" w14:textId="77777777" w:rsidR="00B05EBB" w:rsidRPr="00D722E6" w:rsidRDefault="00B05EBB" w:rsidP="00B05EBB">
      <w:pPr>
        <w:rPr>
          <w:b/>
        </w:rPr>
      </w:pPr>
      <w:r w:rsidRPr="00D722E6">
        <w:rPr>
          <w:b/>
          <w:bCs/>
        </w:rPr>
        <w:t>Сорок четвертая сессия</w:t>
      </w:r>
    </w:p>
    <w:p w14:paraId="1AF9C81E" w14:textId="77777777" w:rsidR="00B05EBB" w:rsidRPr="00D722E6" w:rsidRDefault="00B05EBB" w:rsidP="00B05EBB">
      <w:r w:rsidRPr="00D722E6">
        <w:t>30 июня – 17 июля 2020 года</w:t>
      </w:r>
    </w:p>
    <w:p w14:paraId="7B7EE709" w14:textId="77777777" w:rsidR="00B05EBB" w:rsidRPr="00D722E6" w:rsidRDefault="00B05EBB" w:rsidP="00B05EBB">
      <w:r w:rsidRPr="00D722E6">
        <w:t>Пункт 3 повестки дня</w:t>
      </w:r>
    </w:p>
    <w:p w14:paraId="4E7230B1" w14:textId="77777777" w:rsidR="00CB0692" w:rsidRPr="00B05EBB" w:rsidRDefault="00B05EBB" w:rsidP="00B05EBB">
      <w:r w:rsidRPr="00D722E6">
        <w:rPr>
          <w:b/>
          <w:bCs/>
        </w:rPr>
        <w:t xml:space="preserve">Поощрение и защита всех прав человека, </w:t>
      </w:r>
      <w:r>
        <w:rPr>
          <w:b/>
          <w:bCs/>
        </w:rPr>
        <w:br/>
      </w:r>
      <w:r w:rsidRPr="00D722E6">
        <w:rPr>
          <w:b/>
          <w:bCs/>
        </w:rPr>
        <w:t xml:space="preserve">гражданских, политических, экономических, </w:t>
      </w:r>
      <w:r>
        <w:rPr>
          <w:b/>
          <w:bCs/>
        </w:rPr>
        <w:br/>
      </w:r>
      <w:r w:rsidRPr="00D722E6">
        <w:rPr>
          <w:b/>
          <w:bCs/>
        </w:rPr>
        <w:t xml:space="preserve">социальных и культурных прав, </w:t>
      </w:r>
      <w:r>
        <w:rPr>
          <w:b/>
          <w:bCs/>
        </w:rPr>
        <w:br/>
      </w:r>
      <w:r w:rsidRPr="00D722E6">
        <w:rPr>
          <w:b/>
          <w:bCs/>
        </w:rPr>
        <w:t>включая право на развитие</w:t>
      </w:r>
    </w:p>
    <w:p w14:paraId="0DC2C9D9" w14:textId="77777777" w:rsidR="00B05EBB" w:rsidRPr="00B05EBB" w:rsidRDefault="00B05EBB" w:rsidP="00B05EBB">
      <w:pPr>
        <w:pStyle w:val="H23G"/>
      </w:pPr>
      <w:r w:rsidRPr="00D722E6">
        <w:tab/>
      </w:r>
      <w:r w:rsidRPr="00D722E6">
        <w:tab/>
        <w:t>Австралия, Австрия, Аргентина, Армения, Болгария, Ботсвана</w:t>
      </w:r>
      <w:r w:rsidRPr="00B05EBB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D722E6">
        <w:t>, Венгрия</w:t>
      </w:r>
      <w:r w:rsidRPr="00B05EBB">
        <w:rPr>
          <w:b w:val="0"/>
          <w:bCs/>
        </w:rPr>
        <w:t>*</w:t>
      </w:r>
      <w:r w:rsidRPr="00D722E6">
        <w:t>, Греция</w:t>
      </w:r>
      <w:r w:rsidRPr="00B05EBB">
        <w:rPr>
          <w:b w:val="0"/>
          <w:bCs/>
        </w:rPr>
        <w:t>*</w:t>
      </w:r>
      <w:r w:rsidRPr="00D722E6">
        <w:t>, Дания, Индия, Ирландия</w:t>
      </w:r>
      <w:r w:rsidRPr="00B05EBB">
        <w:rPr>
          <w:b w:val="0"/>
          <w:bCs/>
        </w:rPr>
        <w:t>*</w:t>
      </w:r>
      <w:r w:rsidRPr="00D722E6">
        <w:t>, Испания, Канада</w:t>
      </w:r>
      <w:r w:rsidRPr="00B05EBB">
        <w:rPr>
          <w:b w:val="0"/>
          <w:bCs/>
        </w:rPr>
        <w:t>*</w:t>
      </w:r>
      <w:r w:rsidRPr="00D722E6">
        <w:t>, Латвия</w:t>
      </w:r>
      <w:r w:rsidRPr="00B05EBB">
        <w:rPr>
          <w:b w:val="0"/>
          <w:bCs/>
        </w:rPr>
        <w:t>*</w:t>
      </w:r>
      <w:r w:rsidRPr="00D722E6">
        <w:t>, Литва</w:t>
      </w:r>
      <w:r w:rsidRPr="00B05EBB">
        <w:rPr>
          <w:b w:val="0"/>
          <w:bCs/>
        </w:rPr>
        <w:t>*</w:t>
      </w:r>
      <w:r w:rsidRPr="00D722E6">
        <w:t>, Лихтенштейн</w:t>
      </w:r>
      <w:r w:rsidRPr="00B05EBB">
        <w:rPr>
          <w:b w:val="0"/>
          <w:bCs/>
        </w:rPr>
        <w:t>*</w:t>
      </w:r>
      <w:r w:rsidRPr="00D722E6">
        <w:t>, Мальдивские Острова</w:t>
      </w:r>
      <w:r w:rsidRPr="00B05EBB">
        <w:rPr>
          <w:b w:val="0"/>
          <w:bCs/>
        </w:rPr>
        <w:t>*</w:t>
      </w:r>
      <w:r w:rsidRPr="00D722E6">
        <w:t>, Мальта</w:t>
      </w:r>
      <w:r w:rsidRPr="00B05EBB">
        <w:rPr>
          <w:b w:val="0"/>
          <w:bCs/>
        </w:rPr>
        <w:t>*</w:t>
      </w:r>
      <w:r w:rsidRPr="00D722E6">
        <w:t>, Мексика, Новая Зеландия</w:t>
      </w:r>
      <w:r w:rsidRPr="00B05EBB">
        <w:rPr>
          <w:b w:val="0"/>
          <w:bCs/>
        </w:rPr>
        <w:t>*</w:t>
      </w:r>
      <w:r w:rsidRPr="00D722E6">
        <w:t>, Норвегия</w:t>
      </w:r>
      <w:r w:rsidRPr="00B05EBB">
        <w:rPr>
          <w:b w:val="0"/>
          <w:bCs/>
        </w:rPr>
        <w:t>*</w:t>
      </w:r>
      <w:r w:rsidRPr="00D722E6">
        <w:t>, Перу, Румыния</w:t>
      </w:r>
      <w:r w:rsidRPr="00B05EBB">
        <w:rPr>
          <w:b w:val="0"/>
          <w:bCs/>
        </w:rPr>
        <w:t>*</w:t>
      </w:r>
      <w:r w:rsidRPr="00D722E6">
        <w:t>, Словения</w:t>
      </w:r>
      <w:r w:rsidRPr="00B05EBB">
        <w:rPr>
          <w:b w:val="0"/>
          <w:bCs/>
        </w:rPr>
        <w:t>*</w:t>
      </w:r>
      <w:r w:rsidRPr="00D722E6">
        <w:t>, Таиланд</w:t>
      </w:r>
      <w:r w:rsidRPr="00B05EBB">
        <w:rPr>
          <w:b w:val="0"/>
          <w:bCs/>
        </w:rPr>
        <w:t>*</w:t>
      </w:r>
      <w:r w:rsidRPr="00D722E6">
        <w:t>, Тунис</w:t>
      </w:r>
      <w:r w:rsidRPr="00B05EBB">
        <w:rPr>
          <w:b w:val="0"/>
          <w:bCs/>
        </w:rPr>
        <w:t>*</w:t>
      </w:r>
      <w:r w:rsidRPr="00D722E6">
        <w:t>, Украина, Уругвай, Финляндия</w:t>
      </w:r>
      <w:r w:rsidRPr="00B05EBB">
        <w:rPr>
          <w:b w:val="0"/>
          <w:bCs/>
        </w:rPr>
        <w:t>*</w:t>
      </w:r>
      <w:r w:rsidRPr="00D722E6">
        <w:t>, Хорватия</w:t>
      </w:r>
      <w:r w:rsidRPr="00B05EBB">
        <w:rPr>
          <w:b w:val="0"/>
          <w:bCs/>
        </w:rPr>
        <w:t>*</w:t>
      </w:r>
      <w:r w:rsidRPr="00D722E6">
        <w:t>, Черногория</w:t>
      </w:r>
      <w:r w:rsidRPr="00B05EBB">
        <w:rPr>
          <w:b w:val="0"/>
          <w:bCs/>
        </w:rPr>
        <w:t>*</w:t>
      </w:r>
      <w:r w:rsidRPr="00D722E6">
        <w:t>, Че</w:t>
      </w:r>
      <w:r>
        <w:t>хия</w:t>
      </w:r>
      <w:r w:rsidRPr="00D722E6">
        <w:t>, Чили, Швеция</w:t>
      </w:r>
      <w:r w:rsidRPr="00B05EBB">
        <w:rPr>
          <w:b w:val="0"/>
          <w:bCs/>
        </w:rPr>
        <w:t>*</w:t>
      </w:r>
      <w:r w:rsidRPr="00D722E6">
        <w:t xml:space="preserve"> и Эстония</w:t>
      </w:r>
      <w:r w:rsidRPr="00B05EBB">
        <w:rPr>
          <w:b w:val="0"/>
          <w:bCs/>
        </w:rPr>
        <w:t>*</w:t>
      </w:r>
      <w:r w:rsidRPr="00D722E6">
        <w:t xml:space="preserve">: проект резолюции </w:t>
      </w:r>
    </w:p>
    <w:p w14:paraId="04C6519E" w14:textId="77777777" w:rsidR="00B05EBB" w:rsidRPr="00D722E6" w:rsidRDefault="00B05EBB" w:rsidP="00B05EBB">
      <w:pPr>
        <w:pStyle w:val="H1G"/>
        <w:tabs>
          <w:tab w:val="left" w:pos="1985"/>
        </w:tabs>
      </w:pPr>
      <w:r>
        <w:tab/>
      </w:r>
      <w:r>
        <w:tab/>
      </w:r>
      <w:r w:rsidRPr="00D722E6">
        <w:t>44/…</w:t>
      </w:r>
      <w:r w:rsidRPr="00D722E6">
        <w:tab/>
        <w:t xml:space="preserve">Независимость и беспристрастность судебной власти, </w:t>
      </w:r>
      <w:r>
        <w:tab/>
      </w:r>
      <w:r w:rsidRPr="00D722E6">
        <w:t xml:space="preserve">присяжных заседателей и асессоров и независимость </w:t>
      </w:r>
      <w:r>
        <w:tab/>
      </w:r>
      <w:r w:rsidRPr="00D722E6">
        <w:t>адвокатов</w:t>
      </w:r>
    </w:p>
    <w:p w14:paraId="4735CE53" w14:textId="77777777" w:rsidR="00B05EBB" w:rsidRPr="00B05EBB" w:rsidRDefault="00B05EBB" w:rsidP="00B05EBB">
      <w:pPr>
        <w:spacing w:after="120"/>
        <w:ind w:left="1134" w:right="1134"/>
        <w:jc w:val="both"/>
        <w:rPr>
          <w:szCs w:val="20"/>
        </w:rPr>
      </w:pPr>
      <w:r w:rsidRPr="00D722E6">
        <w:tab/>
      </w:r>
      <w:r w:rsidRPr="00B05EBB">
        <w:rPr>
          <w:szCs w:val="20"/>
        </w:rPr>
        <w:tab/>
      </w:r>
      <w:r w:rsidRPr="00B05EBB">
        <w:rPr>
          <w:i/>
          <w:szCs w:val="20"/>
        </w:rPr>
        <w:t>Совет по правам человека</w:t>
      </w:r>
      <w:r w:rsidRPr="00B05EBB">
        <w:rPr>
          <w:szCs w:val="20"/>
        </w:rPr>
        <w:t>,</w:t>
      </w:r>
    </w:p>
    <w:p w14:paraId="76391B45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руководствуясь </w:t>
      </w:r>
      <w:r w:rsidRPr="00B05EBB">
        <w:t>целями и принципами Устава Организации Объединенных Наций, статьями 7, 8, 9, 10 и 11 Всеобщей декларации прав человека, статьями 2, 4, 9, 14 и 26 Международного пакта о гражданских и политических правах и учитывая Венскую декларацию и Программу действий,</w:t>
      </w:r>
    </w:p>
    <w:p w14:paraId="07D80D19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ссылаясь </w:t>
      </w:r>
      <w:r w:rsidRPr="003247FF">
        <w:t>на</w:t>
      </w:r>
      <w:r w:rsidRPr="00B05EBB">
        <w:t xml:space="preserve"> Основные принципы независимости судебных органов, Основные принципы, касающиеся роли юристов, Руководящие принципы, касающиеся роли лиц, осуществляющих судебное преследование, </w:t>
      </w:r>
      <w:proofErr w:type="spellStart"/>
      <w:r w:rsidRPr="00B05EBB">
        <w:t>Бангалорские</w:t>
      </w:r>
      <w:proofErr w:type="spellEnd"/>
      <w:r w:rsidRPr="00B05EBB">
        <w:t xml:space="preserve"> принципы поведения судей и Принципы и руководящие положения Организации Объединенных Наций, касающиеся доступа к юридической помощи в системах уголовного правосудия,</w:t>
      </w:r>
    </w:p>
    <w:p w14:paraId="067B2245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ссылаясь также</w:t>
      </w:r>
      <w:r w:rsidRPr="00B05EBB">
        <w:t xml:space="preserve"> на все предыдущие резолюции и решения Совета по правам человека, Комиссии по правам человека и Генеральной Ассамблеи о независимости и беспристрастности судебных органов и целостности судебной системы,</w:t>
      </w:r>
    </w:p>
    <w:p w14:paraId="3CDE6EA8" w14:textId="77777777" w:rsidR="00B05EBB" w:rsidRPr="00B05EBB" w:rsidRDefault="00B05EBB" w:rsidP="00B05EBB">
      <w:pPr>
        <w:pStyle w:val="SingleTxtG"/>
        <w:ind w:firstLine="567"/>
      </w:pPr>
      <w:r w:rsidRPr="00B05EBB">
        <w:rPr>
          <w:i/>
          <w:iCs/>
        </w:rPr>
        <w:t>принимая к сведению</w:t>
      </w:r>
      <w:r w:rsidRPr="00B05EBB">
        <w:t xml:space="preserve"> доклады Специального докладчика по вопросу о независимости судей и адвокатов, представленные Совету по правам человека на его тридцать восьмой</w:t>
      </w:r>
      <w:r w:rsidRPr="00B05EBB">
        <w:rPr>
          <w:sz w:val="18"/>
          <w:vertAlign w:val="superscript"/>
        </w:rPr>
        <w:footnoteReference w:id="2"/>
      </w:r>
      <w:r w:rsidRPr="00B05EBB">
        <w:t xml:space="preserve"> и сорок первой</w:t>
      </w:r>
      <w:r w:rsidRPr="00B05EBB">
        <w:rPr>
          <w:sz w:val="18"/>
          <w:vertAlign w:val="superscript"/>
        </w:rPr>
        <w:footnoteReference w:id="3"/>
      </w:r>
      <w:r w:rsidRPr="00B05EBB">
        <w:t xml:space="preserve"> сессиях и Генеральной Ассамблее на ее семьдесят четвертой сессии</w:t>
      </w:r>
      <w:r w:rsidRPr="00B05EBB">
        <w:rPr>
          <w:sz w:val="18"/>
          <w:vertAlign w:val="superscript"/>
        </w:rPr>
        <w:footnoteReference w:id="4"/>
      </w:r>
      <w:r w:rsidRPr="00B05EBB">
        <w:t>,</w:t>
      </w:r>
    </w:p>
    <w:p w14:paraId="3C4808B6" w14:textId="77777777" w:rsidR="00B05EBB" w:rsidRPr="00B05EBB" w:rsidRDefault="00B05EBB" w:rsidP="00B05EBB">
      <w:pPr>
        <w:pStyle w:val="SingleTxtG"/>
      </w:pPr>
      <w:r w:rsidRPr="00B05EBB">
        <w:lastRenderedPageBreak/>
        <w:tab/>
      </w:r>
      <w:r w:rsidRPr="00B05EBB">
        <w:tab/>
      </w:r>
      <w:r w:rsidRPr="00B05EBB">
        <w:rPr>
          <w:i/>
          <w:iCs/>
        </w:rPr>
        <w:t>будучи убежден</w:t>
      </w:r>
      <w:r w:rsidRPr="00B05EBB">
        <w:t xml:space="preserve"> в том, что наличие независимых и беспристрастных судебных органов, независимых юристов, объективных и беспристрастных органов, осуществляющих судебное преследование, которые способны соответствующим образом выполнять свои функции, и целостность судебной системы являются предпосылками защиты прав человека и применения принципа верховенства права, а</w:t>
      </w:r>
      <w:r w:rsidR="003247FF">
        <w:rPr>
          <w:lang w:val="en-US"/>
        </w:rPr>
        <w:t> </w:t>
      </w:r>
      <w:r w:rsidRPr="00B05EBB">
        <w:t>также обеспечения справедливого судебного разбирательства и отправления правосудия без какой бы то ни было дискриминации,</w:t>
      </w:r>
    </w:p>
    <w:p w14:paraId="3282F440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напоминая</w:t>
      </w:r>
      <w:r w:rsidRPr="00B05EBB">
        <w:t xml:space="preserve"> о том, что лица, осуществляющих судебное преследование, должны в соответствии с законом выполнять свои функции справедливо, последовательно и оперативно, уважать и защищать человеческое достоинство и права человека, способствуя тем самым соблюдению надлежащих процессуальных норм и бесперебойному функционированию системы уголовного правосудия, и что они должны избегать всех форм предрассудков, дискриминации и стигматизации по признаку расы, цвета кожи, пола, языка, религии, политических или иных убеждений, национального или социального происхождения, имущественного положения, рождения или по другим признакам и бороться с ними,</w:t>
      </w:r>
    </w:p>
    <w:p w14:paraId="64E115B0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подчеркивая</w:t>
      </w:r>
      <w:r w:rsidRPr="00B05EBB">
        <w:t>, что независимость и беспристрастность судебной системы и независимость адвокатов и юристов являются необходимыми элементами для достижения цели 16 Повестки дня в области устойчивого развития на период до 2030</w:t>
      </w:r>
      <w:r w:rsidR="003247FF">
        <w:rPr>
          <w:lang w:val="en-US"/>
        </w:rPr>
        <w:t> </w:t>
      </w:r>
      <w:r w:rsidRPr="00B05EBB">
        <w:t>года</w:t>
      </w:r>
      <w:r w:rsidRPr="00B05EBB">
        <w:rPr>
          <w:sz w:val="18"/>
          <w:vertAlign w:val="superscript"/>
        </w:rPr>
        <w:footnoteReference w:id="5"/>
      </w:r>
      <w:r w:rsidRPr="00B05EBB">
        <w:t>, в которой государства-члены обязались, в частности, обеспечить доступ к правосудию для всех и создать эффективные, подотчетные и основанные на широком участии институты на всех уровнях,</w:t>
      </w:r>
    </w:p>
    <w:p w14:paraId="2A09E3FF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осуждая </w:t>
      </w:r>
      <w:r w:rsidRPr="00B05EBB">
        <w:t>все более частые посягательства на независимость судей, адвокатов, лиц, осуществляющих судебное преследование, и судебных должностных лиц, в</w:t>
      </w:r>
      <w:r w:rsidR="003247FF">
        <w:rPr>
          <w:lang w:val="en-US"/>
        </w:rPr>
        <w:t> </w:t>
      </w:r>
      <w:r w:rsidRPr="00B05EBB">
        <w:t>частности угрозы, запугивание и вмешательство в выполнение ими своих профессиональных функций,</w:t>
      </w:r>
    </w:p>
    <w:p w14:paraId="587C660E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напоминая</w:t>
      </w:r>
      <w:r w:rsidRPr="00B05EBB">
        <w:t>, что каждому государству следует создать эффективную систему средств правовой защиты для рассмотрения жалоб на нарушения прав человека и что наличие системы отправления правосудия, включая правоохранительные органы и органы прокуратуры, и особенно независимые судебные органы и юристов, в</w:t>
      </w:r>
      <w:r w:rsidR="003247FF">
        <w:rPr>
          <w:lang w:val="en-US"/>
        </w:rPr>
        <w:t> </w:t>
      </w:r>
      <w:r w:rsidRPr="00B05EBB">
        <w:t>соответствии с применимыми нормами, содержащимися в надлежащих международных договорах, имеет исключительно важное значение для всесторонней и недискриминационной реализации прав человека и является неотъемлемым элементом процессов демократии и устойчивого развития,</w:t>
      </w:r>
    </w:p>
    <w:p w14:paraId="37641EAC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напоминая также</w:t>
      </w:r>
      <w:r w:rsidRPr="00B05EBB">
        <w:t xml:space="preserve"> о важности обеспечения того, чтобы судьи, лица, осуществляющие судебное преследование, адвокаты и судебные должностные лица имели соответствующую профессиональную подготовку, необходимую для выполнения ими своих функций, что достигается путем усовершенствования методов найма кадров, а также профессиональной юридической подготовкой, и путем предоставления всех необходимых средств для надлежащего выполнения своей роли в обеспечении верховенства права,</w:t>
      </w:r>
    </w:p>
    <w:p w14:paraId="16F9826E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отмечая </w:t>
      </w:r>
      <w:r w:rsidRPr="00B05EBB">
        <w:t>важность специализированной и междисциплинарной подготовки по правам человека для всех судей, адвокатов, лиц, осуществляющих судебное преследование, и других специалистов, занимающихся отправлением правосудия, в</w:t>
      </w:r>
      <w:r w:rsidR="0003347F">
        <w:rPr>
          <w:lang w:val="en-US"/>
        </w:rPr>
        <w:t> </w:t>
      </w:r>
      <w:r w:rsidRPr="00B05EBB">
        <w:t>качестве меры по недопущению дискриминации при отправлении правосудия,</w:t>
      </w:r>
    </w:p>
    <w:p w14:paraId="7D0D768C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подчеркивая </w:t>
      </w:r>
      <w:r w:rsidRPr="00B05EBB">
        <w:t>важность обеспечения подотчетности, транспарентности и добросовестности в работе судебных органов в качестве неотъемлемого элемента независимости судебной власти и концепции, присущей верховенству права, когда оно осуществляется в соответствии с Основными принципами независимости судебных органов и другими соответствующими нормами, принципами и стандартами,</w:t>
      </w:r>
    </w:p>
    <w:p w14:paraId="0889C8BB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подчеркивая</w:t>
      </w:r>
      <w:r w:rsidRPr="00B05EBB">
        <w:t>, что судьи, лица, осуществляющи</w:t>
      </w:r>
      <w:r w:rsidR="0003347F">
        <w:t>е</w:t>
      </w:r>
      <w:r w:rsidRPr="00B05EBB">
        <w:t xml:space="preserve"> судебное преследование, и</w:t>
      </w:r>
      <w:r w:rsidR="0003347F">
        <w:t> </w:t>
      </w:r>
      <w:r w:rsidRPr="00B05EBB">
        <w:t xml:space="preserve">адвокаты играют важнейшую роль в защите прав человека, включая абсолютное и </w:t>
      </w:r>
      <w:r w:rsidRPr="00B05EBB">
        <w:lastRenderedPageBreak/>
        <w:t>не допускающее отступлений право на свободу от пыток и других жестоких, бесчеловечных или унижающих достоинство видов обращения и наказания,</w:t>
      </w:r>
    </w:p>
    <w:p w14:paraId="28E668C1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подчеркивая также</w:t>
      </w:r>
      <w:r w:rsidRPr="00B05EBB">
        <w:t>, что независимая и беспристрастная судебная система, объективные и беспристрастные органы прокуратуры и независимые юристы, способствующие сбалансированному представительству мужчин и женщин и созданию процедур, учитывающих гендерные аспекты, имеют важнейшее значение для эффективной защиты прав женщин, включая защиту от насилия и повторной виктимизации через судебные системы, для обеспечения того, чтобы отправление правосудия было свободным от гендерной дискриминации и стереотипов, а также для признания того, что как мужчины, так и женщины выигрывают от равного отношения к женщинам со стороны сектора правосудия,</w:t>
      </w:r>
    </w:p>
    <w:p w14:paraId="2A4D7E25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признавая </w:t>
      </w:r>
      <w:r w:rsidRPr="00B05EBB">
        <w:t>жизненно важную роль профессиональных объединений адвокатов в обеспечении соблюдения профессиональных норм и этики, защите своих членов от преследований и неправомерных ограничений и посягательств, а также предоставлении юридических услуг всем нуждающимся в них,</w:t>
      </w:r>
    </w:p>
    <w:p w14:paraId="79ED1699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признавая </w:t>
      </w:r>
      <w:r w:rsidRPr="00B05EBB">
        <w:t>важность независимых и самостоятельных ассоциаций адвокатов и профессиональных ассоциаций судей и лиц, осуществляющих судебное преследование, а также неправительственных организаций, защищающих принцип независимости судей и адвокатов,</w:t>
      </w:r>
    </w:p>
    <w:p w14:paraId="1788DE86" w14:textId="77777777" w:rsidR="00B05EBB" w:rsidRPr="00B05EBB" w:rsidRDefault="00B05EBB" w:rsidP="00B05EBB">
      <w:pPr>
        <w:pStyle w:val="SingleTxtG"/>
        <w:ind w:firstLine="567"/>
      </w:pPr>
      <w:r w:rsidRPr="00B05EBB">
        <w:rPr>
          <w:i/>
          <w:iCs/>
        </w:rPr>
        <w:t xml:space="preserve">отмечая </w:t>
      </w:r>
      <w:r w:rsidRPr="00B05EBB">
        <w:t>одобрение ассоциациями адвокатов, юридическими обществами, а</w:t>
      </w:r>
      <w:r w:rsidR="0003347F">
        <w:t> </w:t>
      </w:r>
      <w:r w:rsidRPr="00B05EBB">
        <w:t>также национальными и международными организациями юристов во всем мире призыва к действиям в поддержку Основных принципов, касающихся роли юристов, признавая жизненно важную роль, которую юристы и адвокаты могут играть в поддержании верховенства права, а также в поощрении и защите прав человека, по</w:t>
      </w:r>
      <w:r w:rsidR="0003347F">
        <w:t> </w:t>
      </w:r>
      <w:r w:rsidRPr="00B05EBB">
        <w:t>случаю тридцатой годовщины принятия Основных принципов,</w:t>
      </w:r>
    </w:p>
    <w:p w14:paraId="78CD86BB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выражая свою озабоченность </w:t>
      </w:r>
      <w:r w:rsidRPr="00B05EBB">
        <w:t>в связи с ситуациями, когда начало или продолжение профессиональной юридической практики становится объектом контроля или произвольного вмешательства со стороны исполнительной власти, в</w:t>
      </w:r>
      <w:r w:rsidR="0003347F">
        <w:t> </w:t>
      </w:r>
      <w:r w:rsidRPr="00B05EBB">
        <w:t>частности в связи со злоупотреблением системами лицензирования адвокатской деятельности,</w:t>
      </w:r>
    </w:p>
    <w:p w14:paraId="7FB69BC8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подчеркивая</w:t>
      </w:r>
      <w:r w:rsidRPr="00B05EBB">
        <w:t xml:space="preserve"> ту роль, которую независимые и эффективные национальные правозащитные учреждения, созданные в соответствии с принципами, касающимися статуса национальных учреждений, занимающихся поощрением и защитой прав человека (Парижскими принципами), могут и должны играть в укреплении верховенства права и в поддержании независимости и целостности судебной системы,</w:t>
      </w:r>
    </w:p>
    <w:p w14:paraId="1B833E92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признавая</w:t>
      </w:r>
      <w:r w:rsidRPr="00B05EBB">
        <w:t>, что доступная и эффективная юридическая помощь является одним из важнейших элементов справедливой, гуманной и эффективной системы отправления правосудия, основанной на верховенстве права,</w:t>
      </w:r>
    </w:p>
    <w:p w14:paraId="150424B5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>отмечая</w:t>
      </w:r>
      <w:r w:rsidRPr="00B05EBB">
        <w:t xml:space="preserve"> права и особые потребности женщин, детей и лиц, принадлежащих к меньшинствам, особенно находящихся в уязвимом положении и вступающих в контакт с системами правосудия, которые могут нуждаться в особом внимании, защите и навыках со стороны взаимодействующих с ними специалистов, особенно адвокатов, лиц, осуществляющих судебное преследование, и судей,</w:t>
      </w:r>
    </w:p>
    <w:p w14:paraId="5B00FA09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признавая </w:t>
      </w:r>
      <w:r w:rsidRPr="00B05EBB">
        <w:t>важность привилегированных отношений между адвокатом и клиентом, основанных на принципе конфиденциальности,</w:t>
      </w:r>
    </w:p>
    <w:p w14:paraId="4F8513A5" w14:textId="77777777" w:rsidR="00B05EBB" w:rsidRPr="00B05EBB" w:rsidRDefault="00B05EBB" w:rsidP="00B05EBB">
      <w:pPr>
        <w:pStyle w:val="SingleTxtG"/>
        <w:ind w:firstLine="567"/>
      </w:pPr>
      <w:r w:rsidRPr="00B05EBB">
        <w:rPr>
          <w:i/>
        </w:rPr>
        <w:t>будучи глубоко обеспокоен</w:t>
      </w:r>
      <w:r w:rsidRPr="00B05EBB">
        <w:t xml:space="preserve"> гибелью людей и утратой средств к существованию, а также дестабилизацией в экономике и обществе в результате пандемии </w:t>
      </w:r>
      <w:proofErr w:type="spellStart"/>
      <w:r w:rsidRPr="00B05EBB">
        <w:t>коронавирусной</w:t>
      </w:r>
      <w:proofErr w:type="spellEnd"/>
      <w:r w:rsidRPr="00B05EBB">
        <w:t xml:space="preserve"> инфекции (COVID-19) и ее негативным воздействием на осуществление прав человека во всем мире и отмечая угрозы и вызовы, создаваемые такими чрезвычайными ситуациями для систем правосудия, в том числе в отношении доступа к правосудию,</w:t>
      </w:r>
    </w:p>
    <w:p w14:paraId="3F4F7BC1" w14:textId="77777777" w:rsidR="00B05EBB" w:rsidRPr="00B05EBB" w:rsidRDefault="00B05EBB" w:rsidP="00B05EBB">
      <w:pPr>
        <w:pStyle w:val="SingleTxtG"/>
        <w:ind w:firstLine="567"/>
      </w:pPr>
      <w:r w:rsidRPr="00B05EBB">
        <w:rPr>
          <w:i/>
          <w:iCs/>
        </w:rPr>
        <w:t>вновь подтверждая</w:t>
      </w:r>
      <w:r w:rsidRPr="00B05EBB">
        <w:t xml:space="preserve">, что чрезвычайные меры, в том числе связанные с отправлением правосудия, принимаемые государствами в ответ на чрезвычайные ситуации, включая пандемию COVID-19 и другие кризисные ситуации, должны быть </w:t>
      </w:r>
      <w:r w:rsidRPr="00B05EBB">
        <w:lastRenderedPageBreak/>
        <w:t>необходимыми, соразмерными оцениваемому риску и применяться на недискриминационной основе, иметь конкретную направленность и продолжительность и соответствовать обязательствам государства согласно применимым нормам международного права прав человека,</w:t>
      </w:r>
    </w:p>
    <w:p w14:paraId="674B7AA5" w14:textId="77777777" w:rsidR="00B05EBB" w:rsidRPr="00B05EBB" w:rsidRDefault="00B05EBB" w:rsidP="00B05EBB">
      <w:pPr>
        <w:pStyle w:val="SingleTxtG"/>
      </w:pPr>
      <w:r w:rsidRPr="00B05EBB">
        <w:tab/>
      </w:r>
      <w:r w:rsidRPr="00B05EBB">
        <w:tab/>
      </w:r>
      <w:r w:rsidRPr="00B05EBB">
        <w:rPr>
          <w:i/>
          <w:iCs/>
        </w:rPr>
        <w:t xml:space="preserve">вновь подтверждая </w:t>
      </w:r>
      <w:r w:rsidRPr="00B05EBB">
        <w:t>резолюции Совета по правам человека, в которых Совет продлил мандат Специального докладчика по вопросу о независимости судей и адвокатов на трехлетний срок, и признавая важность способности мандатария тесно сотрудничать в рамках мандата с Управлением Верховного комиссара Организации Объединенных Наций по правам человека, в том числе в областях консультативных услуг и технического сотрудничества, в стремлении гарантировать независимость судей и адвокатов,</w:t>
      </w:r>
    </w:p>
    <w:p w14:paraId="55ACFC7C" w14:textId="77777777" w:rsidR="00B05EBB" w:rsidRPr="00B05EBB" w:rsidRDefault="0003347F" w:rsidP="00B05EBB">
      <w:pPr>
        <w:pStyle w:val="SingleTxtG"/>
      </w:pPr>
      <w:r>
        <w:tab/>
      </w:r>
      <w:r>
        <w:tab/>
      </w:r>
      <w:r w:rsidR="00B05EBB" w:rsidRPr="00B05EBB">
        <w:t>1.</w:t>
      </w:r>
      <w:r w:rsidR="00B05EBB" w:rsidRPr="00B05EBB">
        <w:tab/>
      </w:r>
      <w:r w:rsidR="00B05EBB" w:rsidRPr="00B05EBB">
        <w:rPr>
          <w:i/>
          <w:iCs/>
        </w:rPr>
        <w:t xml:space="preserve">призывает </w:t>
      </w:r>
      <w:r w:rsidR="00B05EBB" w:rsidRPr="00B05EBB">
        <w:t>все государства гарантировать независимость судей и адвокатов и объективность и беспристрастность лиц, осуществляющих судебное преследование, а также их способность соответствующим образом выполнять свои функции, в том числе путем принятия эффективных законодательных, правоприменительных и других надлежащих мер, которые позволят им выполнять свои профессиональные функции без вмешательства, притеснений, угроз или запугивания любого рода;</w:t>
      </w:r>
    </w:p>
    <w:p w14:paraId="685EF424" w14:textId="77777777" w:rsidR="00B05EBB" w:rsidRPr="00B05EBB" w:rsidRDefault="00894270" w:rsidP="00B05EBB">
      <w:pPr>
        <w:pStyle w:val="SingleTxtG"/>
      </w:pPr>
      <w:r>
        <w:tab/>
      </w:r>
      <w:r>
        <w:tab/>
      </w:r>
      <w:r w:rsidR="00B05EBB" w:rsidRPr="00B05EBB">
        <w:t>2.</w:t>
      </w:r>
      <w:r w:rsidR="00B05EBB" w:rsidRPr="00B05EBB">
        <w:tab/>
      </w:r>
      <w:r w:rsidR="00B05EBB" w:rsidRPr="00B05EBB">
        <w:rPr>
          <w:i/>
          <w:iCs/>
        </w:rPr>
        <w:t>рекомендует</w:t>
      </w:r>
      <w:r w:rsidR="00B05EBB" w:rsidRPr="00B05EBB">
        <w:t xml:space="preserve"> государствам поощрять разнообразие в составе судебных органов, в том числе путем учета гендерных аспектов и активного поощрения сбалансированной представленности женщин и мужчин из различных слоев общества на всех уровнях, а также лиц, принадлежащих к меньшинствам и другим обездоленным группам, и обеспечивать, чтобы требования для поступления на службу в судебные органы и процесс отбора в них не носили дискриминационного характера, были публичными и транспарентными и основывались на объективных критериях, и</w:t>
      </w:r>
      <w:r>
        <w:t> </w:t>
      </w:r>
      <w:r w:rsidR="00B05EBB" w:rsidRPr="00B05EBB">
        <w:t>гарантировать назначение лиц, имеющих высокие моральные качества и способности, а также соответствующую подготовку и квалификацию в области права, на основе личных заслуг и при равных условиях труда;</w:t>
      </w:r>
    </w:p>
    <w:p w14:paraId="1DC8F3C7" w14:textId="77777777" w:rsidR="00B05EBB" w:rsidRPr="00B05EBB" w:rsidRDefault="00894270" w:rsidP="00B05EBB">
      <w:pPr>
        <w:pStyle w:val="SingleTxtG"/>
      </w:pPr>
      <w:r>
        <w:tab/>
      </w:r>
      <w:r>
        <w:tab/>
      </w:r>
      <w:r w:rsidR="00B05EBB" w:rsidRPr="00B05EBB">
        <w:t>3.</w:t>
      </w:r>
      <w:r w:rsidR="00B05EBB" w:rsidRPr="00B05EBB">
        <w:tab/>
      </w:r>
      <w:r w:rsidR="00B05EBB" w:rsidRPr="00B05EBB">
        <w:rPr>
          <w:i/>
          <w:iCs/>
        </w:rPr>
        <w:t>подчеркивает</w:t>
      </w:r>
      <w:r w:rsidR="00B05EBB" w:rsidRPr="00B05EBB">
        <w:t>, что срок полномочий судей, их независимость, безопасность, надлежащее вознаграждение, условия службы, пенсии и возраст выхода на пенсию должны быть надлежащим образом обеспечены законом, что гарантия несменяемости судей является существенной гарантией независимости судебных органов и что основания для их отстранения от должности должны быть прописаны с указанием четко определенных обстоятельств, предусмотренных законом, включая недееспособность или поведение, которое делает их неспособными выполнять свои функции, и что процедуры, на которых основываются дисциплинарные взыскания, временное отстранение от должности или смещение с должности судьи, должны соответствовать надлежащей правовой процедуре;</w:t>
      </w:r>
    </w:p>
    <w:p w14:paraId="413CE5F2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4.</w:t>
      </w:r>
      <w:r w:rsidR="00B05EBB" w:rsidRPr="00B05EBB">
        <w:tab/>
      </w:r>
      <w:r w:rsidR="00B05EBB" w:rsidRPr="00B05EBB">
        <w:rPr>
          <w:i/>
        </w:rPr>
        <w:t>рекомендует</w:t>
      </w:r>
      <w:r w:rsidR="00B05EBB" w:rsidRPr="00B05EBB">
        <w:t xml:space="preserve"> государствам разработать, при необходимости, политику, процедуры и программы в области восстановительного правосудия как части всеобъемлющей системы правосудия;</w:t>
      </w:r>
    </w:p>
    <w:p w14:paraId="584E47C9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5.</w:t>
      </w:r>
      <w:r w:rsidR="00B05EBB" w:rsidRPr="00B05EBB">
        <w:tab/>
      </w:r>
      <w:r w:rsidR="00B05EBB" w:rsidRPr="00B05EBB">
        <w:rPr>
          <w:i/>
          <w:iCs/>
        </w:rPr>
        <w:t>рекомендует также</w:t>
      </w:r>
      <w:r w:rsidR="00B05EBB" w:rsidRPr="00B05EBB">
        <w:t xml:space="preserve"> государствам рассмотреть в сотрудничестве с соответствующими национальными органами, такими как ассоциации адвокатов, ассоциации судей и лиц, осуществляющих судебное преследование, и учебные заведения, оказывающими помощь судебным органам, возможность разработки руководящих принципов по таким вопросам, как женщины, дети, инвалиды, представители коренных народов и мигранты, в частности, для информирования судей, адвокатов, лиц, осуществляющих судебное преследование, и других субъектов судебной системы;</w:t>
      </w:r>
    </w:p>
    <w:p w14:paraId="4E24BFD0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6.</w:t>
      </w:r>
      <w:r w:rsidR="00B05EBB" w:rsidRPr="00B05EBB">
        <w:tab/>
      </w:r>
      <w:r w:rsidR="00B05EBB" w:rsidRPr="00B05EBB">
        <w:rPr>
          <w:i/>
          <w:iCs/>
        </w:rPr>
        <w:t>указывает на то</w:t>
      </w:r>
      <w:r w:rsidR="00B05EBB" w:rsidRPr="00B05EBB">
        <w:t>, что адвокаты не должны отождествляться со своими клиентами или интересами своих клиентов в результате выполнения ими своих функций;</w:t>
      </w:r>
    </w:p>
    <w:p w14:paraId="72DF6793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7.</w:t>
      </w:r>
      <w:r w:rsidR="00B05EBB" w:rsidRPr="00B05EBB">
        <w:tab/>
      </w:r>
      <w:r w:rsidR="00B05EBB" w:rsidRPr="00B05EBB">
        <w:rPr>
          <w:i/>
          <w:iCs/>
        </w:rPr>
        <w:t>подчеркивает</w:t>
      </w:r>
      <w:r w:rsidR="00B05EBB" w:rsidRPr="00B05EBB">
        <w:t>, что адвокаты должны иметь возможность выполнять свои функции свободно, независимо и без страха перед репрессиями;</w:t>
      </w:r>
    </w:p>
    <w:p w14:paraId="7F956A82" w14:textId="77777777" w:rsidR="00B05EBB" w:rsidRPr="00B05EBB" w:rsidRDefault="00F25580" w:rsidP="00B05EBB">
      <w:pPr>
        <w:pStyle w:val="SingleTxtG"/>
      </w:pPr>
      <w:r>
        <w:lastRenderedPageBreak/>
        <w:tab/>
      </w:r>
      <w:r>
        <w:tab/>
      </w:r>
      <w:r w:rsidR="00B05EBB" w:rsidRPr="00B05EBB">
        <w:t>8.</w:t>
      </w:r>
      <w:r w:rsidR="00B05EBB" w:rsidRPr="00B05EBB">
        <w:tab/>
      </w:r>
      <w:r w:rsidR="00B05EBB" w:rsidRPr="00B05EBB">
        <w:rPr>
          <w:i/>
          <w:iCs/>
        </w:rPr>
        <w:t xml:space="preserve">призывает </w:t>
      </w:r>
      <w:r w:rsidR="00B05EBB" w:rsidRPr="00B05EBB">
        <w:t>государства обеспечить, чтобы лица, осуществляющие судебное преследование, могли функционировать независимым, объективным и беспристрастным образом;</w:t>
      </w:r>
    </w:p>
    <w:p w14:paraId="22240406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9.</w:t>
      </w:r>
      <w:r w:rsidR="00B05EBB" w:rsidRPr="00B05EBB">
        <w:tab/>
      </w:r>
      <w:r w:rsidR="00B05EBB" w:rsidRPr="00B05EBB">
        <w:rPr>
          <w:i/>
          <w:iCs/>
        </w:rPr>
        <w:t xml:space="preserve">осуждает </w:t>
      </w:r>
      <w:r w:rsidR="00B05EBB" w:rsidRPr="00B05EBB">
        <w:t>все акты насилия, запугивания или мести, совершаемые с любой стороны и по любой причине в отношении судей, лиц, осуществляющих судебное преследование, и адвокатов, и напоминает государствам об их обязанности обеспечивать неприкосновенность судей, лиц, осуществляющих судебное преследование, и адвокатов и защищать их, а также членов их семей и их профессиональных помощников от всех форм насилия, угроз, мести, запугивания и притеснений со стороны государственных органов или негосударственных субъектов в результате выполнения ими своих функций, осуждать такие акты и привлекать виновных к ответственности;</w:t>
      </w:r>
    </w:p>
    <w:p w14:paraId="5ABB2B53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10.</w:t>
      </w:r>
      <w:r w:rsidR="00B05EBB" w:rsidRPr="00B05EBB">
        <w:tab/>
      </w:r>
      <w:r w:rsidR="00B05EBB" w:rsidRPr="00B05EBB">
        <w:rPr>
          <w:i/>
          <w:iCs/>
        </w:rPr>
        <w:t xml:space="preserve">выражает свою глубокую озабоченность </w:t>
      </w:r>
      <w:r w:rsidR="00B05EBB" w:rsidRPr="00B05EBB">
        <w:t>по поводу значительного числа нападений на адвокатов и случаев произвольного или незаконного вмешательства или ограничения свободы их профессиональной деятельности и призывает государства обеспечить, чтобы любые нападения на адвокатов или вмешательство любого рода в их деятельность оперативно, тщательно и беспристрастно расследовались, а виновные привлекались к ответственности;</w:t>
      </w:r>
    </w:p>
    <w:p w14:paraId="597A047D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11.</w:t>
      </w:r>
      <w:r w:rsidR="00B05EBB" w:rsidRPr="00B05EBB">
        <w:tab/>
      </w:r>
      <w:r w:rsidR="00B05EBB" w:rsidRPr="00B05EBB">
        <w:rPr>
          <w:i/>
          <w:iCs/>
        </w:rPr>
        <w:t xml:space="preserve">призывает </w:t>
      </w:r>
      <w:r w:rsidR="00B05EBB" w:rsidRPr="00B05EBB">
        <w:t>государства в сотрудничестве с соответствующими национальными образованиями, такими как ассоциации адвокатов, ассоциации судей и лиц, осуществляющих судебное преследование, и учебные заведения, обеспечить надлежащую подготовку, включая подготовку в области прав человека, для судей, лиц, осуществляющих судебное преследование, и адвокатов как при первоначальном назначении, так и периодически на протяжении всей их карьеры, принимая во внимание региональное и международное право прав человека и, когда это применимо и уместно, заключительные замечания и решения правозащитных механизмов, таких как договорные органы и региональные суды по правам человека;</w:t>
      </w:r>
    </w:p>
    <w:p w14:paraId="390B1A7C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12.</w:t>
      </w:r>
      <w:r w:rsidR="00B05EBB" w:rsidRPr="00B05EBB">
        <w:tab/>
      </w:r>
      <w:r w:rsidR="00B05EBB" w:rsidRPr="00B05EBB">
        <w:rPr>
          <w:i/>
          <w:iCs/>
        </w:rPr>
        <w:t xml:space="preserve">рекомендует </w:t>
      </w:r>
      <w:r w:rsidR="00B05EBB" w:rsidRPr="00B05EBB">
        <w:t>государствам принимать меры по борьбе с дискриминацией при отправлении правосудия путем, в частности, обеспечения специализированной и междисциплинарной подготовки по правам человека, в том числе антирасистской, многокультурной, учитывающей гендерные аспекты и права ребенка, для всех судей, адвокатов и лиц, осуществляющих судебное преследование;</w:t>
      </w:r>
    </w:p>
    <w:p w14:paraId="7A03D02C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13.</w:t>
      </w:r>
      <w:r w:rsidR="00B05EBB" w:rsidRPr="00B05EBB">
        <w:tab/>
      </w:r>
      <w:r w:rsidR="00B05EBB" w:rsidRPr="00B05EBB">
        <w:rPr>
          <w:i/>
          <w:iCs/>
        </w:rPr>
        <w:t>подчеркивает</w:t>
      </w:r>
      <w:r w:rsidR="00B05EBB" w:rsidRPr="00B05EBB">
        <w:t xml:space="preserve"> важность для государств разработки и внедрения эффективной и устойчивой системы юридической помощи, соответствующей их международным обязательствам в области прав человека и учитывающей надлежащие обязательства и передовую практику, с тем чтобы юридическая помощь имелась в наличии и была доступна на всех стадиях судопроизводства при соблюдении соответствующих критериев приемлемости;</w:t>
      </w:r>
    </w:p>
    <w:p w14:paraId="7F5632F9" w14:textId="77777777" w:rsidR="00B05EBB" w:rsidRPr="00B05EBB" w:rsidRDefault="00B05EBB" w:rsidP="00B05EBB">
      <w:pPr>
        <w:pStyle w:val="SingleTxtG"/>
        <w:ind w:firstLine="567"/>
      </w:pPr>
      <w:r w:rsidRPr="00B05EBB">
        <w:t>14.</w:t>
      </w:r>
      <w:r w:rsidRPr="00B05EBB">
        <w:tab/>
      </w:r>
      <w:r w:rsidRPr="00B05EBB">
        <w:rPr>
          <w:i/>
          <w:iCs/>
        </w:rPr>
        <w:t>настоятельно призывает</w:t>
      </w:r>
      <w:r w:rsidRPr="00B05EBB">
        <w:t xml:space="preserve"> все правительства сотрудничать со Специальным докладчиком по вопросу о независимости судей и адвокатов и оказывать содействие в выполнении его или ее задач, предоставлять всю запрошенную информацию и реагировать без неоправданных задержек на сообщения, препровожденные им Специальным докладчиком;</w:t>
      </w:r>
    </w:p>
    <w:p w14:paraId="28EE7890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15.</w:t>
      </w:r>
      <w:r w:rsidR="00B05EBB" w:rsidRPr="00B05EBB">
        <w:tab/>
      </w:r>
      <w:r w:rsidR="00B05EBB" w:rsidRPr="00B05EBB">
        <w:rPr>
          <w:i/>
          <w:iCs/>
        </w:rPr>
        <w:t xml:space="preserve">предлагает </w:t>
      </w:r>
      <w:r w:rsidR="00B05EBB" w:rsidRPr="00B05EBB">
        <w:t>государствам принять меры, в том числе путем принятия внутреннего законодательства, для обеспечения независимых и самостоятельных профессиональных ассоциаций адвокатов и признать жизненно важную роль, которую играют адвокаты в поддержании верховенства права и поощрении и защите прав человека;</w:t>
      </w:r>
    </w:p>
    <w:p w14:paraId="5F93FAC3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16.</w:t>
      </w:r>
      <w:r w:rsidR="00B05EBB" w:rsidRPr="00B05EBB">
        <w:tab/>
      </w:r>
      <w:r w:rsidR="00B05EBB" w:rsidRPr="00B05EBB">
        <w:rPr>
          <w:i/>
        </w:rPr>
        <w:t>призывает</w:t>
      </w:r>
      <w:r w:rsidR="00B05EBB" w:rsidRPr="00B05EBB">
        <w:t xml:space="preserve"> государства обеспечить, чтобы правовые положения, которые должны быть приняты или были приняты в связи с борьбой с терроризмом или обеспечением национальной безопасности, соответствовали международным обязательствам государства, касающимся права на справедливое судебное разбирательство, права на свободу, права на эффективные средства правовой защиты в случае нарушения прав человека, и другим положениям международного права, </w:t>
      </w:r>
      <w:r w:rsidR="00B05EBB" w:rsidRPr="00B05EBB">
        <w:lastRenderedPageBreak/>
        <w:t>имеющим отношение к роли судей, лиц, осуществляющих судебное преследование, и</w:t>
      </w:r>
      <w:r>
        <w:t> </w:t>
      </w:r>
      <w:r w:rsidR="00B05EBB" w:rsidRPr="00B05EBB">
        <w:t>адвокатов;</w:t>
      </w:r>
    </w:p>
    <w:p w14:paraId="4B07EB7F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17.</w:t>
      </w:r>
      <w:r w:rsidR="00B05EBB" w:rsidRPr="00B05EBB">
        <w:tab/>
      </w:r>
      <w:r w:rsidR="00B05EBB" w:rsidRPr="00B05EBB">
        <w:rPr>
          <w:i/>
          <w:iCs/>
        </w:rPr>
        <w:t xml:space="preserve">настоятельно призывает </w:t>
      </w:r>
      <w:r w:rsidR="00B05EBB" w:rsidRPr="00B05EBB">
        <w:t>государства обеспечить, чтобы судебные органы располагали необходимыми ресурсами и возможностями для содействия поддержанию функциональности, подотчетности, транспарентности и добросовестности и обеспечения надлежащей правовой процедуры и непрерывности судебной деятельности, включая эффективный доступ к правосудию в соответствии с правом на справедливое судебное разбирательство и другими основными правами и свободами, в чрезвычайных ситуациях, в том числе в связи с пандемией COVID-19 и другими кризисными ситуациями;</w:t>
      </w:r>
    </w:p>
    <w:p w14:paraId="09E24D1E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18.</w:t>
      </w:r>
      <w:r w:rsidR="00B05EBB" w:rsidRPr="00B05EBB">
        <w:tab/>
      </w:r>
      <w:r w:rsidR="00B05EBB" w:rsidRPr="00B05EBB">
        <w:rPr>
          <w:i/>
          <w:iCs/>
        </w:rPr>
        <w:t xml:space="preserve">рекомендует </w:t>
      </w:r>
      <w:r w:rsidR="00B05EBB" w:rsidRPr="00B05EBB">
        <w:t>государствам предоставлять в распоряжение судебных органов современные информационно-коммуникационные технологии и инновационные онлайновые решения, позволяющие подключаться к цифровым сетям, с целью содействовать обеспечению доступа к правосудию и уважению права на справедливое судебное разбирательство и других процессуальных прав, в том числе в чрезвычайных ситуациях, таких как пандемия COVID-19 и другие кризисные ситуации, и обеспечить, чтобы судебные и любые другие соответствующие национальные органы были в состоянии разработать необходимые процедурные рамки и технические решения с этой целью;</w:t>
      </w:r>
    </w:p>
    <w:p w14:paraId="49B5338B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19.</w:t>
      </w:r>
      <w:r w:rsidR="00B05EBB" w:rsidRPr="00B05EBB">
        <w:tab/>
      </w:r>
      <w:r w:rsidR="00B05EBB" w:rsidRPr="00B05EBB">
        <w:rPr>
          <w:i/>
          <w:iCs/>
        </w:rPr>
        <w:t xml:space="preserve">предлагает </w:t>
      </w:r>
      <w:r w:rsidR="00B05EBB" w:rsidRPr="00B05EBB">
        <w:t>Специальному докладчику сотрудничать с соответствующими заинтересованными сторонами в рамках системы Организации Объединенных Наций в областях, относящихся к данному мандату;</w:t>
      </w:r>
    </w:p>
    <w:p w14:paraId="47872573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20.</w:t>
      </w:r>
      <w:r w:rsidR="00B05EBB" w:rsidRPr="00B05EBB">
        <w:tab/>
      </w:r>
      <w:r w:rsidR="00B05EBB" w:rsidRPr="00B05EBB">
        <w:rPr>
          <w:i/>
          <w:iCs/>
        </w:rPr>
        <w:t xml:space="preserve">призывает </w:t>
      </w:r>
      <w:r w:rsidR="00B05EBB" w:rsidRPr="00B05EBB">
        <w:t>правительства серьезно рассматривать возможность положительного реагирования на просьбы Специального докладчика о посещении их стран и настоятельно призывает государства вступать в конструктивный диалог со Специальным докладчиком по вопросам принятия последующих мер и осуществления его или ее рекомендаций, с тем чтобы позволить Специальному докладчику еще более эффективно выполнять свой мандат;</w:t>
      </w:r>
    </w:p>
    <w:p w14:paraId="26B49155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21.</w:t>
      </w:r>
      <w:r w:rsidR="00B05EBB" w:rsidRPr="00B05EBB">
        <w:tab/>
      </w:r>
      <w:r w:rsidR="00B05EBB" w:rsidRPr="00B05EBB">
        <w:rPr>
          <w:i/>
          <w:iCs/>
        </w:rPr>
        <w:t xml:space="preserve">рекомендует </w:t>
      </w:r>
      <w:r w:rsidR="00B05EBB" w:rsidRPr="00B05EBB">
        <w:t>Специальному докладчику содействовать оказанию технической помощи и созданию потенциала и распространению руководящих принципов и передовой практики, в том числе посредством взаимодействия с соответствующими заинтересованными сторонами и в консультации с Управлением Верховного комиссара Организации Объединенных Наций по правам человека, когда об этом просит соответствующее государство, в целях установления и укрепления верховенства права, уделяя особое внимание отправлению правосудия и роли независимых и компетентных судебных органов и юристов;</w:t>
      </w:r>
    </w:p>
    <w:p w14:paraId="78383A93" w14:textId="77777777" w:rsidR="00B05EBB" w:rsidRPr="00B05EBB" w:rsidRDefault="00F25580" w:rsidP="00B05EBB">
      <w:pPr>
        <w:pStyle w:val="SingleTxtG"/>
      </w:pPr>
      <w:r>
        <w:tab/>
      </w:r>
      <w:r>
        <w:tab/>
      </w:r>
      <w:r w:rsidR="00B05EBB" w:rsidRPr="00B05EBB">
        <w:t>22.</w:t>
      </w:r>
      <w:r w:rsidR="00B05EBB" w:rsidRPr="00B05EBB">
        <w:tab/>
      </w:r>
      <w:r w:rsidR="00B05EBB" w:rsidRPr="00B05EBB">
        <w:rPr>
          <w:i/>
          <w:iCs/>
        </w:rPr>
        <w:t>рекомендует</w:t>
      </w:r>
      <w:r w:rsidR="00B05EBB" w:rsidRPr="00B05EBB">
        <w:t xml:space="preserve"> правительствам, которые сталкиваются с трудностями в обеспечении независимости судей и адвокатов, объективности и беспристрастности лиц, осуществляющих судебное преследование, и их возможности соответствующим образом выполнять свои функции или которые полны решимости принять меры для дальнейшего осуществления этих принципов, проводить консультации со Специальным докладчиком и рассмотреть возможность обращения к нему или к ней за помощью, например пригласив его или ее посетить свою страну;</w:t>
      </w:r>
    </w:p>
    <w:p w14:paraId="202C0B4C" w14:textId="77777777" w:rsidR="00B05EBB" w:rsidRPr="00B05EBB" w:rsidRDefault="00680AE9" w:rsidP="00B05EBB">
      <w:pPr>
        <w:pStyle w:val="SingleTxtG"/>
      </w:pPr>
      <w:r>
        <w:tab/>
      </w:r>
      <w:r>
        <w:tab/>
      </w:r>
      <w:r w:rsidR="00B05EBB" w:rsidRPr="00B05EBB">
        <w:t>23.</w:t>
      </w:r>
      <w:r w:rsidR="00B05EBB" w:rsidRPr="00B05EBB">
        <w:tab/>
      </w:r>
      <w:r w:rsidR="00B05EBB" w:rsidRPr="00B05EBB">
        <w:rPr>
          <w:i/>
          <w:iCs/>
        </w:rPr>
        <w:t>рекомендует также</w:t>
      </w:r>
      <w:r w:rsidR="00B05EBB" w:rsidRPr="00B05EBB">
        <w:t xml:space="preserve"> правительствам должным образом рассмотреть рекомендации, вынесенные правозащитными механизмами Организации Объединенных Наций, и выполнить поддержанные рекомендации процесса универсального периодического обзора, касающиеся независимости и эффективности судебных органов и их эффективного осуществления, и предлагает международному сообществу, региональным организациям и системе Организации Объединенных Наций оказывать поддержку любым усилиям по их осуществлению;</w:t>
      </w:r>
    </w:p>
    <w:p w14:paraId="54BA19AE" w14:textId="77777777" w:rsidR="00B05EBB" w:rsidRPr="00B05EBB" w:rsidRDefault="00680AE9" w:rsidP="00B05EBB">
      <w:pPr>
        <w:pStyle w:val="SingleTxtG"/>
      </w:pPr>
      <w:r>
        <w:tab/>
      </w:r>
      <w:r>
        <w:tab/>
      </w:r>
      <w:r w:rsidR="00B05EBB" w:rsidRPr="00B05EBB">
        <w:t>24.</w:t>
      </w:r>
      <w:r w:rsidR="00B05EBB" w:rsidRPr="00B05EBB">
        <w:tab/>
      </w:r>
      <w:r w:rsidR="00B05EBB" w:rsidRPr="00B05EBB">
        <w:rPr>
          <w:i/>
          <w:iCs/>
        </w:rPr>
        <w:t>предлагает</w:t>
      </w:r>
      <w:r w:rsidR="00B05EBB" w:rsidRPr="00B05EBB">
        <w:t xml:space="preserve"> учреждениям, фондам и программам Организации Объединенных Наций продолжать свою деятельность в областях отправления правосудия и верховенства права, в том числе на страновом уровне по просьбе государства, рекомендует государствам отражать такую деятельность в своих национальных планах наращивания потенциала и особо отмечает, что учреждения, </w:t>
      </w:r>
      <w:r w:rsidR="00B05EBB" w:rsidRPr="00B05EBB">
        <w:lastRenderedPageBreak/>
        <w:t>занимающиеся вопросами отправления правосудия, должны получать надлежащее финансирование;</w:t>
      </w:r>
    </w:p>
    <w:p w14:paraId="02781576" w14:textId="77777777" w:rsidR="00B05EBB" w:rsidRPr="00B05EBB" w:rsidRDefault="00680AE9" w:rsidP="00B05EBB">
      <w:pPr>
        <w:pStyle w:val="SingleTxtG"/>
      </w:pPr>
      <w:r>
        <w:tab/>
      </w:r>
      <w:r>
        <w:tab/>
      </w:r>
      <w:r w:rsidR="00B05EBB" w:rsidRPr="00B05EBB">
        <w:t>25.</w:t>
      </w:r>
      <w:r w:rsidR="00B05EBB" w:rsidRPr="00B05EBB">
        <w:tab/>
      </w:r>
      <w:r w:rsidR="00B05EBB" w:rsidRPr="00B05EBB">
        <w:rPr>
          <w:i/>
          <w:iCs/>
        </w:rPr>
        <w:t>рекомендует</w:t>
      </w:r>
      <w:r w:rsidR="00B05EBB" w:rsidRPr="00B05EBB">
        <w:t xml:space="preserve"> государствам обеспечить, чтобы их правовые рамки, положения по осуществлению и судебные руководства полностью соответствовали их международным о</w:t>
      </w:r>
      <w:bookmarkStart w:id="0" w:name="_GoBack"/>
      <w:bookmarkEnd w:id="0"/>
      <w:r w:rsidR="00B05EBB" w:rsidRPr="00B05EBB">
        <w:t>бязательствам и учитывали соответствующие обязательства в области отправления правосудия и верховенства права;</w:t>
      </w:r>
    </w:p>
    <w:p w14:paraId="53DBFCE6" w14:textId="77777777" w:rsidR="00B05EBB" w:rsidRPr="00B05EBB" w:rsidRDefault="00680AE9" w:rsidP="00B05EBB">
      <w:pPr>
        <w:pStyle w:val="SingleTxtG"/>
      </w:pPr>
      <w:r>
        <w:tab/>
      </w:r>
      <w:r>
        <w:tab/>
      </w:r>
      <w:r w:rsidR="00B05EBB" w:rsidRPr="00B05EBB">
        <w:t>26.</w:t>
      </w:r>
      <w:r w:rsidR="00B05EBB" w:rsidRPr="00B05EBB">
        <w:tab/>
      </w:r>
      <w:r w:rsidR="00B05EBB" w:rsidRPr="00B05EBB">
        <w:rPr>
          <w:i/>
        </w:rPr>
        <w:t>постановляет</w:t>
      </w:r>
      <w:r w:rsidR="00B05EBB" w:rsidRPr="00B05EBB">
        <w:t xml:space="preserve"> продолжить рассмотрение этого вопроса в соответствии со своей годовой программой работы.</w:t>
      </w:r>
    </w:p>
    <w:p w14:paraId="3981E3C4" w14:textId="77777777" w:rsidR="00B05EBB" w:rsidRPr="00B05EBB" w:rsidRDefault="00B05EBB" w:rsidP="00B05EB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5EBB" w:rsidRPr="00B05EBB" w:rsidSect="00B05E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EE6A3" w14:textId="77777777" w:rsidR="0085715A" w:rsidRPr="00A312BC" w:rsidRDefault="0085715A" w:rsidP="00A312BC"/>
  </w:endnote>
  <w:endnote w:type="continuationSeparator" w:id="0">
    <w:p w14:paraId="28170032" w14:textId="77777777" w:rsidR="0085715A" w:rsidRPr="00A312BC" w:rsidRDefault="0085715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284C9" w14:textId="77777777" w:rsidR="00B05EBB" w:rsidRPr="00B05EBB" w:rsidRDefault="00B05EBB">
    <w:pPr>
      <w:pStyle w:val="a8"/>
    </w:pPr>
    <w:r w:rsidRPr="00B05EBB">
      <w:rPr>
        <w:b/>
        <w:sz w:val="18"/>
      </w:rPr>
      <w:fldChar w:fldCharType="begin"/>
    </w:r>
    <w:r w:rsidRPr="00B05EBB">
      <w:rPr>
        <w:b/>
        <w:sz w:val="18"/>
      </w:rPr>
      <w:instrText xml:space="preserve"> PAGE  \* MERGEFORMAT </w:instrText>
    </w:r>
    <w:r w:rsidRPr="00B05EBB">
      <w:rPr>
        <w:b/>
        <w:sz w:val="18"/>
      </w:rPr>
      <w:fldChar w:fldCharType="separate"/>
    </w:r>
    <w:r w:rsidRPr="00B05EBB">
      <w:rPr>
        <w:b/>
        <w:noProof/>
        <w:sz w:val="18"/>
      </w:rPr>
      <w:t>2</w:t>
    </w:r>
    <w:r w:rsidRPr="00B05EBB">
      <w:rPr>
        <w:b/>
        <w:sz w:val="18"/>
      </w:rPr>
      <w:fldChar w:fldCharType="end"/>
    </w:r>
    <w:r>
      <w:rPr>
        <w:b/>
        <w:sz w:val="18"/>
      </w:rPr>
      <w:tab/>
    </w:r>
    <w:r>
      <w:t>GE.20-09191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0550A" w14:textId="77777777" w:rsidR="00B05EBB" w:rsidRPr="00B05EBB" w:rsidRDefault="00B05EBB" w:rsidP="00B05EBB">
    <w:pPr>
      <w:pStyle w:val="a8"/>
      <w:tabs>
        <w:tab w:val="clear" w:pos="9639"/>
        <w:tab w:val="right" w:pos="9638"/>
      </w:tabs>
      <w:rPr>
        <w:b/>
        <w:sz w:val="18"/>
      </w:rPr>
    </w:pPr>
    <w:r>
      <w:t>GE.20-09191</w:t>
    </w:r>
    <w:r>
      <w:tab/>
    </w:r>
    <w:r w:rsidRPr="00B05EBB">
      <w:rPr>
        <w:b/>
        <w:sz w:val="18"/>
      </w:rPr>
      <w:fldChar w:fldCharType="begin"/>
    </w:r>
    <w:r w:rsidRPr="00B05EBB">
      <w:rPr>
        <w:b/>
        <w:sz w:val="18"/>
      </w:rPr>
      <w:instrText xml:space="preserve"> PAGE  \* MERGEFORMAT </w:instrText>
    </w:r>
    <w:r w:rsidRPr="00B05EBB">
      <w:rPr>
        <w:b/>
        <w:sz w:val="18"/>
      </w:rPr>
      <w:fldChar w:fldCharType="separate"/>
    </w:r>
    <w:r w:rsidRPr="00B05EBB">
      <w:rPr>
        <w:b/>
        <w:noProof/>
        <w:sz w:val="18"/>
      </w:rPr>
      <w:t>3</w:t>
    </w:r>
    <w:r w:rsidRPr="00B05E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F206" w14:textId="77777777" w:rsidR="00042B72" w:rsidRPr="00B05EBB" w:rsidRDefault="00B05EBB" w:rsidP="00B05EBB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7ACE9F" wp14:editId="7155871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09191  (</w:t>
    </w:r>
    <w:proofErr w:type="gramEnd"/>
    <w:r>
      <w:t>R)</w:t>
    </w:r>
    <w:r w:rsidR="003247FF">
      <w:rPr>
        <w:lang w:val="en-US"/>
      </w:rPr>
      <w:t xml:space="preserve">  150720  150720</w:t>
    </w:r>
    <w:r>
      <w:br/>
    </w:r>
    <w:r w:rsidRPr="00B05EBB">
      <w:rPr>
        <w:rFonts w:ascii="C39T30Lfz" w:hAnsi="C39T30Lfz"/>
        <w:kern w:val="14"/>
        <w:sz w:val="56"/>
      </w:rPr>
      <w:t></w:t>
    </w:r>
    <w:r w:rsidRPr="00B05EBB">
      <w:rPr>
        <w:rFonts w:ascii="C39T30Lfz" w:hAnsi="C39T30Lfz"/>
        <w:kern w:val="14"/>
        <w:sz w:val="56"/>
      </w:rPr>
      <w:t></w:t>
    </w:r>
    <w:r w:rsidRPr="00B05EBB">
      <w:rPr>
        <w:rFonts w:ascii="C39T30Lfz" w:hAnsi="C39T30Lfz"/>
        <w:kern w:val="14"/>
        <w:sz w:val="56"/>
      </w:rPr>
      <w:t></w:t>
    </w:r>
    <w:r w:rsidRPr="00B05EBB">
      <w:rPr>
        <w:rFonts w:ascii="C39T30Lfz" w:hAnsi="C39T30Lfz"/>
        <w:kern w:val="14"/>
        <w:sz w:val="56"/>
      </w:rPr>
      <w:t></w:t>
    </w:r>
    <w:r w:rsidRPr="00B05EBB">
      <w:rPr>
        <w:rFonts w:ascii="C39T30Lfz" w:hAnsi="C39T30Lfz"/>
        <w:kern w:val="14"/>
        <w:sz w:val="56"/>
      </w:rPr>
      <w:t></w:t>
    </w:r>
    <w:r w:rsidRPr="00B05EBB">
      <w:rPr>
        <w:rFonts w:ascii="C39T30Lfz" w:hAnsi="C39T30Lfz"/>
        <w:kern w:val="14"/>
        <w:sz w:val="56"/>
      </w:rPr>
      <w:t></w:t>
    </w:r>
    <w:r w:rsidRPr="00B05EBB">
      <w:rPr>
        <w:rFonts w:ascii="C39T30Lfz" w:hAnsi="C39T30Lfz"/>
        <w:kern w:val="14"/>
        <w:sz w:val="56"/>
      </w:rPr>
      <w:t></w:t>
    </w:r>
    <w:r w:rsidRPr="00B05EBB">
      <w:rPr>
        <w:rFonts w:ascii="C39T30Lfz" w:hAnsi="C39T30Lfz"/>
        <w:kern w:val="14"/>
        <w:sz w:val="56"/>
      </w:rPr>
      <w:t></w:t>
    </w:r>
    <w:r w:rsidRPr="00B05EBB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028BB0" wp14:editId="00B5D4A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4CB63" w14:textId="77777777" w:rsidR="0085715A" w:rsidRPr="001075E9" w:rsidRDefault="0085715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87505DC" w14:textId="77777777" w:rsidR="0085715A" w:rsidRDefault="0085715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AABCBDB" w14:textId="77777777" w:rsidR="00B05EBB" w:rsidRPr="00F0295D" w:rsidRDefault="00B05EBB" w:rsidP="00B05EBB">
      <w:pPr>
        <w:pStyle w:val="ad"/>
      </w:pPr>
      <w:r>
        <w:tab/>
      </w:r>
      <w:r w:rsidRPr="003247FF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0BB86B74" w14:textId="77777777" w:rsidR="00B05EBB" w:rsidRPr="00B05EBB" w:rsidRDefault="00B05EBB" w:rsidP="00B05EBB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 w:rsidRPr="00B05EBB">
        <w:rPr>
          <w:rStyle w:val="aa"/>
        </w:rPr>
        <w:footnoteRef/>
      </w:r>
      <w:r w:rsidRPr="00B05EBB">
        <w:rPr>
          <w:lang w:val="en-US"/>
        </w:rPr>
        <w:tab/>
        <w:t xml:space="preserve">A/HRC/38/38 </w:t>
      </w:r>
      <w:r>
        <w:t>и</w:t>
      </w:r>
      <w:r w:rsidRPr="00B05EBB">
        <w:rPr>
          <w:lang w:val="en-US"/>
        </w:rPr>
        <w:t xml:space="preserve"> Add.1.</w:t>
      </w:r>
    </w:p>
  </w:footnote>
  <w:footnote w:id="3">
    <w:p w14:paraId="3CFEE661" w14:textId="77777777" w:rsidR="00B05EBB" w:rsidRPr="00B05EBB" w:rsidRDefault="00B05EBB" w:rsidP="00B05EBB">
      <w:pPr>
        <w:pStyle w:val="ad"/>
        <w:widowControl w:val="0"/>
        <w:tabs>
          <w:tab w:val="clear" w:pos="1021"/>
          <w:tab w:val="right" w:pos="1020"/>
        </w:tabs>
        <w:rPr>
          <w:lang w:val="en-US"/>
        </w:rPr>
      </w:pPr>
      <w:r w:rsidRPr="00B05EBB">
        <w:rPr>
          <w:lang w:val="en-US"/>
        </w:rPr>
        <w:tab/>
      </w:r>
      <w:r w:rsidRPr="00B05EBB">
        <w:rPr>
          <w:rStyle w:val="aa"/>
        </w:rPr>
        <w:footnoteRef/>
      </w:r>
      <w:r w:rsidRPr="00B05EBB">
        <w:rPr>
          <w:lang w:val="en-US"/>
        </w:rPr>
        <w:tab/>
        <w:t>A/HRC/41/48.</w:t>
      </w:r>
    </w:p>
  </w:footnote>
  <w:footnote w:id="4">
    <w:p w14:paraId="19D8FBA5" w14:textId="77777777" w:rsidR="00B05EBB" w:rsidRPr="00077B94" w:rsidRDefault="00B05EBB" w:rsidP="00B05EBB">
      <w:pPr>
        <w:pStyle w:val="ad"/>
        <w:widowControl w:val="0"/>
        <w:tabs>
          <w:tab w:val="clear" w:pos="1021"/>
          <w:tab w:val="right" w:pos="1020"/>
        </w:tabs>
      </w:pPr>
      <w:r w:rsidRPr="00B05EBB">
        <w:rPr>
          <w:lang w:val="en-US"/>
        </w:rPr>
        <w:tab/>
      </w:r>
      <w:r w:rsidRPr="00B05EBB">
        <w:rPr>
          <w:rStyle w:val="aa"/>
        </w:rPr>
        <w:footnoteRef/>
      </w:r>
      <w:r>
        <w:tab/>
        <w:t>A/74/176.</w:t>
      </w:r>
    </w:p>
  </w:footnote>
  <w:footnote w:id="5">
    <w:p w14:paraId="343AABB4" w14:textId="77777777" w:rsidR="00B05EBB" w:rsidRPr="00D21752" w:rsidRDefault="00B05EBB" w:rsidP="00B05EBB">
      <w:pPr>
        <w:pStyle w:val="ad"/>
      </w:pPr>
      <w:r w:rsidRPr="00D21752">
        <w:tab/>
      </w:r>
      <w:r w:rsidRPr="00B05EBB">
        <w:rPr>
          <w:rStyle w:val="aa"/>
        </w:rPr>
        <w:footnoteRef/>
      </w:r>
      <w:r>
        <w:tab/>
        <w:t>Резолюция 70/1 Генеральной Ассамблеи.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2F103" w14:textId="3268957C" w:rsidR="00B05EBB" w:rsidRPr="00B05EBB" w:rsidRDefault="00B05EBB">
    <w:pPr>
      <w:pStyle w:val="a5"/>
    </w:pPr>
    <w:fldSimple w:instr=" TITLE  \* MERGEFORMAT ">
      <w:r w:rsidR="00F81965">
        <w:t>A/HRC/44/L.7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9D7EB" w14:textId="1259E82E" w:rsidR="00B05EBB" w:rsidRPr="00B05EBB" w:rsidRDefault="00B05EBB" w:rsidP="00B05EBB">
    <w:pPr>
      <w:pStyle w:val="a5"/>
      <w:jc w:val="right"/>
    </w:pPr>
    <w:fldSimple w:instr=" TITLE  \* MERGEFORMAT ">
      <w:r w:rsidR="00F81965">
        <w:t>A/HRC/44/L.7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5A"/>
    <w:rsid w:val="0003347F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247FF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0AE9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5715A"/>
    <w:rsid w:val="0086445C"/>
    <w:rsid w:val="00865660"/>
    <w:rsid w:val="00894270"/>
    <w:rsid w:val="00894693"/>
    <w:rsid w:val="008A08D7"/>
    <w:rsid w:val="008B6909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D35"/>
    <w:rsid w:val="00A917B3"/>
    <w:rsid w:val="00AB4B51"/>
    <w:rsid w:val="00B05EBB"/>
    <w:rsid w:val="00B10CC7"/>
    <w:rsid w:val="00B25BD7"/>
    <w:rsid w:val="00B539E7"/>
    <w:rsid w:val="00B62458"/>
    <w:rsid w:val="00BC18B2"/>
    <w:rsid w:val="00BD33EE"/>
    <w:rsid w:val="00BE0674"/>
    <w:rsid w:val="00C106D6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25580"/>
    <w:rsid w:val="00F43903"/>
    <w:rsid w:val="00F81965"/>
    <w:rsid w:val="00F94155"/>
    <w:rsid w:val="00F9783F"/>
    <w:rsid w:val="00FA7B80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74DAC0"/>
  <w15:docId w15:val="{8FD0E5CC-8807-45B3-AB28-F2CF35EB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2</TotalTime>
  <Pages>7</Pages>
  <Words>2543</Words>
  <Characters>18441</Characters>
  <Application>Microsoft Office Word</Application>
  <DocSecurity>0</DocSecurity>
  <Lines>323</Lines>
  <Paragraphs>75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A/HRC/44/L.7</vt:lpstr>
      <vt:lpstr>A/</vt:lpstr>
      <vt:lpstr>A/</vt:lpstr>
      <vt:lpstr>A/</vt:lpstr>
    </vt:vector>
  </TitlesOfParts>
  <Company>DCM</Company>
  <LinksUpToDate>false</LinksUpToDate>
  <CharactersWithSpaces>20909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A/HRC/44/L.7</dc:title>
  <dc:subject/>
  <dc:creator>Marina KOROTKOVA</dc:creator>
  <cp:keywords/>
  <cp:lastModifiedBy>Marina KOROTKOVA</cp:lastModifiedBy>
  <cp:revision>3</cp:revision>
  <cp:lastPrinted>2020-07-15T08:06:00Z</cp:lastPrinted>
  <dcterms:created xsi:type="dcterms:W3CDTF">2020-07-15T08:06:00Z</dcterms:created>
  <dcterms:modified xsi:type="dcterms:W3CDTF">2020-07-15T08:07:00Z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