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142"/>
        <w:gridCol w:w="2819"/>
      </w:tblGrid>
      <w:tr w:rsidR="002D5AAC" w14:paraId="282F65D9" w14:textId="77777777" w:rsidTr="00865660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717B5A97" w14:textId="77777777" w:rsidR="002D5AAC" w:rsidRDefault="002D5AAC" w:rsidP="00A8474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44F3F0E" w14:textId="77777777" w:rsidR="002D5AAC" w:rsidRPr="00BD33EE" w:rsidRDefault="00DF71B9" w:rsidP="00782C09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F32BAA8" w14:textId="77777777" w:rsidR="002D5AAC" w:rsidRDefault="00A84743" w:rsidP="00A84743">
            <w:pPr>
              <w:jc w:val="right"/>
            </w:pPr>
            <w:r w:rsidRPr="00A84743">
              <w:rPr>
                <w:sz w:val="40"/>
              </w:rPr>
              <w:t>A</w:t>
            </w:r>
            <w:r>
              <w:t>/HRC/44/L.8</w:t>
            </w:r>
          </w:p>
        </w:tc>
      </w:tr>
      <w:tr w:rsidR="002D5AAC" w:rsidRPr="00A84743" w14:paraId="2C5E5C00" w14:textId="77777777" w:rsidTr="00782C09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D62ECC1" w14:textId="77777777" w:rsidR="002D5AAC" w:rsidRDefault="002E5067" w:rsidP="00782C09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21BCA64B" wp14:editId="5D44625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721876D" w14:textId="77777777" w:rsidR="002D5AAC" w:rsidRPr="00033EE1" w:rsidRDefault="00DF71B9" w:rsidP="00782C09">
            <w:pPr>
              <w:spacing w:before="120" w:line="360" w:lineRule="exact"/>
              <w:rPr>
                <w:b/>
                <w:sz w:val="34"/>
                <w:szCs w:val="34"/>
              </w:rPr>
            </w:pPr>
            <w:r w:rsidRPr="006F285F">
              <w:rPr>
                <w:b/>
                <w:spacing w:val="-4"/>
                <w:sz w:val="40"/>
                <w:szCs w:val="40"/>
              </w:rPr>
              <w:t>Генеральная Ассамблея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7C5515DE" w14:textId="77777777" w:rsidR="002D5AAC" w:rsidRDefault="00A84743" w:rsidP="00782C09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Limited</w:t>
            </w:r>
          </w:p>
          <w:p w14:paraId="6734EB78" w14:textId="77777777" w:rsidR="00A84743" w:rsidRDefault="00A84743" w:rsidP="00A847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13 July 2020</w:t>
            </w:r>
          </w:p>
          <w:p w14:paraId="743A4451" w14:textId="77777777" w:rsidR="00A84743" w:rsidRDefault="00A84743" w:rsidP="00A847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7A5BBC93" w14:textId="77777777" w:rsidR="00A84743" w:rsidRPr="00E71476" w:rsidRDefault="00A84743" w:rsidP="00A8474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AFC2492" w14:textId="77777777" w:rsidR="00A84743" w:rsidRPr="00A84743" w:rsidRDefault="00DF71B9" w:rsidP="006F0B59">
      <w:pPr>
        <w:spacing w:before="120"/>
        <w:rPr>
          <w:b/>
          <w:sz w:val="24"/>
          <w:szCs w:val="24"/>
        </w:rPr>
      </w:pPr>
      <w:r w:rsidRPr="001313C8">
        <w:rPr>
          <w:b/>
          <w:sz w:val="24"/>
          <w:szCs w:val="24"/>
        </w:rPr>
        <w:t>Совет по правам человека</w:t>
      </w:r>
    </w:p>
    <w:p w14:paraId="7613D432" w14:textId="77777777" w:rsidR="00A84743" w:rsidRPr="006419C9" w:rsidRDefault="00A84743" w:rsidP="00A84743">
      <w:pPr>
        <w:rPr>
          <w:b/>
        </w:rPr>
      </w:pPr>
      <w:r>
        <w:rPr>
          <w:b/>
          <w:bCs/>
        </w:rPr>
        <w:t>Сорок четвертая сессия</w:t>
      </w:r>
    </w:p>
    <w:p w14:paraId="71C0763A" w14:textId="77777777" w:rsidR="00A84743" w:rsidRPr="006419C9" w:rsidRDefault="00A84743" w:rsidP="00A84743">
      <w:r>
        <w:t>30 июня – 17 июля 2020 года</w:t>
      </w:r>
    </w:p>
    <w:p w14:paraId="7F8476D8" w14:textId="77777777" w:rsidR="00A84743" w:rsidRPr="006419C9" w:rsidRDefault="00A84743" w:rsidP="00A84743">
      <w:r>
        <w:t>Пункт 2 повестки дня</w:t>
      </w:r>
    </w:p>
    <w:p w14:paraId="17D02C57" w14:textId="77777777" w:rsidR="00A84743" w:rsidRPr="006419C9" w:rsidRDefault="00A84743" w:rsidP="00A84743">
      <w:pPr>
        <w:rPr>
          <w:b/>
        </w:rPr>
      </w:pPr>
      <w:r>
        <w:rPr>
          <w:b/>
          <w:bCs/>
        </w:rPr>
        <w:t xml:space="preserve">Ежегодный доклад Верховного комиссара </w:t>
      </w:r>
      <w:r>
        <w:rPr>
          <w:b/>
          <w:bCs/>
        </w:rPr>
        <w:br/>
      </w:r>
      <w:r>
        <w:rPr>
          <w:b/>
          <w:bCs/>
        </w:rPr>
        <w:t xml:space="preserve">Организации Объединенных Наций </w:t>
      </w:r>
      <w:r>
        <w:rPr>
          <w:b/>
          <w:bCs/>
        </w:rPr>
        <w:br/>
      </w:r>
      <w:r>
        <w:rPr>
          <w:b/>
          <w:bCs/>
        </w:rPr>
        <w:t xml:space="preserve">по правам человека и доклады </w:t>
      </w:r>
      <w:r>
        <w:rPr>
          <w:b/>
          <w:bCs/>
        </w:rPr>
        <w:br/>
      </w:r>
      <w:r>
        <w:rPr>
          <w:b/>
          <w:bCs/>
        </w:rPr>
        <w:t xml:space="preserve">Управления Верховного комиссара </w:t>
      </w:r>
      <w:r>
        <w:rPr>
          <w:b/>
          <w:bCs/>
        </w:rPr>
        <w:br/>
      </w:r>
      <w:r>
        <w:rPr>
          <w:b/>
          <w:bCs/>
        </w:rPr>
        <w:t>и Генерального секретаря</w:t>
      </w:r>
    </w:p>
    <w:p w14:paraId="2841C06D" w14:textId="77777777" w:rsidR="00A84743" w:rsidRPr="006419C9" w:rsidRDefault="00A84743" w:rsidP="00A84743">
      <w:pPr>
        <w:pStyle w:val="H23G"/>
      </w:pPr>
      <w:r>
        <w:tab/>
      </w:r>
      <w:r>
        <w:tab/>
        <w:t>Австралия, Австрия, Бельгия</w:t>
      </w:r>
      <w:r w:rsidRPr="00A84743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>
        <w:t>, Болгария, Германия, Греция</w:t>
      </w:r>
      <w:r w:rsidRPr="00A84743">
        <w:rPr>
          <w:b w:val="0"/>
          <w:bCs/>
        </w:rPr>
        <w:t>*</w:t>
      </w:r>
      <w:r>
        <w:t>, Дания, Ирландия</w:t>
      </w:r>
      <w:r w:rsidRPr="00A84743">
        <w:rPr>
          <w:b w:val="0"/>
          <w:bCs/>
        </w:rPr>
        <w:t>*</w:t>
      </w:r>
      <w:r>
        <w:t>, Исландия</w:t>
      </w:r>
      <w:r w:rsidRPr="00A84743">
        <w:rPr>
          <w:b w:val="0"/>
          <w:bCs/>
        </w:rPr>
        <w:t>*</w:t>
      </w:r>
      <w:r>
        <w:t>, Испания, Италия, Канада</w:t>
      </w:r>
      <w:r w:rsidRPr="00A84743">
        <w:rPr>
          <w:b w:val="0"/>
          <w:bCs/>
        </w:rPr>
        <w:t>*</w:t>
      </w:r>
      <w:r>
        <w:t>, Кипр</w:t>
      </w:r>
      <w:r w:rsidRPr="00A84743">
        <w:rPr>
          <w:b w:val="0"/>
          <w:bCs/>
        </w:rPr>
        <w:t>*</w:t>
      </w:r>
      <w:r>
        <w:t>, Латвия</w:t>
      </w:r>
      <w:r w:rsidRPr="00A84743">
        <w:rPr>
          <w:b w:val="0"/>
          <w:bCs/>
        </w:rPr>
        <w:t>*</w:t>
      </w:r>
      <w:r>
        <w:t>, Литва</w:t>
      </w:r>
      <w:r w:rsidRPr="00A84743">
        <w:rPr>
          <w:b w:val="0"/>
          <w:bCs/>
        </w:rPr>
        <w:t>*</w:t>
      </w:r>
      <w:r>
        <w:t>, Лихтенштейн</w:t>
      </w:r>
      <w:r w:rsidRPr="00A84743">
        <w:rPr>
          <w:b w:val="0"/>
          <w:bCs/>
        </w:rPr>
        <w:t>*</w:t>
      </w:r>
      <w:r>
        <w:t>, Люксембург</w:t>
      </w:r>
      <w:r w:rsidRPr="00A84743">
        <w:rPr>
          <w:b w:val="0"/>
          <w:bCs/>
        </w:rPr>
        <w:t>*</w:t>
      </w:r>
      <w:r>
        <w:t>, Мальта</w:t>
      </w:r>
      <w:r w:rsidRPr="00A84743">
        <w:rPr>
          <w:b w:val="0"/>
          <w:bCs/>
        </w:rPr>
        <w:t>*</w:t>
      </w:r>
      <w:r>
        <w:t>, Монако</w:t>
      </w:r>
      <w:r w:rsidRPr="008B6EEA">
        <w:rPr>
          <w:b w:val="0"/>
          <w:bCs/>
        </w:rPr>
        <w:t>*</w:t>
      </w:r>
      <w:r>
        <w:t>, Нидерланды, Норвегия</w:t>
      </w:r>
      <w:r w:rsidRPr="008B6EEA">
        <w:rPr>
          <w:b w:val="0"/>
          <w:bCs/>
        </w:rPr>
        <w:t>*</w:t>
      </w:r>
      <w:r>
        <w:t>, Польша, Румыния</w:t>
      </w:r>
      <w:r w:rsidRPr="008B6EEA">
        <w:rPr>
          <w:b w:val="0"/>
          <w:bCs/>
        </w:rPr>
        <w:t>*</w:t>
      </w:r>
      <w:r>
        <w:t>, Северная Македония</w:t>
      </w:r>
      <w:r w:rsidRPr="008B6EEA">
        <w:rPr>
          <w:b w:val="0"/>
          <w:bCs/>
        </w:rPr>
        <w:t>*</w:t>
      </w:r>
      <w:r>
        <w:t>, Словакия, Словения</w:t>
      </w:r>
      <w:r w:rsidRPr="008B6EEA">
        <w:rPr>
          <w:b w:val="0"/>
          <w:bCs/>
        </w:rPr>
        <w:t>*</w:t>
      </w:r>
      <w:r>
        <w:t>, Финляндия</w:t>
      </w:r>
      <w:r w:rsidRPr="008B6EEA">
        <w:rPr>
          <w:b w:val="0"/>
          <w:bCs/>
        </w:rPr>
        <w:t>*</w:t>
      </w:r>
      <w:r>
        <w:t>, Франция</w:t>
      </w:r>
      <w:r w:rsidRPr="008B6EEA">
        <w:rPr>
          <w:b w:val="0"/>
          <w:bCs/>
        </w:rPr>
        <w:t>*</w:t>
      </w:r>
      <w:r>
        <w:t>, Хорватия</w:t>
      </w:r>
      <w:r w:rsidRPr="008B6EEA">
        <w:rPr>
          <w:b w:val="0"/>
          <w:bCs/>
        </w:rPr>
        <w:t>*</w:t>
      </w:r>
      <w:r>
        <w:t>, Черногория</w:t>
      </w:r>
      <w:r w:rsidRPr="008B6EEA">
        <w:rPr>
          <w:b w:val="0"/>
          <w:bCs/>
        </w:rPr>
        <w:t>*</w:t>
      </w:r>
      <w:r>
        <w:t>, Чехия, Швейцария</w:t>
      </w:r>
      <w:r w:rsidRPr="008B6EEA">
        <w:rPr>
          <w:b w:val="0"/>
          <w:bCs/>
        </w:rPr>
        <w:t>*</w:t>
      </w:r>
      <w:r>
        <w:t>,</w:t>
      </w:r>
      <w:r w:rsidR="008B6EEA">
        <w:t xml:space="preserve"> </w:t>
      </w:r>
      <w:r>
        <w:t>Швеция</w:t>
      </w:r>
      <w:r w:rsidRPr="008B6EEA">
        <w:rPr>
          <w:b w:val="0"/>
          <w:bCs/>
        </w:rPr>
        <w:t>*</w:t>
      </w:r>
      <w:r>
        <w:t xml:space="preserve"> и</w:t>
      </w:r>
      <w:r>
        <w:t xml:space="preserve"> Эстония</w:t>
      </w:r>
      <w:r w:rsidRPr="008B6EEA">
        <w:rPr>
          <w:b w:val="0"/>
          <w:bCs/>
        </w:rPr>
        <w:t>*</w:t>
      </w:r>
      <w:r>
        <w:t>: проект резолюции</w:t>
      </w:r>
    </w:p>
    <w:p w14:paraId="7D7FDFA0" w14:textId="77777777" w:rsidR="00A84743" w:rsidRPr="006419C9" w:rsidRDefault="00A84743" w:rsidP="00A84743">
      <w:pPr>
        <w:pStyle w:val="H1G"/>
        <w:tabs>
          <w:tab w:val="left" w:pos="1843"/>
        </w:tabs>
      </w:pPr>
      <w:r>
        <w:tab/>
      </w:r>
      <w:r>
        <w:tab/>
      </w:r>
      <w:r>
        <w:t>44/…</w:t>
      </w:r>
      <w:r>
        <w:tab/>
        <w:t>Положение в области прав человека в Эритрее</w:t>
      </w:r>
    </w:p>
    <w:p w14:paraId="2DB2E8A6" w14:textId="77777777" w:rsidR="00A84743" w:rsidRPr="008B6EEA" w:rsidRDefault="00A84743" w:rsidP="00A84743">
      <w:pPr>
        <w:spacing w:after="120"/>
        <w:ind w:left="1134" w:right="1134"/>
        <w:jc w:val="both"/>
        <w:rPr>
          <w:i/>
          <w:iCs/>
        </w:rPr>
      </w:pPr>
      <w:r>
        <w:tab/>
      </w:r>
      <w:r>
        <w:tab/>
      </w:r>
      <w:r w:rsidRPr="008B6EEA">
        <w:rPr>
          <w:i/>
          <w:iCs/>
        </w:rPr>
        <w:t>Совет по правам человека,</w:t>
      </w:r>
    </w:p>
    <w:p w14:paraId="4393F4F5" w14:textId="77777777" w:rsidR="00A84743" w:rsidRPr="006419C9" w:rsidRDefault="00A84743" w:rsidP="00A84743">
      <w:pPr>
        <w:pStyle w:val="SingleTxtG"/>
        <w:ind w:firstLine="567"/>
      </w:pPr>
      <w:r w:rsidRPr="008B6EEA">
        <w:rPr>
          <w:i/>
          <w:iCs/>
        </w:rPr>
        <w:t>руководствуясь</w:t>
      </w:r>
      <w:r>
        <w:t xml:space="preserve"> Уставом Организации Объединенных Наций, Всеобщей декларацией прав человека, международными пактами о правах человека и другими соответствующими международными договорами о правах человека,</w:t>
      </w:r>
    </w:p>
    <w:p w14:paraId="1E292DE1" w14:textId="77777777" w:rsidR="00A84743" w:rsidRPr="006419C9" w:rsidRDefault="00A84743" w:rsidP="00A84743">
      <w:pPr>
        <w:pStyle w:val="SingleTxtG"/>
        <w:ind w:firstLine="567"/>
      </w:pPr>
      <w:r w:rsidRPr="008B6EEA">
        <w:rPr>
          <w:i/>
          <w:iCs/>
        </w:rPr>
        <w:t xml:space="preserve">ссылаясь </w:t>
      </w:r>
      <w:r>
        <w:t>на резолюцию 60/251 Генеральной Ассамблеи от 15 марта 2006 года, резолюции 5/1 и 5/2 Совета по правам человека от 18 июня 2007 года, резолюцию 91 и решения 250/2002, 275/2003 и 428/12 Африканской комиссии по правам человека и народов и все предыдущие резолюции Совета о положении в области прав человека в Эритрее,</w:t>
      </w:r>
    </w:p>
    <w:p w14:paraId="2CD1C02B" w14:textId="77777777" w:rsidR="00A84743" w:rsidRPr="006419C9" w:rsidRDefault="00A84743" w:rsidP="00A84743">
      <w:pPr>
        <w:pStyle w:val="SingleTxtG"/>
        <w:ind w:firstLine="567"/>
      </w:pPr>
      <w:r w:rsidRPr="008B6EEA">
        <w:rPr>
          <w:i/>
          <w:iCs/>
        </w:rPr>
        <w:t>ссылаясь также</w:t>
      </w:r>
      <w:r>
        <w:t xml:space="preserve"> на важные региональные подвижки, произошедшие в последние годы, и тот потенциал, который они несут для развития прав человека в Эритрее,</w:t>
      </w:r>
    </w:p>
    <w:p w14:paraId="05C60AA4" w14:textId="77777777" w:rsidR="00A84743" w:rsidRPr="006419C9" w:rsidRDefault="00A84743" w:rsidP="00A84743">
      <w:pPr>
        <w:pStyle w:val="SingleTxtG"/>
        <w:ind w:firstLine="567"/>
      </w:pPr>
      <w:r w:rsidRPr="008B6EEA">
        <w:rPr>
          <w:i/>
          <w:iCs/>
        </w:rPr>
        <w:t>приветствуя</w:t>
      </w:r>
      <w:r>
        <w:t xml:space="preserve"> приверженность правительства Эритреи Целям в области устойчивого развития и его участие в третьем цикле универсального периодического обзора 28 января 2019 года</w:t>
      </w:r>
      <w:r>
        <w:rPr>
          <w:rStyle w:val="aa"/>
        </w:rPr>
        <w:footnoteReference w:id="2"/>
      </w:r>
      <w:r>
        <w:t xml:space="preserve"> и в диалоге по правам человека с Комитетом по ликвидации дискриминации в отношении женщин 14 февраля 2020 года</w:t>
      </w:r>
      <w:r>
        <w:rPr>
          <w:rStyle w:val="aa"/>
        </w:rPr>
        <w:footnoteReference w:id="3"/>
      </w:r>
      <w:r w:rsidR="008B6EEA">
        <w:t>,</w:t>
      </w:r>
    </w:p>
    <w:p w14:paraId="1992E0F7" w14:textId="77777777" w:rsidR="00A84743" w:rsidRPr="006419C9" w:rsidRDefault="00A84743" w:rsidP="00A84743">
      <w:pPr>
        <w:pStyle w:val="SingleTxtG"/>
        <w:ind w:firstLine="567"/>
      </w:pPr>
      <w:r w:rsidRPr="008B6EEA">
        <w:rPr>
          <w:i/>
          <w:iCs/>
        </w:rPr>
        <w:t>приветствуя также</w:t>
      </w:r>
      <w:r>
        <w:t xml:space="preserve"> доклад Специального докладчика по вопросу о положении в области прав человека в Эритрее</w:t>
      </w:r>
      <w:r>
        <w:rPr>
          <w:rStyle w:val="aa"/>
        </w:rPr>
        <w:footnoteReference w:id="4"/>
      </w:r>
      <w:r>
        <w:t xml:space="preserve"> и ее выводы,</w:t>
      </w:r>
    </w:p>
    <w:p w14:paraId="32CD1DBA" w14:textId="77777777" w:rsidR="00A84743" w:rsidRPr="006419C9" w:rsidRDefault="00A84743" w:rsidP="00A84743">
      <w:pPr>
        <w:pStyle w:val="SingleTxtG"/>
        <w:ind w:firstLine="567"/>
      </w:pPr>
      <w:r>
        <w:lastRenderedPageBreak/>
        <w:t>1.</w:t>
      </w:r>
      <w:r>
        <w:tab/>
      </w:r>
      <w:r w:rsidRPr="008B6EEA">
        <w:rPr>
          <w:i/>
          <w:iCs/>
        </w:rPr>
        <w:t>просит</w:t>
      </w:r>
      <w:r>
        <w:t xml:space="preserve"> Управление Верховного комиссара Организации Объединенных Наций по правам человека представить Совету по правам человека на его сорок шестой сессии устную обновленную информацию о достигнутом прогрессе в сотрудничестве между Эритреей и Управлением Верховного комиссара и о его воздействии на положение в области прав человека в Эритрее;</w:t>
      </w:r>
    </w:p>
    <w:p w14:paraId="01FA32AE" w14:textId="77777777" w:rsidR="00A84743" w:rsidRPr="006419C9" w:rsidRDefault="00A84743" w:rsidP="00A84743">
      <w:pPr>
        <w:pStyle w:val="SingleTxtG"/>
        <w:ind w:firstLine="567"/>
      </w:pPr>
      <w:r>
        <w:t>2.</w:t>
      </w:r>
      <w:r>
        <w:tab/>
      </w:r>
      <w:r w:rsidRPr="008B6EEA">
        <w:rPr>
          <w:i/>
          <w:iCs/>
        </w:rPr>
        <w:t>постановляет</w:t>
      </w:r>
      <w:r>
        <w:t xml:space="preserve"> продлить мандат Специального докладчика по вопросу о положении в области прав человека в Эритрее еще на один год и продолжать проводить оценку и сообщать сведения относительно положения в области прав человека в контексте последующих мер в связи с докладом Специального докладчика и просит Специального докладчика представить Совету по правам человека в ходе интерактивного диалога на его сорок шестой сессии устную обновленную информацию и представить в ходе интеракти</w:t>
      </w:r>
      <w:bookmarkStart w:id="0" w:name="_GoBack"/>
      <w:bookmarkEnd w:id="0"/>
      <w:r>
        <w:t>вного диалога Совету на его сорок седьмой сессии и Генеральной Ассамблее на ее семьдесят пятой сессии доклад об осуществлении мандата;</w:t>
      </w:r>
    </w:p>
    <w:p w14:paraId="7676E2F9" w14:textId="77777777" w:rsidR="00A84743" w:rsidRPr="006419C9" w:rsidRDefault="00A84743" w:rsidP="00A84743">
      <w:pPr>
        <w:pStyle w:val="SingleTxtG"/>
        <w:ind w:firstLine="567"/>
      </w:pPr>
      <w:r>
        <w:t>3.</w:t>
      </w:r>
      <w:r>
        <w:tab/>
      </w:r>
      <w:r w:rsidRPr="008B6EEA">
        <w:rPr>
          <w:i/>
          <w:iCs/>
        </w:rPr>
        <w:t xml:space="preserve">призывает </w:t>
      </w:r>
      <w:r>
        <w:t>правительство Эритреи в полной мере сотрудничать со Специальным докладчиком, в том числе путем предоставления доступа в страну и взятия на себя обязательств по достижению прогресса в отношении предлагаемых контрольных показателей</w:t>
      </w:r>
      <w:r>
        <w:rPr>
          <w:rStyle w:val="aa"/>
          <w:bCs/>
        </w:rPr>
        <w:footnoteReference w:id="5"/>
      </w:r>
      <w:r w:rsidR="008B6EEA">
        <w:t>;</w:t>
      </w:r>
    </w:p>
    <w:p w14:paraId="49EE5947" w14:textId="77777777" w:rsidR="00A84743" w:rsidRPr="006419C9" w:rsidRDefault="00A84743" w:rsidP="00A84743">
      <w:pPr>
        <w:pStyle w:val="SingleTxtG"/>
        <w:ind w:firstLine="567"/>
      </w:pPr>
      <w:r>
        <w:t>4.</w:t>
      </w:r>
      <w:r>
        <w:tab/>
      </w:r>
      <w:r w:rsidRPr="008B6EEA">
        <w:rPr>
          <w:i/>
          <w:iCs/>
        </w:rPr>
        <w:t>просит</w:t>
      </w:r>
      <w:r>
        <w:t xml:space="preserve"> Генерального секретаря предоставить Специальному докладчику всю информацию и ресурсы, необходимые для выполнения мандата;</w:t>
      </w:r>
    </w:p>
    <w:p w14:paraId="57E3DC12" w14:textId="77777777" w:rsidR="00A84743" w:rsidRPr="006419C9" w:rsidRDefault="00A84743" w:rsidP="00A84743">
      <w:pPr>
        <w:pStyle w:val="SingleTxtG"/>
        <w:ind w:firstLine="567"/>
      </w:pPr>
      <w:r>
        <w:t>5.</w:t>
      </w:r>
      <w:r>
        <w:tab/>
      </w:r>
      <w:r w:rsidRPr="008B6EEA">
        <w:rPr>
          <w:i/>
          <w:iCs/>
        </w:rPr>
        <w:t xml:space="preserve">постановляет </w:t>
      </w:r>
      <w:r>
        <w:t>продолжать заниматься этим вопросом.</w:t>
      </w:r>
    </w:p>
    <w:p w14:paraId="5B7E923A" w14:textId="77777777" w:rsidR="00A84743" w:rsidRPr="006419C9" w:rsidRDefault="00A84743" w:rsidP="00A84743">
      <w:pPr>
        <w:spacing w:before="240"/>
        <w:ind w:left="1134" w:right="1134"/>
        <w:jc w:val="center"/>
        <w:rPr>
          <w:u w:val="single"/>
        </w:rPr>
      </w:pPr>
      <w:r w:rsidRPr="006419C9">
        <w:rPr>
          <w:u w:val="single"/>
        </w:rPr>
        <w:tab/>
      </w:r>
      <w:r w:rsidRPr="006419C9">
        <w:rPr>
          <w:u w:val="single"/>
        </w:rPr>
        <w:tab/>
      </w:r>
      <w:r w:rsidRPr="006419C9">
        <w:rPr>
          <w:u w:val="single"/>
        </w:rPr>
        <w:tab/>
      </w:r>
      <w:r w:rsidRPr="006419C9">
        <w:rPr>
          <w:u w:val="single"/>
        </w:rPr>
        <w:tab/>
      </w:r>
    </w:p>
    <w:sectPr w:rsidR="00A84743" w:rsidRPr="006419C9" w:rsidSect="00A8474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6601F" w14:textId="77777777" w:rsidR="001915A9" w:rsidRPr="00A312BC" w:rsidRDefault="001915A9" w:rsidP="00A312BC"/>
  </w:endnote>
  <w:endnote w:type="continuationSeparator" w:id="0">
    <w:p w14:paraId="460DD369" w14:textId="77777777" w:rsidR="001915A9" w:rsidRPr="00A312BC" w:rsidRDefault="001915A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AC3C1" w14:textId="77777777" w:rsidR="00A84743" w:rsidRPr="00A84743" w:rsidRDefault="00A84743">
    <w:pPr>
      <w:pStyle w:val="a8"/>
    </w:pPr>
    <w:r w:rsidRPr="00A84743">
      <w:rPr>
        <w:b/>
        <w:sz w:val="18"/>
      </w:rPr>
      <w:fldChar w:fldCharType="begin"/>
    </w:r>
    <w:r w:rsidRPr="00A84743">
      <w:rPr>
        <w:b/>
        <w:sz w:val="18"/>
      </w:rPr>
      <w:instrText xml:space="preserve"> PAGE  \* MERGEFORMAT </w:instrText>
    </w:r>
    <w:r w:rsidRPr="00A84743">
      <w:rPr>
        <w:b/>
        <w:sz w:val="18"/>
      </w:rPr>
      <w:fldChar w:fldCharType="separate"/>
    </w:r>
    <w:r w:rsidRPr="00A84743">
      <w:rPr>
        <w:b/>
        <w:noProof/>
        <w:sz w:val="18"/>
      </w:rPr>
      <w:t>2</w:t>
    </w:r>
    <w:r w:rsidRPr="00A84743">
      <w:rPr>
        <w:b/>
        <w:sz w:val="18"/>
      </w:rPr>
      <w:fldChar w:fldCharType="end"/>
    </w:r>
    <w:r>
      <w:rPr>
        <w:b/>
        <w:sz w:val="18"/>
      </w:rPr>
      <w:tab/>
    </w:r>
    <w:r>
      <w:t>GE.20-09192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1116B" w14:textId="77777777" w:rsidR="00A84743" w:rsidRPr="00A84743" w:rsidRDefault="00A84743" w:rsidP="00A84743">
    <w:pPr>
      <w:pStyle w:val="a8"/>
      <w:tabs>
        <w:tab w:val="clear" w:pos="9639"/>
        <w:tab w:val="right" w:pos="9638"/>
      </w:tabs>
      <w:rPr>
        <w:b/>
        <w:sz w:val="18"/>
      </w:rPr>
    </w:pPr>
    <w:r>
      <w:t>GE.20-09192</w:t>
    </w:r>
    <w:r>
      <w:tab/>
    </w:r>
    <w:r w:rsidRPr="00A84743">
      <w:rPr>
        <w:b/>
        <w:sz w:val="18"/>
      </w:rPr>
      <w:fldChar w:fldCharType="begin"/>
    </w:r>
    <w:r w:rsidRPr="00A84743">
      <w:rPr>
        <w:b/>
        <w:sz w:val="18"/>
      </w:rPr>
      <w:instrText xml:space="preserve"> PAGE  \* MERGEFORMAT </w:instrText>
    </w:r>
    <w:r w:rsidRPr="00A84743">
      <w:rPr>
        <w:b/>
        <w:sz w:val="18"/>
      </w:rPr>
      <w:fldChar w:fldCharType="separate"/>
    </w:r>
    <w:r w:rsidRPr="00A84743">
      <w:rPr>
        <w:b/>
        <w:noProof/>
        <w:sz w:val="18"/>
      </w:rPr>
      <w:t>3</w:t>
    </w:r>
    <w:r w:rsidRPr="00A8474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273E" w14:textId="77777777" w:rsidR="00042B72" w:rsidRPr="00A84743" w:rsidRDefault="00A84743" w:rsidP="00A84743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4D6D62BD" wp14:editId="7871B8B6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09192  (</w:t>
    </w:r>
    <w:proofErr w:type="gramEnd"/>
    <w:r>
      <w:t>R)</w:t>
    </w:r>
    <w:r>
      <w:rPr>
        <w:lang w:val="en-US"/>
      </w:rPr>
      <w:t xml:space="preserve">  130720  130720</w:t>
    </w:r>
    <w:r>
      <w:br/>
    </w:r>
    <w:r w:rsidRPr="00A84743">
      <w:rPr>
        <w:rFonts w:ascii="C39T30Lfz" w:hAnsi="C39T30Lfz"/>
        <w:kern w:val="14"/>
        <w:sz w:val="56"/>
      </w:rPr>
      <w:t></w:t>
    </w:r>
    <w:r w:rsidRPr="00A84743">
      <w:rPr>
        <w:rFonts w:ascii="C39T30Lfz" w:hAnsi="C39T30Lfz"/>
        <w:kern w:val="14"/>
        <w:sz w:val="56"/>
      </w:rPr>
      <w:t></w:t>
    </w:r>
    <w:r w:rsidRPr="00A84743">
      <w:rPr>
        <w:rFonts w:ascii="C39T30Lfz" w:hAnsi="C39T30Lfz"/>
        <w:kern w:val="14"/>
        <w:sz w:val="56"/>
      </w:rPr>
      <w:t></w:t>
    </w:r>
    <w:r w:rsidRPr="00A84743">
      <w:rPr>
        <w:rFonts w:ascii="C39T30Lfz" w:hAnsi="C39T30Lfz"/>
        <w:kern w:val="14"/>
        <w:sz w:val="56"/>
      </w:rPr>
      <w:t></w:t>
    </w:r>
    <w:r w:rsidRPr="00A84743">
      <w:rPr>
        <w:rFonts w:ascii="C39T30Lfz" w:hAnsi="C39T30Lfz"/>
        <w:kern w:val="14"/>
        <w:sz w:val="56"/>
      </w:rPr>
      <w:t></w:t>
    </w:r>
    <w:r w:rsidRPr="00A84743">
      <w:rPr>
        <w:rFonts w:ascii="C39T30Lfz" w:hAnsi="C39T30Lfz"/>
        <w:kern w:val="14"/>
        <w:sz w:val="56"/>
      </w:rPr>
      <w:t></w:t>
    </w:r>
    <w:r w:rsidRPr="00A84743">
      <w:rPr>
        <w:rFonts w:ascii="C39T30Lfz" w:hAnsi="C39T30Lfz"/>
        <w:kern w:val="14"/>
        <w:sz w:val="56"/>
      </w:rPr>
      <w:t></w:t>
    </w:r>
    <w:r w:rsidRPr="00A84743">
      <w:rPr>
        <w:rFonts w:ascii="C39T30Lfz" w:hAnsi="C39T30Lfz"/>
        <w:kern w:val="14"/>
        <w:sz w:val="56"/>
      </w:rPr>
      <w:t></w:t>
    </w:r>
    <w:r w:rsidRPr="00A84743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5FB74F30" wp14:editId="1665C61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4BB4E0" w14:textId="77777777" w:rsidR="001915A9" w:rsidRPr="001075E9" w:rsidRDefault="001915A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C67D6D3" w14:textId="77777777" w:rsidR="001915A9" w:rsidRDefault="001915A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596C6E04" w14:textId="77777777" w:rsidR="00A84743" w:rsidRPr="006419C9" w:rsidRDefault="00A84743" w:rsidP="00A84743">
      <w:pPr>
        <w:pStyle w:val="ad"/>
        <w:rPr>
          <w:szCs w:val="18"/>
        </w:rPr>
      </w:pPr>
      <w:r>
        <w:tab/>
      </w:r>
      <w:r w:rsidRPr="008B6EEA">
        <w:rPr>
          <w:sz w:val="20"/>
        </w:rPr>
        <w:t>*</w:t>
      </w:r>
      <w:r>
        <w:tab/>
        <w:t>Государство, не являющееся членом Совета по правам человека.</w:t>
      </w:r>
    </w:p>
  </w:footnote>
  <w:footnote w:id="2">
    <w:p w14:paraId="2FC56240" w14:textId="77777777" w:rsidR="00A84743" w:rsidRPr="00A84743" w:rsidRDefault="00A84743" w:rsidP="00A84743">
      <w:pPr>
        <w:pStyle w:val="ad"/>
        <w:rPr>
          <w:lang w:val="en-US"/>
        </w:rPr>
      </w:pPr>
      <w:r>
        <w:tab/>
      </w:r>
      <w:r>
        <w:rPr>
          <w:rStyle w:val="aa"/>
        </w:rPr>
        <w:footnoteRef/>
      </w:r>
      <w:r w:rsidRPr="006419C9">
        <w:rPr>
          <w:lang w:val="en-US"/>
        </w:rPr>
        <w:t xml:space="preserve"> </w:t>
      </w:r>
      <w:r w:rsidRPr="006419C9">
        <w:rPr>
          <w:lang w:val="en-US"/>
        </w:rPr>
        <w:tab/>
        <w:t>A/HRC/41/14.</w:t>
      </w:r>
    </w:p>
  </w:footnote>
  <w:footnote w:id="3">
    <w:p w14:paraId="42570013" w14:textId="77777777" w:rsidR="00A84743" w:rsidRPr="00A84743" w:rsidRDefault="00A84743" w:rsidP="00A84743">
      <w:pPr>
        <w:pStyle w:val="ad"/>
        <w:rPr>
          <w:lang w:val="en-US"/>
        </w:rPr>
      </w:pPr>
      <w:r w:rsidRPr="006419C9">
        <w:rPr>
          <w:lang w:val="en-US"/>
        </w:rPr>
        <w:tab/>
      </w:r>
      <w:r>
        <w:rPr>
          <w:rStyle w:val="aa"/>
        </w:rPr>
        <w:footnoteRef/>
      </w:r>
      <w:r w:rsidRPr="006419C9">
        <w:rPr>
          <w:lang w:val="en-US"/>
        </w:rPr>
        <w:t xml:space="preserve"> </w:t>
      </w:r>
      <w:r w:rsidRPr="006419C9">
        <w:rPr>
          <w:lang w:val="en-US"/>
        </w:rPr>
        <w:tab/>
      </w:r>
      <w:r>
        <w:t>См</w:t>
      </w:r>
      <w:r w:rsidRPr="006419C9">
        <w:rPr>
          <w:lang w:val="en-US"/>
        </w:rPr>
        <w:t>. CEDAW/C/ERI/CO/6.</w:t>
      </w:r>
    </w:p>
  </w:footnote>
  <w:footnote w:id="4">
    <w:p w14:paraId="1EAAB60A" w14:textId="77777777" w:rsidR="00A84743" w:rsidRPr="00A84743" w:rsidRDefault="00A84743" w:rsidP="00A84743">
      <w:pPr>
        <w:pStyle w:val="ad"/>
        <w:rPr>
          <w:lang w:val="en-US"/>
        </w:rPr>
      </w:pPr>
      <w:r w:rsidRPr="006419C9">
        <w:rPr>
          <w:lang w:val="en-US"/>
        </w:rPr>
        <w:tab/>
      </w:r>
      <w:r>
        <w:rPr>
          <w:rStyle w:val="aa"/>
        </w:rPr>
        <w:footnoteRef/>
      </w:r>
      <w:r w:rsidRPr="006419C9">
        <w:rPr>
          <w:lang w:val="en-US"/>
        </w:rPr>
        <w:tab/>
        <w:t>A/HRC/44/23.</w:t>
      </w:r>
    </w:p>
  </w:footnote>
  <w:footnote w:id="5">
    <w:p w14:paraId="16166F02" w14:textId="77777777" w:rsidR="00A84743" w:rsidRPr="00A84743" w:rsidRDefault="00A84743" w:rsidP="00A84743">
      <w:pPr>
        <w:pStyle w:val="ad"/>
        <w:rPr>
          <w:lang w:val="en-US"/>
        </w:rPr>
      </w:pPr>
      <w:r w:rsidRPr="006419C9">
        <w:rPr>
          <w:lang w:val="en-US"/>
        </w:rPr>
        <w:tab/>
      </w:r>
      <w:r>
        <w:rPr>
          <w:rStyle w:val="aa"/>
        </w:rPr>
        <w:footnoteRef/>
      </w:r>
      <w:r w:rsidRPr="006419C9">
        <w:rPr>
          <w:lang w:val="en-US"/>
        </w:rPr>
        <w:tab/>
        <w:t xml:space="preserve">A/HRC/41/53, </w:t>
      </w:r>
      <w:r>
        <w:t>пункты</w:t>
      </w:r>
      <w:r w:rsidRPr="006419C9">
        <w:rPr>
          <w:lang w:val="en-US"/>
        </w:rPr>
        <w:t xml:space="preserve"> 75–81.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49D48" w14:textId="5EFE4E3B" w:rsidR="00A84743" w:rsidRPr="00A84743" w:rsidRDefault="00A84743">
    <w:pPr>
      <w:pStyle w:val="a5"/>
    </w:pPr>
    <w:fldSimple w:instr=" TITLE  \* MERGEFORMAT ">
      <w:r w:rsidR="00C22691">
        <w:t>A/HRC/44/L.8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5085" w14:textId="319F78AE" w:rsidR="00A84743" w:rsidRPr="00A84743" w:rsidRDefault="00A84743" w:rsidP="00A84743">
    <w:pPr>
      <w:pStyle w:val="a5"/>
      <w:jc w:val="right"/>
    </w:pPr>
    <w:fldSimple w:instr=" TITLE  \* MERGEFORMAT ">
      <w:r w:rsidR="00C22691">
        <w:t>A/HRC/44/L.8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5A9"/>
    <w:rsid w:val="00033EE1"/>
    <w:rsid w:val="00040272"/>
    <w:rsid w:val="00041EA6"/>
    <w:rsid w:val="00042B72"/>
    <w:rsid w:val="000558BD"/>
    <w:rsid w:val="000842B4"/>
    <w:rsid w:val="000B57E7"/>
    <w:rsid w:val="000B6373"/>
    <w:rsid w:val="000F09DF"/>
    <w:rsid w:val="000F61B2"/>
    <w:rsid w:val="001075E9"/>
    <w:rsid w:val="00180183"/>
    <w:rsid w:val="0018024D"/>
    <w:rsid w:val="0018649F"/>
    <w:rsid w:val="001915A9"/>
    <w:rsid w:val="00196389"/>
    <w:rsid w:val="001B3EF6"/>
    <w:rsid w:val="001C7A89"/>
    <w:rsid w:val="002501D7"/>
    <w:rsid w:val="002A2EFC"/>
    <w:rsid w:val="002C0E18"/>
    <w:rsid w:val="002D5AAC"/>
    <w:rsid w:val="002E5067"/>
    <w:rsid w:val="002F405F"/>
    <w:rsid w:val="002F7EEC"/>
    <w:rsid w:val="00301299"/>
    <w:rsid w:val="00305C08"/>
    <w:rsid w:val="00307FB6"/>
    <w:rsid w:val="00312B45"/>
    <w:rsid w:val="00317339"/>
    <w:rsid w:val="00322004"/>
    <w:rsid w:val="003334ED"/>
    <w:rsid w:val="003402C2"/>
    <w:rsid w:val="00381C24"/>
    <w:rsid w:val="003958D0"/>
    <w:rsid w:val="003B00E5"/>
    <w:rsid w:val="003B3FBC"/>
    <w:rsid w:val="00407B78"/>
    <w:rsid w:val="00424203"/>
    <w:rsid w:val="00452493"/>
    <w:rsid w:val="00454E07"/>
    <w:rsid w:val="00472C5C"/>
    <w:rsid w:val="00484B62"/>
    <w:rsid w:val="0050108D"/>
    <w:rsid w:val="00513081"/>
    <w:rsid w:val="00517901"/>
    <w:rsid w:val="00526683"/>
    <w:rsid w:val="00541726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C6883"/>
    <w:rsid w:val="006D461A"/>
    <w:rsid w:val="006F0B59"/>
    <w:rsid w:val="006F35EE"/>
    <w:rsid w:val="007021FF"/>
    <w:rsid w:val="00707123"/>
    <w:rsid w:val="00712895"/>
    <w:rsid w:val="00757357"/>
    <w:rsid w:val="00782C09"/>
    <w:rsid w:val="007D3BD5"/>
    <w:rsid w:val="007D5A02"/>
    <w:rsid w:val="00825F8D"/>
    <w:rsid w:val="00834B71"/>
    <w:rsid w:val="0086445C"/>
    <w:rsid w:val="00865660"/>
    <w:rsid w:val="00894693"/>
    <w:rsid w:val="008A08D7"/>
    <w:rsid w:val="008B6909"/>
    <w:rsid w:val="008B6EEA"/>
    <w:rsid w:val="008D261C"/>
    <w:rsid w:val="00906890"/>
    <w:rsid w:val="00911BE4"/>
    <w:rsid w:val="009275CF"/>
    <w:rsid w:val="00936A21"/>
    <w:rsid w:val="00951972"/>
    <w:rsid w:val="009604DF"/>
    <w:rsid w:val="009608F3"/>
    <w:rsid w:val="009675B6"/>
    <w:rsid w:val="009A24AC"/>
    <w:rsid w:val="00A01942"/>
    <w:rsid w:val="00A10122"/>
    <w:rsid w:val="00A312BC"/>
    <w:rsid w:val="00A84021"/>
    <w:rsid w:val="00A84743"/>
    <w:rsid w:val="00A84D35"/>
    <w:rsid w:val="00A917B3"/>
    <w:rsid w:val="00AB4B51"/>
    <w:rsid w:val="00B10CC7"/>
    <w:rsid w:val="00B25BD7"/>
    <w:rsid w:val="00B539E7"/>
    <w:rsid w:val="00B62458"/>
    <w:rsid w:val="00BC18B2"/>
    <w:rsid w:val="00BD33EE"/>
    <w:rsid w:val="00BE0674"/>
    <w:rsid w:val="00C106D6"/>
    <w:rsid w:val="00C22691"/>
    <w:rsid w:val="00C60F0C"/>
    <w:rsid w:val="00C805C9"/>
    <w:rsid w:val="00C92939"/>
    <w:rsid w:val="00CA1679"/>
    <w:rsid w:val="00CB0692"/>
    <w:rsid w:val="00CB151C"/>
    <w:rsid w:val="00CE5A1A"/>
    <w:rsid w:val="00CF55F6"/>
    <w:rsid w:val="00D33D63"/>
    <w:rsid w:val="00D35EE6"/>
    <w:rsid w:val="00D90028"/>
    <w:rsid w:val="00D90138"/>
    <w:rsid w:val="00DC2121"/>
    <w:rsid w:val="00DD78D1"/>
    <w:rsid w:val="00DF71B9"/>
    <w:rsid w:val="00E71476"/>
    <w:rsid w:val="00E73F76"/>
    <w:rsid w:val="00EA2AAD"/>
    <w:rsid w:val="00EA2C9F"/>
    <w:rsid w:val="00EA420E"/>
    <w:rsid w:val="00EC27E8"/>
    <w:rsid w:val="00EC3F0F"/>
    <w:rsid w:val="00ED0BDA"/>
    <w:rsid w:val="00EF1360"/>
    <w:rsid w:val="00EF3220"/>
    <w:rsid w:val="00F43903"/>
    <w:rsid w:val="00F94155"/>
    <w:rsid w:val="00F9783F"/>
    <w:rsid w:val="00FD057A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111038E"/>
  <w15:docId w15:val="{4BBD2A6F-46E7-448D-BDEC-8CF4D85DF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C27E8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BE0674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604DF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604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604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604D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604DF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604DF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604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604DF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604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DC2121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BE067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BE067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BE067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qFormat/>
    <w:rsid w:val="00DC2121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BE0674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BE0674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BE0674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BE0674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BE0674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DC2121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BE0674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BE0674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BE0674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BE0674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BE0674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BE0674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BE0674"/>
    <w:rPr>
      <w:sz w:val="16"/>
      <w:lang w:val="en-GB" w:eastAsia="ru-RU"/>
    </w:rPr>
  </w:style>
  <w:style w:type="character" w:styleId="aa">
    <w:name w:val="footnote reference"/>
    <w:aliases w:val="4_G"/>
    <w:basedOn w:val="a0"/>
    <w:uiPriority w:val="99"/>
    <w:qFormat/>
    <w:rsid w:val="00BE0674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BE0674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EC27E8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uiPriority w:val="99"/>
    <w:qFormat/>
    <w:rsid w:val="00BE0674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BE0674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BE0674"/>
  </w:style>
  <w:style w:type="character" w:customStyle="1" w:styleId="af0">
    <w:name w:val="Текст концевой сноски Знак"/>
    <w:aliases w:val="2_G Знак"/>
    <w:basedOn w:val="a0"/>
    <w:link w:val="af"/>
    <w:rsid w:val="00BE0674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BE0674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BE0674"/>
    <w:rPr>
      <w:color w:val="0000FF" w:themeColor="hyperlink"/>
      <w:u w:val="none"/>
    </w:rPr>
  </w:style>
  <w:style w:type="character" w:styleId="af2">
    <w:name w:val="FollowedHyperlink"/>
    <w:basedOn w:val="a0"/>
    <w:rsid w:val="00BE0674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B\A_HRC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A_HRC.dotm</Template>
  <TotalTime>1</TotalTime>
  <Pages>2</Pages>
  <Words>446</Words>
  <Characters>2873</Characters>
  <Application>Microsoft Office Word</Application>
  <DocSecurity>0</DocSecurity>
  <Lines>66</Lines>
  <Paragraphs>28</Paragraphs>
  <ScaleCrop>false</ScaleCrop>
  <HeadingPairs>
    <vt:vector size="8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4" baseType="lpstr">
      <vt:lpstr>A/HRC/44/L.8</vt:lpstr>
      <vt:lpstr>A/</vt:lpstr>
      <vt:lpstr>A/</vt:lpstr>
      <vt:lpstr>A/</vt:lpstr>
    </vt:vector>
  </TitlesOfParts>
  <Company>DCM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A/HRC/44/L.8</dc:title>
  <dc:subject/>
  <dc:creator>Svetlana PROKOUDINA</dc:creator>
  <cp:keywords/>
  <cp:lastModifiedBy>Svetlana Prokoudina</cp:lastModifiedBy>
  <cp:revision>3</cp:revision>
  <cp:lastPrinted>2020-07-13T14:04:00Z</cp:lastPrinted>
  <dcterms:created xsi:type="dcterms:W3CDTF">2020-07-13T14:04:00Z</dcterms:created>
  <dcterms:modified xsi:type="dcterms:W3CDTF">2020-07-13T14:05:00Z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