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E7B257D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34BA6A" w14:textId="77777777" w:rsidR="002D5AAC" w:rsidRDefault="002D5AAC" w:rsidP="007B43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E07790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5776F2" w14:textId="77777777" w:rsidR="002D5AAC" w:rsidRDefault="007B4310" w:rsidP="007B4310">
            <w:pPr>
              <w:jc w:val="right"/>
            </w:pPr>
            <w:r w:rsidRPr="007B4310">
              <w:rPr>
                <w:sz w:val="40"/>
              </w:rPr>
              <w:t>A</w:t>
            </w:r>
            <w:r>
              <w:t>/HRC/44/L.11</w:t>
            </w:r>
          </w:p>
        </w:tc>
      </w:tr>
      <w:tr w:rsidR="002D5AAC" w:rsidRPr="005348EA" w14:paraId="6D49E80E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5A1BD4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F06501" wp14:editId="495FB7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EA71AD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917D5A2" w14:textId="77777777" w:rsidR="002D5AAC" w:rsidRDefault="007B431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26B9540" w14:textId="77777777" w:rsidR="007B4310" w:rsidRDefault="007B4310" w:rsidP="007B43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2020</w:t>
            </w:r>
          </w:p>
          <w:p w14:paraId="74497337" w14:textId="77777777" w:rsidR="007B4310" w:rsidRDefault="007B4310" w:rsidP="007B43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D60350" w14:textId="77777777" w:rsidR="007B4310" w:rsidRPr="00E71476" w:rsidRDefault="007B4310" w:rsidP="007B43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5852AD" w14:textId="77777777" w:rsidR="007B4310" w:rsidRPr="007B4310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22689EC6" w14:textId="77777777" w:rsidR="007B4310" w:rsidRPr="003951E8" w:rsidRDefault="007B4310" w:rsidP="007B4310">
      <w:pPr>
        <w:rPr>
          <w:b/>
        </w:rPr>
      </w:pPr>
      <w:r>
        <w:rPr>
          <w:b/>
          <w:bCs/>
        </w:rPr>
        <w:t>Сорок четвертая сессия</w:t>
      </w:r>
    </w:p>
    <w:p w14:paraId="229FE94C" w14:textId="77777777" w:rsidR="007B4310" w:rsidRPr="003951E8" w:rsidRDefault="007B4310" w:rsidP="007B4310">
      <w:r>
        <w:t>30 июня – 17 июля 2020 года</w:t>
      </w:r>
    </w:p>
    <w:p w14:paraId="6BC5DA81" w14:textId="77777777" w:rsidR="007B4310" w:rsidRPr="003951E8" w:rsidRDefault="007B4310" w:rsidP="007B4310">
      <w:r>
        <w:t>Пункт 3 повестки дня</w:t>
      </w:r>
    </w:p>
    <w:p w14:paraId="205C7529" w14:textId="77777777" w:rsidR="007B4310" w:rsidRPr="003951E8" w:rsidRDefault="007B4310" w:rsidP="007B4310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160767C2" w14:textId="77777777" w:rsidR="007B4310" w:rsidRPr="00020C9D" w:rsidRDefault="007B4310" w:rsidP="007B431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 w:rsidRPr="00020C9D">
        <w:rPr>
          <w:b/>
          <w:bCs/>
        </w:rPr>
        <w:t xml:space="preserve">Австрия, </w:t>
      </w:r>
      <w:r w:rsidR="00403449" w:rsidRPr="00020C9D">
        <w:rPr>
          <w:b/>
          <w:bCs/>
        </w:rPr>
        <w:t>Албания</w:t>
      </w:r>
      <w:r w:rsidR="00491530" w:rsidRPr="00491530">
        <w:rPr>
          <w:rStyle w:val="aa"/>
          <w:sz w:val="20"/>
          <w:vertAlign w:val="baseline"/>
        </w:rPr>
        <w:footnoteReference w:customMarkFollows="1" w:id="1"/>
        <w:t>*</w:t>
      </w:r>
      <w:r w:rsidR="00403449" w:rsidRPr="00020C9D">
        <w:rPr>
          <w:b/>
          <w:bCs/>
        </w:rPr>
        <w:t xml:space="preserve">, </w:t>
      </w:r>
      <w:r w:rsidRPr="00020C9D">
        <w:rPr>
          <w:b/>
          <w:bCs/>
        </w:rPr>
        <w:t>Бельгия</w:t>
      </w:r>
      <w:r w:rsidR="00403449" w:rsidRPr="00020C9D">
        <w:t>*</w:t>
      </w:r>
      <w:r w:rsidRPr="00020C9D">
        <w:rPr>
          <w:b/>
          <w:bCs/>
        </w:rPr>
        <w:t>, Болгария, Дания, Исландия</w:t>
      </w:r>
      <w:r w:rsidR="00020C9D" w:rsidRPr="00020C9D">
        <w:t>*</w:t>
      </w:r>
      <w:r w:rsidRPr="00020C9D">
        <w:rPr>
          <w:b/>
          <w:bCs/>
        </w:rPr>
        <w:t xml:space="preserve">, Испания, </w:t>
      </w:r>
      <w:r w:rsidR="00403449" w:rsidRPr="00020C9D">
        <w:rPr>
          <w:b/>
          <w:bCs/>
        </w:rPr>
        <w:t>Коста</w:t>
      </w:r>
      <w:r w:rsidR="009B152E">
        <w:rPr>
          <w:b/>
          <w:bCs/>
        </w:rPr>
        <w:noBreakHyphen/>
      </w:r>
      <w:r w:rsidR="00403449" w:rsidRPr="00020C9D">
        <w:rPr>
          <w:b/>
          <w:bCs/>
        </w:rPr>
        <w:t>Рика</w:t>
      </w:r>
      <w:r w:rsidR="00403449" w:rsidRPr="00020C9D">
        <w:t>*</w:t>
      </w:r>
      <w:r w:rsidR="00403449" w:rsidRPr="00020C9D">
        <w:rPr>
          <w:b/>
          <w:bCs/>
        </w:rPr>
        <w:t>,</w:t>
      </w:r>
      <w:r w:rsidRPr="00020C9D">
        <w:rPr>
          <w:b/>
          <w:bCs/>
        </w:rPr>
        <w:t xml:space="preserve"> Латвия</w:t>
      </w:r>
      <w:r w:rsidRPr="00020C9D">
        <w:t>*</w:t>
      </w:r>
      <w:r w:rsidRPr="00020C9D">
        <w:rPr>
          <w:b/>
          <w:bCs/>
        </w:rPr>
        <w:t>, Литва</w:t>
      </w:r>
      <w:r w:rsidRPr="00020C9D">
        <w:t>*</w:t>
      </w:r>
      <w:r w:rsidRPr="00020C9D">
        <w:rPr>
          <w:b/>
          <w:bCs/>
        </w:rPr>
        <w:t>, Лихтенштейн</w:t>
      </w:r>
      <w:r w:rsidRPr="00020C9D">
        <w:t>*</w:t>
      </w:r>
      <w:r w:rsidRPr="00020C9D">
        <w:rPr>
          <w:b/>
          <w:bCs/>
        </w:rPr>
        <w:t>, Люксембург</w:t>
      </w:r>
      <w:r w:rsidRPr="00020C9D">
        <w:t>*</w:t>
      </w:r>
      <w:r w:rsidRPr="00020C9D">
        <w:rPr>
          <w:b/>
          <w:bCs/>
        </w:rPr>
        <w:t>, Мальта</w:t>
      </w:r>
      <w:r w:rsidRPr="00020C9D">
        <w:t>*</w:t>
      </w:r>
      <w:r w:rsidRPr="00020C9D">
        <w:rPr>
          <w:b/>
          <w:bCs/>
        </w:rPr>
        <w:t>, Нидерланды, Норвегия</w:t>
      </w:r>
      <w:r w:rsidRPr="00020C9D">
        <w:t>*</w:t>
      </w:r>
      <w:r w:rsidRPr="00020C9D">
        <w:rPr>
          <w:b/>
          <w:bCs/>
        </w:rPr>
        <w:t xml:space="preserve">, </w:t>
      </w:r>
      <w:r w:rsidR="00403449" w:rsidRPr="00020C9D">
        <w:rPr>
          <w:b/>
          <w:bCs/>
        </w:rPr>
        <w:t>Перу, Португалия</w:t>
      </w:r>
      <w:r w:rsidRPr="00020C9D">
        <w:t>*</w:t>
      </w:r>
      <w:r w:rsidRPr="00020C9D">
        <w:rPr>
          <w:b/>
          <w:bCs/>
        </w:rPr>
        <w:t>, Румыния</w:t>
      </w:r>
      <w:r w:rsidRPr="00020C9D">
        <w:t>*</w:t>
      </w:r>
      <w:r w:rsidRPr="00020C9D">
        <w:rPr>
          <w:b/>
          <w:bCs/>
        </w:rPr>
        <w:t>, Северная Македония</w:t>
      </w:r>
      <w:r w:rsidRPr="00020C9D">
        <w:t>*</w:t>
      </w:r>
      <w:r w:rsidRPr="00020C9D">
        <w:rPr>
          <w:b/>
          <w:bCs/>
        </w:rPr>
        <w:t>, Словения</w:t>
      </w:r>
      <w:r w:rsidRPr="00020C9D">
        <w:t>*</w:t>
      </w:r>
      <w:r w:rsidRPr="00020C9D">
        <w:rPr>
          <w:b/>
          <w:bCs/>
        </w:rPr>
        <w:t>, Соединенное Королевство Великобритании и Северной Ирландии</w:t>
      </w:r>
      <w:r w:rsidR="00020C9D" w:rsidRPr="00020C9D">
        <w:t>*</w:t>
      </w:r>
      <w:r w:rsidRPr="00020C9D">
        <w:rPr>
          <w:b/>
          <w:bCs/>
        </w:rPr>
        <w:t xml:space="preserve">, </w:t>
      </w:r>
      <w:r w:rsidR="00020C9D" w:rsidRPr="00020C9D">
        <w:rPr>
          <w:b/>
          <w:bCs/>
        </w:rPr>
        <w:t>Тунис</w:t>
      </w:r>
      <w:r w:rsidR="00020C9D" w:rsidRPr="00020C9D">
        <w:t>*</w:t>
      </w:r>
      <w:r w:rsidR="00020C9D" w:rsidRPr="00020C9D">
        <w:rPr>
          <w:b/>
          <w:bCs/>
        </w:rPr>
        <w:t xml:space="preserve">, Уругвай, </w:t>
      </w:r>
      <w:r w:rsidRPr="00020C9D">
        <w:rPr>
          <w:b/>
          <w:bCs/>
        </w:rPr>
        <w:t>Финляндия</w:t>
      </w:r>
      <w:r w:rsidRPr="00020C9D">
        <w:t>*</w:t>
      </w:r>
      <w:r w:rsidRPr="00020C9D">
        <w:rPr>
          <w:b/>
          <w:bCs/>
        </w:rPr>
        <w:t>, Франция</w:t>
      </w:r>
      <w:r w:rsidRPr="00020C9D">
        <w:t>*</w:t>
      </w:r>
      <w:r w:rsidRPr="00020C9D">
        <w:rPr>
          <w:b/>
          <w:bCs/>
        </w:rPr>
        <w:t>, Хорватия</w:t>
      </w:r>
      <w:r w:rsidR="00403449" w:rsidRPr="00020C9D">
        <w:t>*</w:t>
      </w:r>
      <w:r w:rsidRPr="00020C9D">
        <w:rPr>
          <w:b/>
          <w:bCs/>
        </w:rPr>
        <w:t>, Черногория</w:t>
      </w:r>
      <w:r w:rsidRPr="00020C9D">
        <w:t>*</w:t>
      </w:r>
      <w:r w:rsidRPr="00020C9D">
        <w:rPr>
          <w:b/>
          <w:bCs/>
        </w:rPr>
        <w:t>, Чехия, Швейцария</w:t>
      </w:r>
      <w:r w:rsidRPr="00020C9D">
        <w:t>*</w:t>
      </w:r>
      <w:r w:rsidRPr="00020C9D">
        <w:rPr>
          <w:b/>
          <w:bCs/>
        </w:rPr>
        <w:t>, Швеция</w:t>
      </w:r>
      <w:r w:rsidRPr="00020C9D">
        <w:t>*</w:t>
      </w:r>
      <w:r w:rsidRPr="00020C9D">
        <w:rPr>
          <w:b/>
          <w:bCs/>
        </w:rPr>
        <w:t xml:space="preserve"> </w:t>
      </w:r>
      <w:r w:rsidR="00635EAC">
        <w:rPr>
          <w:b/>
          <w:bCs/>
        </w:rPr>
        <w:t xml:space="preserve">и </w:t>
      </w:r>
      <w:r w:rsidRPr="00020C9D">
        <w:rPr>
          <w:b/>
          <w:bCs/>
        </w:rPr>
        <w:t>Эстония</w:t>
      </w:r>
      <w:r w:rsidRPr="00020C9D">
        <w:t>*</w:t>
      </w:r>
      <w:r w:rsidRPr="00020C9D">
        <w:rPr>
          <w:b/>
          <w:bCs/>
        </w:rPr>
        <w:t>: проект резолюции</w:t>
      </w:r>
    </w:p>
    <w:p w14:paraId="35244A5B" w14:textId="77777777" w:rsidR="007B4310" w:rsidRPr="003951E8" w:rsidRDefault="00EC79D3" w:rsidP="00EC79D3">
      <w:pPr>
        <w:pStyle w:val="H1G"/>
        <w:tabs>
          <w:tab w:val="left" w:pos="1985"/>
        </w:tabs>
      </w:pPr>
      <w:r w:rsidRPr="00020C9D">
        <w:tab/>
      </w:r>
      <w:r w:rsidRPr="00020C9D">
        <w:tab/>
      </w:r>
      <w:r w:rsidR="007B4310" w:rsidRPr="00020C9D">
        <w:t>44/…</w:t>
      </w:r>
      <w:r w:rsidR="007B4310" w:rsidRPr="00020C9D">
        <w:tab/>
        <w:t>Поощрение и защита прав человека в контексте мирн</w:t>
      </w:r>
      <w:r w:rsidR="007B4310">
        <w:t xml:space="preserve">ых </w:t>
      </w:r>
      <w:r>
        <w:tab/>
      </w:r>
      <w:r w:rsidR="007B4310">
        <w:t>протестов</w:t>
      </w:r>
    </w:p>
    <w:p w14:paraId="4C454678" w14:textId="77777777" w:rsidR="007B4310" w:rsidRPr="004B1BE2" w:rsidRDefault="007B4310" w:rsidP="007B4310">
      <w:pPr>
        <w:spacing w:after="120"/>
        <w:ind w:left="1134" w:right="1134"/>
        <w:jc w:val="both"/>
        <w:rPr>
          <w:i/>
          <w:iCs/>
          <w:szCs w:val="20"/>
        </w:rPr>
      </w:pPr>
      <w:r>
        <w:tab/>
      </w:r>
      <w:r w:rsidRPr="004B1BE2">
        <w:rPr>
          <w:szCs w:val="20"/>
        </w:rPr>
        <w:tab/>
      </w:r>
      <w:r w:rsidRPr="004B1BE2">
        <w:rPr>
          <w:i/>
          <w:iCs/>
          <w:szCs w:val="20"/>
        </w:rPr>
        <w:t>Совет по правам человека,</w:t>
      </w:r>
    </w:p>
    <w:p w14:paraId="18AD5964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вновь подтверждая</w:t>
      </w:r>
      <w:r w:rsidRPr="004B1BE2">
        <w:t xml:space="preserve"> цели и принципы Устава Организации Объединенных Наций,</w:t>
      </w:r>
    </w:p>
    <w:p w14:paraId="4D4B051A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вновь подтверждая</w:t>
      </w:r>
      <w:r w:rsidRPr="004B1BE2">
        <w:t xml:space="preserve"> Всеобщую декларацию прав человека и Венскую декларацию и Программу действий и ссылаясь на соответствующие международные договоры о правах человека, включая Международный пакт о гражданских и политических правах и Международный пакт об экономических, социальных и культурных правах, а также на другие соответствующие региональные правовые акты о правах человека,</w:t>
      </w:r>
    </w:p>
    <w:p w14:paraId="520FA3FD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 xml:space="preserve">ссылаясь </w:t>
      </w:r>
      <w:r w:rsidRPr="004B1BE2">
        <w:t>на Декларацию о праве и обязанности отдельных лиц, групп и органов общества поощрять и защищать общепризнанные права человека и основные свободы,</w:t>
      </w:r>
    </w:p>
    <w:p w14:paraId="3D13102E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вновь подтверждая</w:t>
      </w:r>
      <w:r w:rsidRPr="004B1BE2">
        <w:t>, что в соответствии со Всеобщей декларацией прав человека государства – члены Организации Объединенных Наций приняли на себя обязательство добиваться, в сотрудничестве с Организацией Объединенных Наций, поощрения всеобщего уважения и соблюдения прав человека и основных свобод для всех без различий по признаку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положения,</w:t>
      </w:r>
    </w:p>
    <w:p w14:paraId="1F608470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ссылаясь</w:t>
      </w:r>
      <w:r w:rsidRPr="004B1BE2">
        <w:t xml:space="preserve"> на свое решение 17/120 от 17 июня 2011 года и свои резолюции 19/35 от 23 марта 2012 года, 22/10 от 21 марта 2013 года, 25/38 от 28 марта 2014 года</w:t>
      </w:r>
      <w:r w:rsidR="00491530" w:rsidRPr="004B1BE2">
        <w:t>,</w:t>
      </w:r>
      <w:r w:rsidRPr="004B1BE2">
        <w:t xml:space="preserve"> 31/37 от 24 марта 2016 года</w:t>
      </w:r>
      <w:r w:rsidR="00491530" w:rsidRPr="004B1BE2">
        <w:t xml:space="preserve"> и 38/11 от 6 июля 2018 года</w:t>
      </w:r>
      <w:r w:rsidRPr="004B1BE2">
        <w:t xml:space="preserve"> по вопросу о поощрении и защите </w:t>
      </w:r>
      <w:r w:rsidRPr="004B1BE2">
        <w:lastRenderedPageBreak/>
        <w:t>прав человека в контексте мирных протестов, а также на другие соответствующие резолюции Совета по правам человека,</w:t>
      </w:r>
    </w:p>
    <w:p w14:paraId="54C57A5A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ссылаясь также</w:t>
      </w:r>
      <w:r w:rsidRPr="004B1BE2">
        <w:t xml:space="preserve"> на свою резолюцию 43/1 от 19 июня 2020 года о поощрении и защите прав человека и основных свобод африканцев и лиц африканского происхождения от чрезмерного применения силы и других нарушений прав человека со стороны сотрудников правоохранительных органов,</w:t>
      </w:r>
    </w:p>
    <w:p w14:paraId="36F3BB58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rPr>
          <w:i/>
          <w:iCs/>
        </w:rPr>
        <w:t>признавая</w:t>
      </w:r>
      <w:r w:rsidRPr="004B1BE2">
        <w:t>, что в соответствии со Всеобщей декларацией прав человека, Международным пактом о гражданских и политических правах и Международной конвенцией о ликвидации всех форм расовой дискриминации права на свободу мирных собраний, выражения мнений и ассоциации являются правами человека, которые гарантированы всем, хотя их осуществление может подвергаться определенным ограничениям в соответствии с обязательствами государств, предусмотренными в применимых международно-правовых актах о правах человека,</w:t>
      </w:r>
    </w:p>
    <w:p w14:paraId="3F66E0FB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признавая также</w:t>
      </w:r>
      <w:r w:rsidRPr="004B1BE2">
        <w:t>, что любые подобные ограничения должны основываться на законе, а также быть необходимыми и соразмерными законной цели, в соответствии с обязательствами государства согласно применимым международно-правовым актам о правах человека, и что, в случае их установления, должна быть возможность для их незамедлительного, компетентного, независимого и беспристрастного пересмотра в административном или судебном порядке,</w:t>
      </w:r>
    </w:p>
    <w:p w14:paraId="68D1D7FF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вновь подтверждая</w:t>
      </w:r>
      <w:r w:rsidRPr="004B1BE2">
        <w:t>, что чрезвычайные меры, принимаемые правительствами в ответ на пандемию коронавирусной инфекции (COVID-19), должны быть необходимыми и соразмерными оцениваемому риску и применяться на недискриминационной основе, иметь конкретную направленность и продолжительность и соответствовать обязательствам государства согласно применимым нормам международного права в области прав человека,</w:t>
      </w:r>
    </w:p>
    <w:p w14:paraId="5558312B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напоминая</w:t>
      </w:r>
      <w:r w:rsidRPr="004B1BE2">
        <w:t>, что государства несут главную ответственность за поощрение и защиту прав человека и основных свобод, в том числе в контексте собраний, таких как мирные протесты, и обеспечение того, чтобы законодательство, политика и практика государств как существующая в государствах основа осуществления прав на свободу мирных собраний, выражения мнений и ассоциации, соответствовали международному праву в области прав человека,</w:t>
      </w:r>
    </w:p>
    <w:p w14:paraId="33632F2A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rPr>
          <w:i/>
          <w:iCs/>
        </w:rPr>
        <w:t>отмечая</w:t>
      </w:r>
      <w:r w:rsidRPr="004B1BE2">
        <w:t>, что надлежащее регулирование проведения собраний предполагает и может оказывать воздействие на соблюдение прав человека до, во время и после собрания и имеет целью способствовать его мирному проведению и предотвращать ранения и гибель протестующих, тех, кто наблюдает за такими протестами, случайных прохожих и должностных лиц, исполняющих правоохранительные обязанности,</w:t>
      </w:r>
    </w:p>
    <w:p w14:paraId="7F15315A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подтверждая</w:t>
      </w:r>
      <w:r w:rsidRPr="004B1BE2">
        <w:t>, что мирные протесты могут иметь место во всех обществах, включая неорганизованные, одновременные, несанкционированные или подпадающие под ограничения протесты,</w:t>
      </w:r>
    </w:p>
    <w:p w14:paraId="6B133464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подтверждая также</w:t>
      </w:r>
      <w:r w:rsidRPr="004B1BE2">
        <w:t>, что участие в мирных протестах может являться важной формой осуществления прав на свободу мирных собраний, выражения мнений, ассоциации и участия в ведении государственных дел,</w:t>
      </w:r>
    </w:p>
    <w:p w14:paraId="5ACDD357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rPr>
          <w:i/>
          <w:iCs/>
        </w:rPr>
        <w:t>признавая</w:t>
      </w:r>
      <w:r w:rsidRPr="004B1BE2">
        <w:t>, что мирные протесты могут внести позитивный вклад в развитие, укрепление и эффективность демократических систем и демократических процессов, включая выборы и референдумы,</w:t>
      </w:r>
    </w:p>
    <w:p w14:paraId="2531A9EB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признавая также</w:t>
      </w:r>
      <w:r w:rsidRPr="004B1BE2">
        <w:t>, что мирные протесты исторически играли конструктивную социальную и политическую роль в развитии более справедливых и ответственных обществ и что такие протесты могут и далее вносить позитивный вклад в развитие человека и всестороннее пользование гражданскими, политическими, экономическими, социальными и культурными правами,</w:t>
      </w:r>
    </w:p>
    <w:p w14:paraId="7D5052C4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rPr>
          <w:i/>
          <w:iCs/>
        </w:rPr>
        <w:t>вновь подтверждая</w:t>
      </w:r>
      <w:r w:rsidRPr="004B1BE2">
        <w:t>, что каждый человек имеет право на жизнь, свободу и личную неприкосновенность,</w:t>
      </w:r>
    </w:p>
    <w:p w14:paraId="0D842477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вновь подтверждая также</w:t>
      </w:r>
      <w:r w:rsidRPr="004B1BE2">
        <w:t>, что участие в публичных и мирных протестах должно быть полностью добровольным, а не принудительным,</w:t>
      </w:r>
    </w:p>
    <w:p w14:paraId="21779511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rPr>
          <w:i/>
          <w:iCs/>
        </w:rPr>
        <w:t xml:space="preserve">напоминая </w:t>
      </w:r>
      <w:r w:rsidRPr="004B1BE2">
        <w:t>о правах на свободу мирных собраний, выражения мнений и ассоциации, которые включают организацию, участие, наблюдение, мониторинг и съемку собраний,</w:t>
      </w:r>
    </w:p>
    <w:p w14:paraId="039E6A9F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 xml:space="preserve">подчеркивая </w:t>
      </w:r>
      <w:r w:rsidRPr="004B1BE2">
        <w:t>в этой связи, что каждый человек, включая лиц, которые придерживаются не разделяемых большинством или отличных от общепринятых взглядов или убеждений, должен иметь право выражать свое недовольство или свои устремления мирным путем, в том числе в виде публичных протестов, не боясь репрессий или запугивания, преследований, увечий, сексуальных посягательств, избиений, произвольного ареста и задержания, пыток, гибели или принудительного исчезновения или незаконного привлечения к уголовной или гр</w:t>
      </w:r>
      <w:r w:rsidR="0068175B" w:rsidRPr="004B1BE2">
        <w:t>а</w:t>
      </w:r>
      <w:r w:rsidRPr="004B1BE2">
        <w:t>жданской ответственности,</w:t>
      </w:r>
    </w:p>
    <w:p w14:paraId="6F6D0723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rPr>
          <w:i/>
          <w:iCs/>
        </w:rPr>
        <w:t>будучи глубоко обеспокоен</w:t>
      </w:r>
      <w:r w:rsidRPr="004B1BE2">
        <w:t xml:space="preserve"> внесудебными казнями, казнями без надлежащего судебного разбирательства или произвольными казнями, произвольными арестами и задержаниями, насильственными исчезновениями и пытками и другими жестокими, бесчеловечными или унижающими достоинство видами обращения и наказания в отношении лиц, пользующихся своими правами на свободу мирных собраний, выражения мнений и ассоциации во всех регионах мира,</w:t>
      </w:r>
    </w:p>
    <w:p w14:paraId="44B7BE74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будучи также глубоко обеспокоен</w:t>
      </w:r>
      <w:r w:rsidRPr="004B1BE2">
        <w:t xml:space="preserve"> введением в заблуждение, дезинформацией и неоправданными ограничениями, препятствующими или мешающими человеку иметь доступ к информации или распространять информацию, в частности, в</w:t>
      </w:r>
      <w:r w:rsidR="0068175B" w:rsidRPr="004B1BE2">
        <w:t> </w:t>
      </w:r>
      <w:r w:rsidRPr="004B1BE2">
        <w:t>ответственные политические моменты, что влияет на возможности организации и проведения собраний,</w:t>
      </w:r>
    </w:p>
    <w:p w14:paraId="581241FA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отмечая</w:t>
      </w:r>
      <w:r w:rsidRPr="004B1BE2">
        <w:t>, что возможность защищенного и конфиденциального использования технологий связи в соответствии с международным правом в области прав человека имеет важное значение для организации и проведения собраний,</w:t>
      </w:r>
    </w:p>
    <w:p w14:paraId="4F7A0BDB" w14:textId="77777777" w:rsidR="00C356FC" w:rsidRPr="004B1BE2" w:rsidRDefault="00C356FC" w:rsidP="007B4310">
      <w:pPr>
        <w:pStyle w:val="SingleTxtG"/>
        <w:ind w:firstLine="567"/>
        <w:rPr>
          <w:bCs/>
        </w:rPr>
      </w:pPr>
      <w:bookmarkStart w:id="0" w:name="_Hlk45630151"/>
      <w:r w:rsidRPr="004B1BE2">
        <w:rPr>
          <w:bCs/>
          <w:i/>
          <w:iCs/>
        </w:rPr>
        <w:t>отмечая также</w:t>
      </w:r>
      <w:r w:rsidRPr="004B1BE2">
        <w:rPr>
          <w:bCs/>
        </w:rPr>
        <w:t>, что, хотя под собранием обычно понимается совместное физическое присутствие людей, права на защиту прав человека, в том числе права на свободу мирных собраний, выражения мнений и ассоциации, могут также применяться к аналогичному взаимодействию в сетевой среде,</w:t>
      </w:r>
    </w:p>
    <w:bookmarkEnd w:id="0"/>
    <w:p w14:paraId="1825A9F3" w14:textId="77777777" w:rsidR="007B4310" w:rsidRPr="004B1BE2" w:rsidRDefault="007B4310" w:rsidP="007B4310">
      <w:pPr>
        <w:pStyle w:val="SingleTxtG"/>
        <w:ind w:firstLine="567"/>
        <w:rPr>
          <w:bCs/>
        </w:rPr>
      </w:pPr>
      <w:r w:rsidRPr="004B1BE2">
        <w:rPr>
          <w:i/>
          <w:iCs/>
        </w:rPr>
        <w:t>признавая</w:t>
      </w:r>
      <w:r w:rsidRPr="004B1BE2">
        <w:t>, что новые технологии могут способствовать осуществлению права на свободу мирных собраний, выражения мнений, ассоциации и участия в ведении государственных дел, облегчая мобилизацию и организацию собраний, и признавая также, что они создают пространство для проведения собраний в сетевой среде и могут облегчать и расширять вовлеченность и участие тех, кто часто отторгается, а также способствовать надлежащему регулированию проведения собраний и повышать прозрачность и ответственность,</w:t>
      </w:r>
    </w:p>
    <w:p w14:paraId="77F59D80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выражая озабоченность</w:t>
      </w:r>
      <w:r w:rsidRPr="004B1BE2">
        <w:t xml:space="preserve"> привлечением к уголовной ответственности во всех районах мира людей и групп только за организацию мирных протестов или за участие в них или за наблюдение, мониторинг или съемку протестов, а также провозглашением таких людей, будь то в законодательстве или политике, угрозой национальной безопасности,</w:t>
      </w:r>
    </w:p>
    <w:p w14:paraId="24A8299E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rPr>
          <w:i/>
          <w:iCs/>
        </w:rPr>
        <w:t>выражая также озабоченность</w:t>
      </w:r>
      <w:r w:rsidRPr="004B1BE2">
        <w:t xml:space="preserve"> незаконным или произвольным наблюдением</w:t>
      </w:r>
      <w:r w:rsidR="007B48A3" w:rsidRPr="004B1BE2">
        <w:t xml:space="preserve"> – </w:t>
      </w:r>
      <w:r w:rsidRPr="004B1BE2">
        <w:t xml:space="preserve">как в физическом пространстве, так и в сети </w:t>
      </w:r>
      <w:r w:rsidR="007B48A3" w:rsidRPr="004B1BE2">
        <w:t>–</w:t>
      </w:r>
      <w:r w:rsidRPr="004B1BE2">
        <w:t xml:space="preserve"> за людьми, участвующими в мирных протестах, в том числе с использованием новых и новейших цифровых средств слежения, таких как распознавание лиц, системы перехвата мобильной связи (IMSI-перехватчики) и системы видеонаблюдения,</w:t>
      </w:r>
    </w:p>
    <w:p w14:paraId="62515E73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особо отмечая</w:t>
      </w:r>
      <w:r w:rsidRPr="004B1BE2">
        <w:t>, что в цифровой век технические средства обеспечения безопасности и защиты конфиденциальности электронных сообщений, в том числе меры по шифрованию, псевдоанонимизации и анонимизации, могут иметь важное значение для обеспечения пользования правами человека, в частности правами на неприкосновенность частной жизни, свободу выражения мнений и свободу мирных собраний и ассоциации,</w:t>
      </w:r>
    </w:p>
    <w:p w14:paraId="66A149A0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подчеркивая</w:t>
      </w:r>
      <w:r w:rsidRPr="004B1BE2">
        <w:t>, что мирные протесты не должны рассматриваться в качестве угрозы, и призывая в этой связи все государства к вступлению в открытый, включающий и конструктивный диалог при решении вопросов, связанных с мирными протестами и их причинами,</w:t>
      </w:r>
    </w:p>
    <w:p w14:paraId="549275E3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напоминая</w:t>
      </w:r>
      <w:r w:rsidRPr="004B1BE2">
        <w:t>, что совершение другими людьми в ходе протестов изолированных актов насилия не лишает мирных граждан их прав на свободу мирных собраний, выражения мнений и ассоциации,</w:t>
      </w:r>
    </w:p>
    <w:p w14:paraId="11C15B7C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rPr>
          <w:i/>
          <w:iCs/>
        </w:rPr>
        <w:t>учитывая</w:t>
      </w:r>
      <w:r w:rsidRPr="004B1BE2">
        <w:t>, что проведению собраний может способствовать общение и взаимодействие между организаторами, протестующими, местными органами власти и должностными лицами, исполняющими правоохранительные обязанности,</w:t>
      </w:r>
    </w:p>
    <w:p w14:paraId="41DF6B9B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признавая</w:t>
      </w:r>
      <w:r w:rsidRPr="004B1BE2">
        <w:t>, что национальные правозащитные учреждения и представители гражданского общества, в том числе неправительственные организации, могут играть полезную роль в содействии постоянному диалогу между людьми, принимающими участие в мирных протестах, и соответствующими органами власти,</w:t>
      </w:r>
    </w:p>
    <w:p w14:paraId="332FDEB1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 xml:space="preserve">подчеркивая </w:t>
      </w:r>
      <w:r w:rsidRPr="004B1BE2">
        <w:t>необходимость обеспечения неукоснительной ответственности за нарушения или попрание прав человека в контексте протестов, в том числе путем расследования таких нарушений или попрания прав человека и привлечения к ответственности виновных,</w:t>
      </w:r>
    </w:p>
    <w:p w14:paraId="4E7F0DC8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ссылаясь</w:t>
      </w:r>
      <w:r w:rsidRPr="004B1BE2">
        <w:t xml:space="preserve"> на Кодекс поведения должностных лиц по поддержанию правопорядка, Основные принципы применения силы и огнестрельного оружия должностными лицами по поддержанию правопорядка и Миннесотский протокол о расследовании случаев потенциально незаконной смерти (2016 года),</w:t>
      </w:r>
    </w:p>
    <w:p w14:paraId="7B40978E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отмечая</w:t>
      </w:r>
      <w:r w:rsidRPr="004B1BE2">
        <w:t xml:space="preserve"> </w:t>
      </w:r>
      <w:r w:rsidRPr="004B1BE2">
        <w:rPr>
          <w:i/>
          <w:iCs/>
        </w:rPr>
        <w:t>Руководящие указания Организации Объединенных Наций по вопросу о менее смертоносном оружии в правоохранительной деятельности</w:t>
      </w:r>
      <w:r w:rsidRPr="004B1BE2">
        <w:t>, изданные Управлением Верховного комиссара Организации Объединенных Наций по правам человека в качестве дополнения к Основным принципам применения силы и огнестрельного оружия должностными лицами по поддержанию правопорядка, и</w:t>
      </w:r>
      <w:r w:rsidR="007B48A3" w:rsidRPr="004B1BE2">
        <w:t> </w:t>
      </w:r>
      <w:r w:rsidRPr="004B1BE2">
        <w:t>призывая все государства рассмотреть вопрос о его применении в своей правоохранительной деятельности в связи с собраниями,</w:t>
      </w:r>
    </w:p>
    <w:p w14:paraId="780323FC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призывая</w:t>
      </w:r>
      <w:r w:rsidRPr="004B1BE2">
        <w:t xml:space="preserve"> все государства должным образом использовать </w:t>
      </w:r>
      <w:r w:rsidRPr="004B1BE2">
        <w:rPr>
          <w:i/>
          <w:iCs/>
        </w:rPr>
        <w:t>Справочное пособие по применению силы и огнестрельного оружия при поддержании правопорядка</w:t>
      </w:r>
      <w:r w:rsidRPr="004B1BE2">
        <w:t>, опубликованное Управлением Верховного комиссара Организации Объединенных Наций по правам человека и Управлением Организации Объединенных Наций по наркотикам и преступности, а также обновленную подборку учебных материалов Управления Верховного комиссара по законодательству и правоохранительной практике в области прав человека,</w:t>
      </w:r>
    </w:p>
    <w:p w14:paraId="2B886F10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напоминая</w:t>
      </w:r>
      <w:r w:rsidRPr="004B1BE2">
        <w:t xml:space="preserve"> о важности надлежащей подготовки, оснащения, контроля и подотчетности должностных лиц и частного персонала, выполняющих правоохранительные функции, возложенные на них в связи с регулированием проведения собраний, и воздерживаться, насколько это возможно, от выделения военнослужащих для выполнения таких функций, вновь подтверждая при этом, что международные обязательства и обязанности в отношении применения силы в контексте правоохранительной деятельности распространяются также на вооруженные силы, когда те выполняют правоохранительные функции, и что частный персонал должен соблюдать международно признанные стандарты,</w:t>
      </w:r>
    </w:p>
    <w:p w14:paraId="2C197DAC" w14:textId="77777777" w:rsidR="007B4310" w:rsidRPr="004B1BE2" w:rsidRDefault="007B4310" w:rsidP="007B4310">
      <w:pPr>
        <w:pStyle w:val="SingleTxtG"/>
        <w:ind w:firstLine="567"/>
      </w:pPr>
      <w:r w:rsidRPr="004B1BE2">
        <w:rPr>
          <w:i/>
          <w:iCs/>
        </w:rPr>
        <w:t>с удовлетворением принимая к сведению</w:t>
      </w:r>
      <w:r w:rsidRPr="004B1BE2">
        <w:t xml:space="preserve"> руководящие положения Специального докладчика по вопросу о праве на свободу мирных собраний и праве на ассоциацию в контексте пандемии COVID-19</w:t>
      </w:r>
      <w:r w:rsidRPr="004B1BE2">
        <w:rPr>
          <w:rStyle w:val="aa"/>
        </w:rPr>
        <w:footnoteReference w:id="2"/>
      </w:r>
      <w:r w:rsidR="007B48A3" w:rsidRPr="004B1BE2">
        <w:t>,</w:t>
      </w:r>
    </w:p>
    <w:p w14:paraId="68F7068D" w14:textId="77777777" w:rsidR="007B4310" w:rsidRPr="004B1BE2" w:rsidRDefault="007B4310" w:rsidP="007B4310">
      <w:pPr>
        <w:pStyle w:val="SingleTxtG"/>
        <w:ind w:firstLine="567"/>
      </w:pPr>
      <w:bookmarkStart w:id="1" w:name="_Hlk45630385"/>
      <w:r w:rsidRPr="004B1BE2">
        <w:rPr>
          <w:i/>
          <w:iCs/>
        </w:rPr>
        <w:t>подчеркивая</w:t>
      </w:r>
      <w:r w:rsidRPr="004B1BE2">
        <w:t xml:space="preserve">, что такие соображения, как риски для здоровья, вызванные пандемией COVID-19, не должны использоваться для необоснованного или несоразмерного ограничения прав человека и основных свобод, таких как права на </w:t>
      </w:r>
      <w:bookmarkStart w:id="2" w:name="_Hlk45630193"/>
      <w:r w:rsidRPr="004B1BE2">
        <w:t>свободу мирных собраний, выражения мнений и ассоциации, и что любое ограничение прав человека, гарантированных международно-правовыми актами, должно отвечать изложенным в тех строгим требованиям,</w:t>
      </w:r>
    </w:p>
    <w:bookmarkEnd w:id="1"/>
    <w:p w14:paraId="67C32B9B" w14:textId="4E689768" w:rsidR="007B4310" w:rsidRPr="004B1BE2" w:rsidRDefault="007B4310" w:rsidP="007B4310">
      <w:pPr>
        <w:pStyle w:val="SingleTxtG"/>
        <w:ind w:firstLine="567"/>
      </w:pPr>
      <w:r w:rsidRPr="004B1BE2">
        <w:t>1.</w:t>
      </w:r>
      <w:r w:rsidRPr="004B1BE2">
        <w:tab/>
      </w:r>
      <w:r w:rsidR="003F0D92">
        <w:rPr>
          <w:i/>
          <w:iCs/>
        </w:rPr>
        <w:t>приветствует</w:t>
      </w:r>
      <w:bookmarkStart w:id="3" w:name="_GoBack"/>
      <w:bookmarkEnd w:id="3"/>
      <w:r w:rsidRPr="004B1BE2">
        <w:t xml:space="preserve"> тематический доклад Верховного комиссара Организации Объединенных Наций по правам человека о воздействии новых техн</w:t>
      </w:r>
      <w:bookmarkEnd w:id="2"/>
      <w:r w:rsidRPr="004B1BE2">
        <w:t>ологий на поощрение и защиту прав человека в контексте собраний</w:t>
      </w:r>
      <w:r w:rsidR="00491530" w:rsidRPr="004B1BE2">
        <w:rPr>
          <w:rStyle w:val="aa"/>
        </w:rPr>
        <w:footnoteReference w:id="3"/>
      </w:r>
      <w:r w:rsidRPr="004B1BE2">
        <w:t>, включая мирные протесты, представленный в соответствии с резолюцией</w:t>
      </w:r>
      <w:r w:rsidR="007F4F87" w:rsidRPr="004B1BE2">
        <w:t> </w:t>
      </w:r>
      <w:r w:rsidR="00491530" w:rsidRPr="004B1BE2">
        <w:t>38</w:t>
      </w:r>
      <w:r w:rsidRPr="004B1BE2">
        <w:t>/</w:t>
      </w:r>
      <w:r w:rsidR="00491530" w:rsidRPr="004B1BE2">
        <w:t>11</w:t>
      </w:r>
      <w:r w:rsidRPr="004B1BE2">
        <w:t xml:space="preserve"> Совета по правам человека</w:t>
      </w:r>
      <w:r w:rsidR="007F4F87" w:rsidRPr="004B1BE2">
        <w:t>;</w:t>
      </w:r>
    </w:p>
    <w:p w14:paraId="456CD816" w14:textId="77777777" w:rsidR="007B4310" w:rsidRPr="004B1BE2" w:rsidRDefault="007B4310" w:rsidP="007B4310">
      <w:pPr>
        <w:pStyle w:val="SingleTxtG"/>
        <w:ind w:firstLine="567"/>
      </w:pPr>
      <w:r w:rsidRPr="004B1BE2">
        <w:t>2.</w:t>
      </w:r>
      <w:r w:rsidRPr="004B1BE2">
        <w:tab/>
      </w:r>
      <w:r w:rsidRPr="004B1BE2">
        <w:rPr>
          <w:i/>
          <w:iCs/>
        </w:rPr>
        <w:t>выражает</w:t>
      </w:r>
      <w:r w:rsidRPr="004B1BE2">
        <w:t xml:space="preserve"> </w:t>
      </w:r>
      <w:r w:rsidRPr="004B1BE2">
        <w:rPr>
          <w:i/>
          <w:iCs/>
        </w:rPr>
        <w:t>глубокую озабоченность</w:t>
      </w:r>
      <w:r w:rsidRPr="004B1BE2">
        <w:t xml:space="preserve"> случаями, когда мирные протесты вызвали репрессии, включая незаконное применение силы сотрудниками правоохранительных органов, произвольные аресты и задержания, пытки и насильственные исчезновения, а также отключение Интернета и нападения на протестующих, прохожих, правозащитников, журналистов и других работников средств массовой информации;</w:t>
      </w:r>
    </w:p>
    <w:p w14:paraId="7BAAAAB7" w14:textId="77777777" w:rsidR="007B4310" w:rsidRPr="004B1BE2" w:rsidRDefault="007B4310" w:rsidP="007B4310">
      <w:pPr>
        <w:pStyle w:val="SingleTxtG"/>
        <w:ind w:firstLine="567"/>
      </w:pPr>
      <w:r w:rsidRPr="004B1BE2">
        <w:t>3.</w:t>
      </w:r>
      <w:r w:rsidRPr="004B1BE2">
        <w:tab/>
      </w:r>
      <w:r w:rsidRPr="004B1BE2">
        <w:rPr>
          <w:i/>
          <w:iCs/>
        </w:rPr>
        <w:t>напоминает</w:t>
      </w:r>
      <w:r w:rsidRPr="004B1BE2">
        <w:t>, что государства несут ответственность, в том числе в контексте мирных протестов, за поощрение и защиту прав человека и предотвращение нарушений и ущемления прав человека, в том числе внесудебных казней, казней без надлежащего судебного разбирательства или произвольных казней, произвольных арестов и задержаний, насильственных исчезновений и пыток и других жестоких, бесчеловечных или унижающих достоинство видов обращения и наказания, и призывает государства не допускать злоупотребления уголовным и гражданским судопроизводством или угроз таких действий в любых обстоятельствах;</w:t>
      </w:r>
    </w:p>
    <w:p w14:paraId="5D642FCE" w14:textId="77777777" w:rsidR="007B4310" w:rsidRPr="004B1BE2" w:rsidRDefault="007B4310" w:rsidP="007B4310">
      <w:pPr>
        <w:pStyle w:val="SingleTxtG"/>
        <w:ind w:firstLine="567"/>
      </w:pPr>
      <w:r w:rsidRPr="004B1BE2">
        <w:t>4.</w:t>
      </w:r>
      <w:r w:rsidRPr="004B1BE2">
        <w:tab/>
      </w:r>
      <w:r w:rsidRPr="004B1BE2">
        <w:rPr>
          <w:i/>
          <w:iCs/>
        </w:rPr>
        <w:t>призывает</w:t>
      </w:r>
      <w:r w:rsidRPr="004B1BE2">
        <w:t xml:space="preserve"> государства способствовать созданию безопасных и благоприятных условий, в которых люди и группы могли бы осуществлять свои права на свободу мирных собраний, выражения мнений и ассоциации, как в сети так и вне ее, в том числе путем обеспечения того, чтобы законодательство и процедуры государств, касающиеся прав на свободу мирных собраний, выражения мнений и ассоциации, соответствовали их международным обязательствам и обязанностям в области прав человека с целью прямого и явного установления презумпции в пользу осуществления этих прав и чтобы они реально соблюдались;</w:t>
      </w:r>
    </w:p>
    <w:p w14:paraId="678ADF74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t>5.</w:t>
      </w:r>
      <w:r w:rsidRPr="004B1BE2">
        <w:tab/>
      </w:r>
      <w:r w:rsidRPr="004B1BE2">
        <w:rPr>
          <w:i/>
          <w:iCs/>
        </w:rPr>
        <w:t>призывает также</w:t>
      </w:r>
      <w:r w:rsidRPr="004B1BE2">
        <w:t xml:space="preserve"> государства обеспечить уважение, защиту и соблюдение всех прав человека и во время чрезвычайных ситуаций, таких как с пандемия COVID-19, и чтобы их меры реагирования полностью соответствовали их обязательствам и обязанностям в области прав человека;</w:t>
      </w:r>
    </w:p>
    <w:p w14:paraId="55AB5B60" w14:textId="77777777" w:rsidR="007B4310" w:rsidRPr="004B1BE2" w:rsidRDefault="007B4310" w:rsidP="007B4310">
      <w:pPr>
        <w:pStyle w:val="SingleTxtG"/>
        <w:ind w:firstLine="567"/>
      </w:pPr>
      <w:r w:rsidRPr="004B1BE2">
        <w:t>6.</w:t>
      </w:r>
      <w:r w:rsidRPr="004B1BE2">
        <w:tab/>
      </w:r>
      <w:r w:rsidRPr="004B1BE2">
        <w:rPr>
          <w:i/>
          <w:iCs/>
        </w:rPr>
        <w:t>призывает</w:t>
      </w:r>
      <w:r w:rsidRPr="004B1BE2">
        <w:t xml:space="preserve"> все государства уделять должное внимание подборке практических рекомендаций о надлежащем регулировании проведения собраний, основанной на передовом опыте и извлеченных уроках</w:t>
      </w:r>
      <w:r w:rsidR="00635EAC" w:rsidRPr="004B1BE2">
        <w:rPr>
          <w:sz w:val="18"/>
          <w:vertAlign w:val="superscript"/>
        </w:rPr>
        <w:footnoteReference w:id="4"/>
      </w:r>
      <w:r w:rsidRPr="004B1BE2">
        <w:t>, которая содержит полезные рекомендации для государств по выполнению ими своих обязанностей и обязательств, в том числе по их осуществлению в рамках своего законодательства, процедур и практики, а также по поощрению и защите прав человека в контексте собраний, включая мирные протесты</w:t>
      </w:r>
      <w:r w:rsidR="00EC79D3" w:rsidRPr="004B1BE2">
        <w:t>;</w:t>
      </w:r>
    </w:p>
    <w:p w14:paraId="29DD63D8" w14:textId="77777777" w:rsidR="007B4310" w:rsidRPr="004B1BE2" w:rsidRDefault="007B4310" w:rsidP="007B4310">
      <w:pPr>
        <w:pStyle w:val="SingleTxtG"/>
        <w:ind w:firstLine="567"/>
      </w:pPr>
      <w:r w:rsidRPr="004B1BE2">
        <w:t>7.</w:t>
      </w:r>
      <w:r w:rsidRPr="004B1BE2">
        <w:tab/>
      </w:r>
      <w:r w:rsidRPr="004B1BE2">
        <w:rPr>
          <w:i/>
          <w:iCs/>
        </w:rPr>
        <w:t>призывает</w:t>
      </w:r>
      <w:r w:rsidRPr="004B1BE2">
        <w:t xml:space="preserve"> государства содействовать проведению мирных протестов путем предоставления протестующим, насколько это возможно, доступа к общественным местам, где их может видеть и слышать их целевая аудитория, и путем их защиты, без какой-либо дискриминации, когда это необходимо, от любых угроз и преследования и подчеркивает роль местных органов власти в этом отношении;</w:t>
      </w:r>
    </w:p>
    <w:p w14:paraId="2D4C1383" w14:textId="77777777" w:rsidR="007B4310" w:rsidRPr="004B1BE2" w:rsidRDefault="007B4310" w:rsidP="007B4310">
      <w:pPr>
        <w:pStyle w:val="SingleTxtG"/>
        <w:ind w:firstLine="567"/>
      </w:pPr>
      <w:r w:rsidRPr="004B1BE2">
        <w:t>8.</w:t>
      </w:r>
      <w:r w:rsidRPr="004B1BE2">
        <w:tab/>
      </w:r>
      <w:r w:rsidRPr="004B1BE2">
        <w:rPr>
          <w:i/>
          <w:iCs/>
        </w:rPr>
        <w:t>подчеркивает</w:t>
      </w:r>
      <w:r w:rsidRPr="004B1BE2">
        <w:t xml:space="preserve"> важную роль, которую контакт между организаторами, протестующими, местными органами власти и должностными лицами, исполняющими правоохранительные обязанности, может играть в надлежащем </w:t>
      </w:r>
      <w:r w:rsidR="00EC79D3" w:rsidRPr="004B1BE2">
        <w:t>у</w:t>
      </w:r>
      <w:r w:rsidRPr="004B1BE2">
        <w:t>регулировании проведения собраний, таких как мирные протесты, и призывает государства создать такие соответствующие каналы;</w:t>
      </w:r>
    </w:p>
    <w:p w14:paraId="5A954B5A" w14:textId="77777777" w:rsidR="007B4310" w:rsidRPr="004B1BE2" w:rsidRDefault="007B4310" w:rsidP="007B4310">
      <w:pPr>
        <w:pStyle w:val="SingleTxtG"/>
        <w:ind w:firstLine="567"/>
      </w:pPr>
      <w:r w:rsidRPr="004B1BE2">
        <w:t>9.</w:t>
      </w:r>
      <w:r w:rsidRPr="004B1BE2">
        <w:tab/>
      </w:r>
      <w:r w:rsidRPr="004B1BE2">
        <w:rPr>
          <w:i/>
          <w:iCs/>
        </w:rPr>
        <w:t>настоятельно призывает</w:t>
      </w:r>
      <w:r w:rsidRPr="004B1BE2">
        <w:t xml:space="preserve"> государства уделять особое внимание безопасности и защите женщин и девочек, а также женщин-правозащитниц от актов запугивания и преследования, а также от насилия на гендерной почве, включая сексуальные посягательства, в контексте мирных протестов;</w:t>
      </w:r>
    </w:p>
    <w:p w14:paraId="2C788F77" w14:textId="77777777" w:rsidR="007B4310" w:rsidRPr="004B1BE2" w:rsidRDefault="007B4310" w:rsidP="007B4310">
      <w:pPr>
        <w:pStyle w:val="SingleTxtG"/>
        <w:ind w:firstLine="567"/>
      </w:pPr>
      <w:r w:rsidRPr="004B1BE2">
        <w:t>10.</w:t>
      </w:r>
      <w:r w:rsidRPr="004B1BE2">
        <w:tab/>
      </w:r>
      <w:r w:rsidRPr="004B1BE2">
        <w:rPr>
          <w:i/>
          <w:iCs/>
        </w:rPr>
        <w:t>вновь подтверждает</w:t>
      </w:r>
      <w:r w:rsidRPr="004B1BE2">
        <w:t>, что государства должны принимать все надлежащие меры для обеспечения безопасности и защиты детей, в том числе при осуществлении теми своих прав на свободу мирных собраний, выражения мнений и ассоциации, в том числе в контексте мирных протестов;</w:t>
      </w:r>
    </w:p>
    <w:p w14:paraId="2824A4EB" w14:textId="77777777" w:rsidR="007B4310" w:rsidRPr="004B1BE2" w:rsidRDefault="007B4310" w:rsidP="007B4310">
      <w:pPr>
        <w:pStyle w:val="SingleTxtG"/>
        <w:ind w:firstLine="567"/>
      </w:pPr>
      <w:r w:rsidRPr="004B1BE2">
        <w:t>11.</w:t>
      </w:r>
      <w:r w:rsidRPr="004B1BE2">
        <w:tab/>
      </w:r>
      <w:r w:rsidRPr="004B1BE2">
        <w:rPr>
          <w:i/>
          <w:iCs/>
        </w:rPr>
        <w:t>призывает</w:t>
      </w:r>
      <w:r w:rsidRPr="004B1BE2">
        <w:t xml:space="preserve"> все государства уделять особое внимание безопасности правозащитников, журналистов и других работников средств массовой информации, ведущих наблюдение, мониторинг и съемку на мирных протестах, принимая во внимание их особую роль, подверженность рискам и уязвимость;</w:t>
      </w:r>
    </w:p>
    <w:p w14:paraId="20D7994C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t>12.</w:t>
      </w:r>
      <w:r w:rsidRPr="004B1BE2">
        <w:tab/>
      </w:r>
      <w:r w:rsidRPr="004B1BE2">
        <w:rPr>
          <w:i/>
          <w:iCs/>
        </w:rPr>
        <w:t>подчеркивает</w:t>
      </w:r>
      <w:r w:rsidRPr="004B1BE2">
        <w:t>, что в период ограничения физических собраний тем более необходимо обеспечить доступ к Интернету и его использование, воздерживаясь от неоправданных ограничений, таких как отключение Интернета или его цензура, принимая меры для обеспечения того, чтобы доступ к Интернету распространялся на все население мира и чтобы он был приемлемым по цене, а также в полной мере уважая и защищая право каждого человека на неприкосновенность частной жизни;</w:t>
      </w:r>
    </w:p>
    <w:p w14:paraId="0A20CEDB" w14:textId="77777777" w:rsidR="007B4310" w:rsidRPr="004B1BE2" w:rsidRDefault="007B4310" w:rsidP="007B4310">
      <w:pPr>
        <w:pStyle w:val="SingleTxtG"/>
        <w:ind w:firstLine="567"/>
        <w:rPr>
          <w:b/>
          <w:bCs/>
        </w:rPr>
      </w:pPr>
      <w:r w:rsidRPr="004B1BE2">
        <w:t>13.</w:t>
      </w:r>
      <w:r w:rsidRPr="004B1BE2">
        <w:tab/>
      </w:r>
      <w:r w:rsidRPr="004B1BE2">
        <w:rPr>
          <w:i/>
          <w:iCs/>
        </w:rPr>
        <w:t>призывает</w:t>
      </w:r>
      <w:r w:rsidRPr="004B1BE2">
        <w:t xml:space="preserve"> все государства не применять и отменить меры, если те противоречат международному праву в области прав человека, направленные на отключение Интернета и связи или на блокирование иным образом доступа пользователей Интернета к информации или ее распространения в сети, а также сбора информации в сетевой среде;</w:t>
      </w:r>
    </w:p>
    <w:p w14:paraId="27AC5DA9" w14:textId="77777777" w:rsidR="007B4310" w:rsidRPr="004B1BE2" w:rsidRDefault="007B4310" w:rsidP="007B4310">
      <w:pPr>
        <w:pStyle w:val="SingleTxtG"/>
        <w:ind w:firstLine="567"/>
      </w:pPr>
      <w:r w:rsidRPr="004B1BE2">
        <w:t>14.</w:t>
      </w:r>
      <w:r w:rsidRPr="004B1BE2">
        <w:tab/>
      </w:r>
      <w:r w:rsidRPr="004B1BE2">
        <w:rPr>
          <w:i/>
          <w:iCs/>
        </w:rPr>
        <w:t>настоятельно призывает</w:t>
      </w:r>
      <w:r w:rsidRPr="004B1BE2">
        <w:t xml:space="preserve"> все государства не допускать применения силы в ходе мирных протестов</w:t>
      </w:r>
      <w:r w:rsidR="007F4F87" w:rsidRPr="004B1BE2">
        <w:t>,</w:t>
      </w:r>
      <w:r w:rsidRPr="004B1BE2">
        <w:t xml:space="preserve"> обеспечивать, чтобы в тех случаях, когда применение силы является абсолютно необходимым, никто не становился жертвой неоправданного или неизбирательного применения силы, и обеспечивать предоставление медицинской и другой помощи любым раненым или пострадавшим лицам самым неотложным образом;</w:t>
      </w:r>
    </w:p>
    <w:p w14:paraId="1A91D56B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t>15.</w:t>
      </w:r>
      <w:r w:rsidRPr="004B1BE2">
        <w:tab/>
      </w:r>
      <w:r w:rsidRPr="004B1BE2">
        <w:rPr>
          <w:i/>
          <w:iCs/>
        </w:rPr>
        <w:t>призывает</w:t>
      </w:r>
      <w:r w:rsidRPr="004B1BE2">
        <w:t xml:space="preserve"> государства в первоочередном порядке обеспечить, чтобы их законодательство и процедуры, в частности соответствующие принципы правоохранительной практики, такие как необходимость и соразмерность, соответствовали их международным обязательствам и обязанностям в отношении применения силы в контексте правоохранительной деятельности и реально соблюдались должностными лицами, исполняющими правоохранительные обязанности, памятуя о том, что смертоносная сила может применяться лишь в качестве крайней меры для защиты от непосредственной угрозы жизни, и что она не может применяться лишь для рассеяния собравшихся;</w:t>
      </w:r>
    </w:p>
    <w:p w14:paraId="67B5261D" w14:textId="77777777" w:rsidR="007B4310" w:rsidRPr="004B1BE2" w:rsidRDefault="007B4310" w:rsidP="007B4310">
      <w:pPr>
        <w:pStyle w:val="SingleTxtG"/>
        <w:ind w:firstLine="567"/>
      </w:pPr>
      <w:r w:rsidRPr="004B1BE2">
        <w:t>16.</w:t>
      </w:r>
      <w:r w:rsidRPr="004B1BE2">
        <w:tab/>
      </w:r>
      <w:r w:rsidRPr="004B1BE2">
        <w:rPr>
          <w:i/>
          <w:iCs/>
        </w:rPr>
        <w:t>подтверждает</w:t>
      </w:r>
      <w:r w:rsidRPr="004B1BE2">
        <w:t>, что ничто никогда не может оправдать неизбирательное применение смертоносной силы против толпы, которое является противоправным в соответствии с международным правом в области прав человека;</w:t>
      </w:r>
    </w:p>
    <w:p w14:paraId="2B8401E0" w14:textId="77777777" w:rsidR="007B4310" w:rsidRPr="004B1BE2" w:rsidRDefault="007B4310" w:rsidP="007B4310">
      <w:pPr>
        <w:pStyle w:val="SingleTxtG"/>
        <w:ind w:firstLine="567"/>
      </w:pPr>
      <w:r w:rsidRPr="004B1BE2">
        <w:t>17.</w:t>
      </w:r>
      <w:r w:rsidRPr="004B1BE2">
        <w:tab/>
      </w:r>
      <w:r w:rsidRPr="004B1BE2">
        <w:rPr>
          <w:i/>
          <w:iCs/>
        </w:rPr>
        <w:t>призывает</w:t>
      </w:r>
      <w:r w:rsidRPr="004B1BE2">
        <w:t xml:space="preserve"> государства расследовать любые обстоятельства гибели или серье</w:t>
      </w:r>
      <w:r w:rsidR="00EC79D3" w:rsidRPr="004B1BE2">
        <w:t>з</w:t>
      </w:r>
      <w:r w:rsidRPr="004B1BE2">
        <w:t>ных ранений людей, включая ранения, приводящие к инвалидности, во время протестов, в том числе в результате применения огнестрельного оружия или менее смертоносного оружия должностными лицами, исполняющими правоохранительные обязанности, или частных лиц, действующих от имени государства;</w:t>
      </w:r>
    </w:p>
    <w:p w14:paraId="0248B1F7" w14:textId="77777777" w:rsidR="007B4310" w:rsidRPr="004B1BE2" w:rsidRDefault="007B4310" w:rsidP="007B4310">
      <w:pPr>
        <w:pStyle w:val="SingleTxtG"/>
        <w:ind w:firstLine="567"/>
      </w:pPr>
      <w:r w:rsidRPr="004B1BE2">
        <w:t>18.</w:t>
      </w:r>
      <w:r w:rsidRPr="004B1BE2">
        <w:tab/>
      </w:r>
      <w:r w:rsidRPr="004B1BE2">
        <w:rPr>
          <w:i/>
          <w:iCs/>
        </w:rPr>
        <w:t>призывает</w:t>
      </w:r>
      <w:r w:rsidRPr="004B1BE2">
        <w:t xml:space="preserve"> </w:t>
      </w:r>
      <w:r w:rsidRPr="004B1BE2">
        <w:rPr>
          <w:i/>
          <w:iCs/>
        </w:rPr>
        <w:t>также</w:t>
      </w:r>
      <w:r w:rsidRPr="004B1BE2">
        <w:t xml:space="preserve"> государства обеспечить надлежащую подготовку должностных лиц, исполняющих правоохранительные обязанности, и, в соответствующих случаях, поощрять надлежащую подготовку частных лиц, действующих от имени государства, в том числе по вопросам международного права в области прав человека и, когда это необходимо, международного гуманитарного права, и в этой связи настоятельно призывает государства включить в такую подготовку применение стратегий деэскалации;</w:t>
      </w:r>
    </w:p>
    <w:p w14:paraId="39DFFE10" w14:textId="77777777" w:rsidR="007B4310" w:rsidRPr="004B1BE2" w:rsidRDefault="007B4310" w:rsidP="007B4310">
      <w:pPr>
        <w:pStyle w:val="SingleTxtG"/>
        <w:ind w:firstLine="567"/>
      </w:pPr>
      <w:r w:rsidRPr="004B1BE2">
        <w:t>19.</w:t>
      </w:r>
      <w:r w:rsidRPr="004B1BE2">
        <w:tab/>
      </w:r>
      <w:r w:rsidRPr="004B1BE2">
        <w:rPr>
          <w:i/>
          <w:iCs/>
        </w:rPr>
        <w:t xml:space="preserve">призывает </w:t>
      </w:r>
      <w:r w:rsidRPr="004B1BE2">
        <w:t>государства предоставить своим должностным лицам, исполняющим правоохранительные обязанности, соответствующие средства защиты и менее смертоносное оружие в целях уменьшения необходимости использования теми любого рода оружия, прилагая при этом усилия по регулированию и регламентированию подготовки и использования менее смертоносного оружия, имея в виду, что даже менее смертоносное оружие может быть опасным для жизни;</w:t>
      </w:r>
    </w:p>
    <w:p w14:paraId="61228188" w14:textId="77777777" w:rsidR="007B4310" w:rsidRPr="004B1BE2" w:rsidRDefault="007B4310" w:rsidP="007B4310">
      <w:pPr>
        <w:pStyle w:val="SingleTxtG"/>
        <w:ind w:firstLine="567"/>
      </w:pPr>
      <w:r w:rsidRPr="004B1BE2">
        <w:t>20.</w:t>
      </w:r>
      <w:r w:rsidRPr="004B1BE2">
        <w:tab/>
      </w:r>
      <w:r w:rsidRPr="004B1BE2">
        <w:rPr>
          <w:i/>
          <w:iCs/>
        </w:rPr>
        <w:t xml:space="preserve">подчеркивает </w:t>
      </w:r>
      <w:r w:rsidRPr="004B1BE2">
        <w:t>важность тщательного и независимого испытания менее смертоносного оружия до его закупки и принятия на вооружение с целью определения его смертоносности и степени вероятного вреда и осуществления контроля за соответствующей подготовкой и применением такого оружия;</w:t>
      </w:r>
    </w:p>
    <w:p w14:paraId="03D02776" w14:textId="77777777" w:rsidR="007B4310" w:rsidRPr="004B1BE2" w:rsidRDefault="007B4310" w:rsidP="007B4310">
      <w:pPr>
        <w:pStyle w:val="SingleTxtG"/>
        <w:ind w:firstLine="567"/>
      </w:pPr>
      <w:r w:rsidRPr="004B1BE2">
        <w:t>21.</w:t>
      </w:r>
      <w:r w:rsidRPr="004B1BE2">
        <w:tab/>
      </w:r>
      <w:r w:rsidRPr="004B1BE2">
        <w:rPr>
          <w:i/>
          <w:iCs/>
        </w:rPr>
        <w:t>особо отмечает</w:t>
      </w:r>
      <w:r w:rsidRPr="004B1BE2">
        <w:t xml:space="preserve"> важность международного сотрудничества в поддержку усилий стран по поощрению и защите прав человека и основных свобод в контексте собраний, включая мирные протесты, с целью расширения возможностей правоохранительных органов действовать во время таких собраний в порядке, соответствующем нормам и стандартам международного права в области прав человека;</w:t>
      </w:r>
    </w:p>
    <w:p w14:paraId="6386804E" w14:textId="77777777" w:rsidR="007B4310" w:rsidRPr="004B1BE2" w:rsidRDefault="007B4310" w:rsidP="007B4310">
      <w:pPr>
        <w:pStyle w:val="SingleTxtG"/>
        <w:ind w:firstLine="567"/>
      </w:pPr>
      <w:r w:rsidRPr="004B1BE2">
        <w:t>22.</w:t>
      </w:r>
      <w:r w:rsidRPr="004B1BE2">
        <w:tab/>
      </w:r>
      <w:r w:rsidRPr="004B1BE2">
        <w:rPr>
          <w:i/>
          <w:iCs/>
        </w:rPr>
        <w:t xml:space="preserve">подчеркивает </w:t>
      </w:r>
      <w:r w:rsidRPr="004B1BE2">
        <w:t>необходимость уделять внимание регулированию проведения собраний, включая мирные протесты, чтобы способствовать их мирному характеру, и предотвращать ранения, включая ранения, приводящие к инвалидности, и гибель протестующих, тех, кто наблюдает за такими собраниями и ведет их мониторинг и съемку, прохожих и должностных лиц, исполняющих правоохранительные обязанности, а также любые нарушения или попрание прав человека, чтобы обеспечить привлечение к отве</w:t>
      </w:r>
      <w:r w:rsidR="00403449" w:rsidRPr="004B1BE2">
        <w:t>т</w:t>
      </w:r>
      <w:r w:rsidRPr="004B1BE2">
        <w:t>ственности за совершение таких нарушений и попрания прав человека и предоставить жертвам доступ к средствам правовой зашиты и возмещения;</w:t>
      </w:r>
    </w:p>
    <w:p w14:paraId="39F51125" w14:textId="77777777" w:rsidR="007B4310" w:rsidRPr="004B1BE2" w:rsidRDefault="007B4310" w:rsidP="007B4310">
      <w:pPr>
        <w:pStyle w:val="SingleTxtG"/>
        <w:ind w:firstLine="567"/>
      </w:pPr>
      <w:r w:rsidRPr="004B1BE2">
        <w:t>23.</w:t>
      </w:r>
      <w:r w:rsidRPr="004B1BE2">
        <w:tab/>
      </w:r>
      <w:r w:rsidRPr="004B1BE2">
        <w:rPr>
          <w:i/>
          <w:iCs/>
        </w:rPr>
        <w:t xml:space="preserve">признает </w:t>
      </w:r>
      <w:r w:rsidRPr="004B1BE2">
        <w:t>важность документирования нарушений и попрания прав человека, совершаемых в контексте мирных протестов, а также ту роль, которую могут играть в этой связи национальные правозащитные учреждения, гражданское общество, в том числе неправительственные организации, журналисты и другие работники средств массовой информации, пользователи Интернета и правозащитники;</w:t>
      </w:r>
    </w:p>
    <w:p w14:paraId="099F85FF" w14:textId="77777777" w:rsidR="007B4310" w:rsidRPr="004B1BE2" w:rsidRDefault="007B4310" w:rsidP="007B4310">
      <w:pPr>
        <w:pStyle w:val="SingleTxtG"/>
        <w:ind w:firstLine="567"/>
        <w:rPr>
          <w:b/>
        </w:rPr>
      </w:pPr>
      <w:r w:rsidRPr="004B1BE2">
        <w:t>24.</w:t>
      </w:r>
      <w:r w:rsidRPr="004B1BE2">
        <w:tab/>
      </w:r>
      <w:r w:rsidRPr="004B1BE2">
        <w:rPr>
          <w:i/>
          <w:iCs/>
        </w:rPr>
        <w:t xml:space="preserve">призывает </w:t>
      </w:r>
      <w:r w:rsidRPr="004B1BE2">
        <w:t>государства воздерживаться от использования цифровой технологии для замалчивания, незаконного или произвольного наблюдения или преследования людей или групп только за организацию мирных протестов, участие в них, наблюдение за ними, их мониторинг или ведение на них съемки или от отдачи распоряжений о полном отключении Интернета и блокировании веб-сайтов и платформ в период протестов или в ответственные политические моменты;</w:t>
      </w:r>
    </w:p>
    <w:p w14:paraId="47E43B0A" w14:textId="77777777" w:rsidR="007B4310" w:rsidRPr="004B1BE2" w:rsidRDefault="007B4310" w:rsidP="007B4310">
      <w:pPr>
        <w:pStyle w:val="SingleTxtG"/>
        <w:ind w:firstLine="567"/>
      </w:pPr>
      <w:r w:rsidRPr="004B1BE2">
        <w:t>25.</w:t>
      </w:r>
      <w:r w:rsidRPr="004B1BE2">
        <w:tab/>
      </w:r>
      <w:r w:rsidRPr="004B1BE2">
        <w:rPr>
          <w:i/>
          <w:iCs/>
        </w:rPr>
        <w:t>настоятельно призывает</w:t>
      </w:r>
      <w:r w:rsidRPr="004B1BE2">
        <w:t xml:space="preserve"> государства обеспечить привлечение к ответственности за нарушения и попрание прав человека с помощью судебных или иных национальных механизмов в соответствии с законом и своими международными обязанностями и обязательствами в области прав человека и предоставить всем жертвам доступ к средствам правовой защиты и возмещения, в том числе в контексте мирных протестов;</w:t>
      </w:r>
    </w:p>
    <w:p w14:paraId="19B9B957" w14:textId="77777777" w:rsidR="007B4310" w:rsidRPr="004B1BE2" w:rsidRDefault="007B4310" w:rsidP="007B4310">
      <w:pPr>
        <w:pStyle w:val="SingleTxtG"/>
        <w:ind w:firstLine="567"/>
      </w:pPr>
      <w:bookmarkStart w:id="4" w:name="_Hlk45630278"/>
      <w:r w:rsidRPr="004B1BE2">
        <w:t>26.</w:t>
      </w:r>
      <w:r w:rsidRPr="004B1BE2">
        <w:tab/>
      </w:r>
      <w:r w:rsidR="004B1BE2" w:rsidRPr="005348EA">
        <w:rPr>
          <w:i/>
          <w:iCs/>
          <w:color w:val="000000"/>
        </w:rPr>
        <w:t>просит</w:t>
      </w:r>
      <w:r w:rsidR="004B1BE2" w:rsidRPr="004B1BE2">
        <w:rPr>
          <w:color w:val="000000"/>
        </w:rPr>
        <w:t xml:space="preserve"> Специального докладчика по вопросу о праве на свободу мирных собраний и праве на свободу ассоциации подготовить ряд практических рекомендаций, основанных на передовой практике, о защите прав человека в контексте мирных протестов во время кризисных ситуаций и при подготовке указанных рекомендаций с просьбой запросить мнения государств, Управления Верховного комиссара Организации Объединенных Наций по правам человека, соответствующих учреждений Организации Объединенных Наций, в частности Управления Организации Объединенных Наций по наркотикам и преступности, договорных органов Организации Объединенных Наций по правам человека, региональных механизмов по правам человека, других соответствующих обладателей мандатов специальных процедур, национальных учреждений по правам человека, неправительственных организаций и других соответствующих заинтересованных сторон, таких как действующие сотрудники правоохранительных органов, путем глобальных и региональных консультаций, и представить эти рекомендации Совету по правам человека на своей пятидесятой сессии в рамках расширенного интерактивного диалога, который также обобщит препятствия и проблемы, возникающие при осуществлении настоящей резолюции государствами</w:t>
      </w:r>
      <w:r w:rsidRPr="004B1BE2">
        <w:t>;</w:t>
      </w:r>
    </w:p>
    <w:bookmarkEnd w:id="4"/>
    <w:p w14:paraId="0507F5C2" w14:textId="77777777" w:rsidR="007B4310" w:rsidRPr="004B1BE2" w:rsidRDefault="007B4310" w:rsidP="007B4310">
      <w:pPr>
        <w:pStyle w:val="SingleTxtG"/>
      </w:pPr>
      <w:r w:rsidRPr="004B1BE2">
        <w:tab/>
      </w:r>
      <w:r w:rsidRPr="004B1BE2">
        <w:tab/>
        <w:t>27.</w:t>
      </w:r>
      <w:r w:rsidRPr="004B1BE2">
        <w:tab/>
      </w:r>
      <w:r w:rsidRPr="004B1BE2">
        <w:rPr>
          <w:i/>
          <w:iCs/>
        </w:rPr>
        <w:t>постановляет</w:t>
      </w:r>
      <w:r w:rsidRPr="004B1BE2">
        <w:t xml:space="preserve"> продолжить рассмотрение данного вопроса.</w:t>
      </w:r>
    </w:p>
    <w:p w14:paraId="1D6BBAF7" w14:textId="77777777" w:rsidR="007B4310" w:rsidRPr="007B4310" w:rsidRDefault="007B4310" w:rsidP="007B43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4310" w:rsidRPr="007B4310" w:rsidSect="007B43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219E" w14:textId="77777777" w:rsidR="007F533E" w:rsidRPr="00A312BC" w:rsidRDefault="007F533E" w:rsidP="00A312BC"/>
  </w:endnote>
  <w:endnote w:type="continuationSeparator" w:id="0">
    <w:p w14:paraId="3E9F44FE" w14:textId="77777777" w:rsidR="007F533E" w:rsidRPr="00A312BC" w:rsidRDefault="007F53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9FF7" w14:textId="77777777" w:rsidR="007B4310" w:rsidRPr="007B4310" w:rsidRDefault="007B4310">
    <w:pPr>
      <w:pStyle w:val="a8"/>
    </w:pPr>
    <w:r w:rsidRPr="007B4310">
      <w:rPr>
        <w:b/>
        <w:sz w:val="18"/>
      </w:rPr>
      <w:fldChar w:fldCharType="begin"/>
    </w:r>
    <w:r w:rsidRPr="007B4310">
      <w:rPr>
        <w:b/>
        <w:sz w:val="18"/>
      </w:rPr>
      <w:instrText xml:space="preserve"> PAGE  \* MERGEFORMAT </w:instrText>
    </w:r>
    <w:r w:rsidRPr="007B4310">
      <w:rPr>
        <w:b/>
        <w:sz w:val="18"/>
      </w:rPr>
      <w:fldChar w:fldCharType="separate"/>
    </w:r>
    <w:r w:rsidRPr="007B4310">
      <w:rPr>
        <w:b/>
        <w:noProof/>
        <w:sz w:val="18"/>
      </w:rPr>
      <w:t>2</w:t>
    </w:r>
    <w:r w:rsidRPr="007B4310">
      <w:rPr>
        <w:b/>
        <w:sz w:val="18"/>
      </w:rPr>
      <w:fldChar w:fldCharType="end"/>
    </w:r>
    <w:r>
      <w:rPr>
        <w:b/>
        <w:sz w:val="18"/>
      </w:rPr>
      <w:tab/>
    </w:r>
    <w:r>
      <w:t>GE.20-09195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E86F" w14:textId="77777777" w:rsidR="007B4310" w:rsidRPr="007B4310" w:rsidRDefault="007B4310" w:rsidP="007B4310">
    <w:pPr>
      <w:pStyle w:val="a8"/>
      <w:tabs>
        <w:tab w:val="clear" w:pos="9639"/>
        <w:tab w:val="right" w:pos="9638"/>
      </w:tabs>
      <w:rPr>
        <w:b/>
        <w:sz w:val="18"/>
      </w:rPr>
    </w:pPr>
    <w:r>
      <w:t>GE.20-09195</w:t>
    </w:r>
    <w:r>
      <w:tab/>
    </w:r>
    <w:r w:rsidRPr="007B4310">
      <w:rPr>
        <w:b/>
        <w:sz w:val="18"/>
      </w:rPr>
      <w:fldChar w:fldCharType="begin"/>
    </w:r>
    <w:r w:rsidRPr="007B4310">
      <w:rPr>
        <w:b/>
        <w:sz w:val="18"/>
      </w:rPr>
      <w:instrText xml:space="preserve"> PAGE  \* MERGEFORMAT </w:instrText>
    </w:r>
    <w:r w:rsidRPr="007B4310">
      <w:rPr>
        <w:b/>
        <w:sz w:val="18"/>
      </w:rPr>
      <w:fldChar w:fldCharType="separate"/>
    </w:r>
    <w:r w:rsidRPr="007B4310">
      <w:rPr>
        <w:b/>
        <w:noProof/>
        <w:sz w:val="18"/>
      </w:rPr>
      <w:t>3</w:t>
    </w:r>
    <w:r w:rsidRPr="007B43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CC77" w14:textId="77777777" w:rsidR="00042B72" w:rsidRPr="007B4310" w:rsidRDefault="007B4310" w:rsidP="007B431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558CD6" wp14:editId="7508A3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20-09195  (R)</w:t>
    </w:r>
    <w:r w:rsidR="007041C6">
      <w:t xml:space="preserve">  140720  </w:t>
    </w:r>
    <w:r w:rsidR="009B152E">
      <w:t>1</w:t>
    </w:r>
    <w:r w:rsidR="00CA6EC1">
      <w:rPr>
        <w:lang w:val="en-US"/>
      </w:rPr>
      <w:t>5</w:t>
    </w:r>
    <w:r w:rsidR="009B152E">
      <w:t>0720</w:t>
    </w:r>
    <w:r>
      <w:br/>
    </w:r>
    <w:r w:rsidRPr="007B4310">
      <w:rPr>
        <w:rFonts w:ascii="C39T30Lfz" w:hAnsi="C39T30Lfz"/>
        <w:kern w:val="14"/>
        <w:sz w:val="56"/>
      </w:rPr>
      <w:t></w:t>
    </w:r>
    <w:r w:rsidRPr="007B4310">
      <w:rPr>
        <w:rFonts w:ascii="C39T30Lfz" w:hAnsi="C39T30Lfz"/>
        <w:kern w:val="14"/>
        <w:sz w:val="56"/>
      </w:rPr>
      <w:t></w:t>
    </w:r>
    <w:r w:rsidRPr="007B4310">
      <w:rPr>
        <w:rFonts w:ascii="C39T30Lfz" w:hAnsi="C39T30Lfz"/>
        <w:kern w:val="14"/>
        <w:sz w:val="56"/>
      </w:rPr>
      <w:t></w:t>
    </w:r>
    <w:r w:rsidRPr="007B4310">
      <w:rPr>
        <w:rFonts w:ascii="C39T30Lfz" w:hAnsi="C39T30Lfz"/>
        <w:kern w:val="14"/>
        <w:sz w:val="56"/>
      </w:rPr>
      <w:t></w:t>
    </w:r>
    <w:r w:rsidRPr="007B4310">
      <w:rPr>
        <w:rFonts w:ascii="C39T30Lfz" w:hAnsi="C39T30Lfz"/>
        <w:kern w:val="14"/>
        <w:sz w:val="56"/>
      </w:rPr>
      <w:t></w:t>
    </w:r>
    <w:r w:rsidRPr="007B4310">
      <w:rPr>
        <w:rFonts w:ascii="C39T30Lfz" w:hAnsi="C39T30Lfz"/>
        <w:kern w:val="14"/>
        <w:sz w:val="56"/>
      </w:rPr>
      <w:t></w:t>
    </w:r>
    <w:r w:rsidRPr="007B4310">
      <w:rPr>
        <w:rFonts w:ascii="C39T30Lfz" w:hAnsi="C39T30Lfz"/>
        <w:kern w:val="14"/>
        <w:sz w:val="56"/>
      </w:rPr>
      <w:t></w:t>
    </w:r>
    <w:r w:rsidRPr="007B4310">
      <w:rPr>
        <w:rFonts w:ascii="C39T30Lfz" w:hAnsi="C39T30Lfz"/>
        <w:kern w:val="14"/>
        <w:sz w:val="56"/>
      </w:rPr>
      <w:t></w:t>
    </w:r>
    <w:r w:rsidRPr="007B431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76CF01" wp14:editId="53F04C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9DEC" w14:textId="77777777" w:rsidR="007F533E" w:rsidRPr="001075E9" w:rsidRDefault="007F53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2C83F1" w14:textId="77777777" w:rsidR="007F533E" w:rsidRDefault="007F53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B4B7DA" w14:textId="77777777" w:rsidR="00491530" w:rsidRPr="00491530" w:rsidRDefault="00491530">
      <w:pPr>
        <w:pStyle w:val="ad"/>
        <w:rPr>
          <w:sz w:val="20"/>
        </w:rPr>
      </w:pPr>
      <w:r>
        <w:tab/>
      </w:r>
      <w:r w:rsidRPr="00491530">
        <w:rPr>
          <w:rStyle w:val="aa"/>
          <w:sz w:val="20"/>
          <w:vertAlign w:val="baseline"/>
        </w:rPr>
        <w:t>*</w:t>
      </w:r>
      <w:r w:rsidRPr="00491530">
        <w:rPr>
          <w:rStyle w:val="aa"/>
          <w:vertAlign w:val="baseline"/>
        </w:rPr>
        <w:tab/>
      </w:r>
      <w:r>
        <w:t>Государство, не являющееся членом Совета по правам человека.</w:t>
      </w:r>
    </w:p>
  </w:footnote>
  <w:footnote w:id="2">
    <w:p w14:paraId="63FDF3BF" w14:textId="77777777" w:rsidR="007B4310" w:rsidRPr="007B4310" w:rsidRDefault="007B4310" w:rsidP="007B4310">
      <w:pPr>
        <w:pStyle w:val="ad"/>
        <w:rPr>
          <w:lang w:val="en-US"/>
        </w:rPr>
      </w:pPr>
      <w:r>
        <w:tab/>
      </w:r>
      <w:r w:rsidRPr="004B1BE2">
        <w:rPr>
          <w:rStyle w:val="aa"/>
        </w:rPr>
        <w:footnoteRef/>
      </w:r>
      <w:r w:rsidRPr="003951E8">
        <w:rPr>
          <w:lang w:val="en-US"/>
        </w:rPr>
        <w:tab/>
        <w:t>Clément Voule, “States responses to Covid 19 threat should not halt freedoms of assembly and association”, Office of the United Nations High Commissioner for Human Rights, 14 April 2020.</w:t>
      </w:r>
    </w:p>
  </w:footnote>
  <w:footnote w:id="3">
    <w:p w14:paraId="207CC027" w14:textId="77777777" w:rsidR="00491530" w:rsidRDefault="00491530" w:rsidP="00491530">
      <w:pPr>
        <w:pStyle w:val="ad"/>
      </w:pPr>
      <w:r w:rsidRPr="003951E8">
        <w:rPr>
          <w:lang w:val="en-US"/>
        </w:rPr>
        <w:tab/>
      </w:r>
      <w:r w:rsidRPr="004B1BE2">
        <w:rPr>
          <w:rStyle w:val="aa"/>
        </w:rPr>
        <w:footnoteRef/>
      </w:r>
      <w:r>
        <w:tab/>
        <w:t xml:space="preserve">A/HRC/44/24. </w:t>
      </w:r>
    </w:p>
  </w:footnote>
  <w:footnote w:id="4">
    <w:p w14:paraId="6CE462DE" w14:textId="77777777" w:rsidR="00635EAC" w:rsidRPr="00947DC9" w:rsidRDefault="00635EAC" w:rsidP="00635EAC">
      <w:pPr>
        <w:pStyle w:val="ad"/>
      </w:pPr>
      <w:r>
        <w:tab/>
      </w:r>
      <w:r w:rsidRPr="004B1BE2">
        <w:rPr>
          <w:rStyle w:val="aa"/>
        </w:rPr>
        <w:footnoteRef/>
      </w:r>
      <w:r>
        <w:tab/>
        <w:t>A/HRC/31/66.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AE37" w14:textId="4EDDFCF1" w:rsidR="007B4310" w:rsidRPr="007B4310" w:rsidRDefault="006D607C">
    <w:pPr>
      <w:pStyle w:val="a5"/>
    </w:pPr>
    <w:fldSimple w:instr=" TITLE  \* MERGEFORMAT ">
      <w:r w:rsidR="006613AA">
        <w:t>A/HRC/44/L.11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0ADE" w14:textId="11FDBAFD" w:rsidR="007B4310" w:rsidRPr="007B4310" w:rsidRDefault="006D607C" w:rsidP="007B4310">
    <w:pPr>
      <w:pStyle w:val="a5"/>
      <w:jc w:val="right"/>
    </w:pPr>
    <w:fldSimple w:instr=" TITLE  \* MERGEFORMAT ">
      <w:r w:rsidR="006613AA">
        <w:t>A/HRC/44/L.11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3E"/>
    <w:rsid w:val="00020C9D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1634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F0D92"/>
    <w:rsid w:val="00403449"/>
    <w:rsid w:val="00407B78"/>
    <w:rsid w:val="00424203"/>
    <w:rsid w:val="00452493"/>
    <w:rsid w:val="00454E07"/>
    <w:rsid w:val="00472C5C"/>
    <w:rsid w:val="00484B62"/>
    <w:rsid w:val="00491530"/>
    <w:rsid w:val="004B1BE2"/>
    <w:rsid w:val="0050108D"/>
    <w:rsid w:val="00513081"/>
    <w:rsid w:val="00517901"/>
    <w:rsid w:val="00526683"/>
    <w:rsid w:val="005348EA"/>
    <w:rsid w:val="00541726"/>
    <w:rsid w:val="00544AE0"/>
    <w:rsid w:val="005709E0"/>
    <w:rsid w:val="00572E19"/>
    <w:rsid w:val="005961C8"/>
    <w:rsid w:val="005D7914"/>
    <w:rsid w:val="005E2B41"/>
    <w:rsid w:val="005F0B42"/>
    <w:rsid w:val="00635EAC"/>
    <w:rsid w:val="006613AA"/>
    <w:rsid w:val="0068175B"/>
    <w:rsid w:val="00681A10"/>
    <w:rsid w:val="006A1ED8"/>
    <w:rsid w:val="006C2031"/>
    <w:rsid w:val="006C6883"/>
    <w:rsid w:val="006D461A"/>
    <w:rsid w:val="006D607C"/>
    <w:rsid w:val="006F0B59"/>
    <w:rsid w:val="006F35EE"/>
    <w:rsid w:val="007021FF"/>
    <w:rsid w:val="007041C6"/>
    <w:rsid w:val="00707123"/>
    <w:rsid w:val="00712895"/>
    <w:rsid w:val="00757357"/>
    <w:rsid w:val="00782C09"/>
    <w:rsid w:val="007B4310"/>
    <w:rsid w:val="007B48A3"/>
    <w:rsid w:val="007D3BD5"/>
    <w:rsid w:val="007D5A02"/>
    <w:rsid w:val="007F4F87"/>
    <w:rsid w:val="007F533E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B152E"/>
    <w:rsid w:val="009D4432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356FC"/>
    <w:rsid w:val="00C60F0C"/>
    <w:rsid w:val="00C805C9"/>
    <w:rsid w:val="00C92939"/>
    <w:rsid w:val="00CA1679"/>
    <w:rsid w:val="00CA6EC1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C79D3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23BCAE"/>
  <w15:docId w15:val="{F0D6A951-B8D6-4597-87E7-AFE0BFC4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8</Pages>
  <Words>3031</Words>
  <Characters>21082</Characters>
  <Application>Microsoft Office Word</Application>
  <DocSecurity>0</DocSecurity>
  <Lines>367</Lines>
  <Paragraphs>80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A/HRC/44/L.11</vt:lpstr>
      <vt:lpstr>A/</vt:lpstr>
      <vt:lpstr>A/</vt:lpstr>
      <vt:lpstr>A/</vt:lpstr>
    </vt:vector>
  </TitlesOfParts>
  <Company>DCM</Company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A/HRC/44/L.11</dc:title>
  <dc:subject/>
  <dc:creator>Marina KOROTKOVA</dc:creator>
  <cp:keywords/>
  <cp:lastModifiedBy>Anna Petelina</cp:lastModifiedBy>
  <cp:revision>3</cp:revision>
  <cp:lastPrinted>2020-07-15T07:00:00Z</cp:lastPrinted>
  <dcterms:created xsi:type="dcterms:W3CDTF">2020-07-15T07:00:00Z</dcterms:created>
  <dcterms:modified xsi:type="dcterms:W3CDTF">2020-07-15T07:00:00Z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