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6E95303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B61555" w14:textId="77777777" w:rsidR="002D5AAC" w:rsidRDefault="002D5AAC" w:rsidP="007B29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5D124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92202E" w14:textId="77777777" w:rsidR="002D5AAC" w:rsidRDefault="007B2922" w:rsidP="007B2922">
            <w:pPr>
              <w:jc w:val="right"/>
            </w:pPr>
            <w:r w:rsidRPr="007B2922">
              <w:rPr>
                <w:sz w:val="40"/>
              </w:rPr>
              <w:t>A</w:t>
            </w:r>
            <w:r>
              <w:t>/HRC/44/L.17/Rev.1</w:t>
            </w:r>
          </w:p>
        </w:tc>
      </w:tr>
      <w:tr w:rsidR="002D5AAC" w:rsidRPr="007B2922" w14:paraId="33546BD1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226CCF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35EE2D" wp14:editId="6DFF26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B52F6B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8E8FD20" w14:textId="77777777" w:rsidR="002D5AAC" w:rsidRDefault="007B2922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4D43ABFC" w14:textId="77777777" w:rsidR="007B2922" w:rsidRDefault="007B2922" w:rsidP="007B29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3829C9F3" w14:textId="77777777" w:rsidR="007B2922" w:rsidRDefault="007B2922" w:rsidP="007B29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353C3B" w14:textId="77777777" w:rsidR="007B2922" w:rsidRPr="00E71476" w:rsidRDefault="007B2922" w:rsidP="007B29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B8F63C" w14:textId="77777777" w:rsidR="007B2922" w:rsidRPr="00BE09F0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ACB364F" w14:textId="77777777" w:rsidR="00BE09F0" w:rsidRPr="00842649" w:rsidRDefault="00BE09F0" w:rsidP="00BE09F0">
      <w:pPr>
        <w:rPr>
          <w:b/>
        </w:rPr>
      </w:pPr>
      <w:r>
        <w:rPr>
          <w:b/>
          <w:bCs/>
        </w:rPr>
        <w:t>Сорок четвертая сессия</w:t>
      </w:r>
    </w:p>
    <w:p w14:paraId="60EF5EB9" w14:textId="77777777" w:rsidR="00BE09F0" w:rsidRPr="00842649" w:rsidRDefault="00BE09F0" w:rsidP="00BE09F0">
      <w:r>
        <w:t>30 июня – 17 июля 2020 года</w:t>
      </w:r>
    </w:p>
    <w:p w14:paraId="5A11B9F2" w14:textId="77777777" w:rsidR="00BE09F0" w:rsidRPr="00842649" w:rsidRDefault="00BE09F0" w:rsidP="00BE09F0">
      <w:r>
        <w:t>Пункт 8 повестки дня</w:t>
      </w:r>
    </w:p>
    <w:p w14:paraId="7517517A" w14:textId="77777777" w:rsidR="00BE09F0" w:rsidRPr="00AE6A38" w:rsidRDefault="00BE09F0" w:rsidP="00BE09F0">
      <w:r>
        <w:rPr>
          <w:b/>
          <w:bCs/>
        </w:rPr>
        <w:t xml:space="preserve">Последующие меры и осуществление </w:t>
      </w:r>
      <w:r>
        <w:rPr>
          <w:b/>
          <w:bCs/>
        </w:rPr>
        <w:br/>
        <w:t>Венской декларации и Программы действий</w:t>
      </w:r>
    </w:p>
    <w:p w14:paraId="1A9DA9FC" w14:textId="77777777" w:rsidR="00BE09F0" w:rsidRPr="00842649" w:rsidRDefault="00BE09F0" w:rsidP="00BE09F0">
      <w:pPr>
        <w:pStyle w:val="H23G"/>
      </w:pPr>
      <w:r>
        <w:tab/>
      </w:r>
      <w:r>
        <w:tab/>
        <w:t>Австралия, Армения, Болгария, Венгрия</w:t>
      </w:r>
      <w:r w:rsidRPr="006E7C7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>, Грузия</w:t>
      </w:r>
      <w:r w:rsidRPr="006E7C7E">
        <w:rPr>
          <w:b w:val="0"/>
          <w:bCs/>
        </w:rPr>
        <w:t>*</w:t>
      </w:r>
      <w:r>
        <w:t>, Дания, Исландия</w:t>
      </w:r>
      <w:r w:rsidRPr="006E7C7E">
        <w:rPr>
          <w:b w:val="0"/>
          <w:bCs/>
        </w:rPr>
        <w:t>*</w:t>
      </w:r>
      <w:r>
        <w:t>, Испания,</w:t>
      </w:r>
      <w:r w:rsidRPr="000416FF">
        <w:t xml:space="preserve"> </w:t>
      </w:r>
      <w:r>
        <w:t>Канада</w:t>
      </w:r>
      <w:r w:rsidRPr="006E7C7E">
        <w:rPr>
          <w:b w:val="0"/>
          <w:bCs/>
        </w:rPr>
        <w:t>*</w:t>
      </w:r>
      <w:r w:rsidRPr="0017183F">
        <w:t xml:space="preserve">, </w:t>
      </w:r>
      <w:r>
        <w:t>Люксембург</w:t>
      </w:r>
      <w:r w:rsidRPr="006E7C7E">
        <w:rPr>
          <w:b w:val="0"/>
          <w:bCs/>
        </w:rPr>
        <w:t>*</w:t>
      </w:r>
      <w:r>
        <w:t>, Мальдивские Острова</w:t>
      </w:r>
      <w:r w:rsidRPr="006E7C7E">
        <w:rPr>
          <w:b w:val="0"/>
          <w:bCs/>
        </w:rPr>
        <w:t>*</w:t>
      </w:r>
      <w:r>
        <w:t>, Мексика, Монако</w:t>
      </w:r>
      <w:r w:rsidRPr="006E7C7E">
        <w:rPr>
          <w:b w:val="0"/>
          <w:bCs/>
        </w:rPr>
        <w:t>*</w:t>
      </w:r>
      <w:r>
        <w:t>, Нидерланды, Новая Зеландия</w:t>
      </w:r>
      <w:r w:rsidRPr="006E7C7E">
        <w:rPr>
          <w:b w:val="0"/>
          <w:bCs/>
        </w:rPr>
        <w:t>*</w:t>
      </w:r>
      <w:r>
        <w:t>, Парагвай</w:t>
      </w:r>
      <w:r w:rsidRPr="006E7C7E">
        <w:rPr>
          <w:b w:val="0"/>
          <w:bCs/>
        </w:rPr>
        <w:t>*</w:t>
      </w:r>
      <w:r>
        <w:t>, Португалия</w:t>
      </w:r>
      <w:r w:rsidRPr="006E7C7E">
        <w:rPr>
          <w:b w:val="0"/>
          <w:bCs/>
        </w:rPr>
        <w:t>*</w:t>
      </w:r>
      <w:r>
        <w:t>, Румыния</w:t>
      </w:r>
      <w:r w:rsidRPr="006E7C7E">
        <w:rPr>
          <w:b w:val="0"/>
          <w:bCs/>
        </w:rPr>
        <w:t>*</w:t>
      </w:r>
      <w:r>
        <w:t>, Соединенное Королевство Великобритании и Северной Ирландии</w:t>
      </w:r>
      <w:r w:rsidRPr="006E7C7E">
        <w:rPr>
          <w:b w:val="0"/>
          <w:bCs/>
        </w:rPr>
        <w:t>*</w:t>
      </w:r>
      <w:r>
        <w:t>, Таиланд</w:t>
      </w:r>
      <w:r w:rsidRPr="006E7C7E">
        <w:rPr>
          <w:b w:val="0"/>
          <w:bCs/>
        </w:rPr>
        <w:t>*</w:t>
      </w:r>
      <w:r>
        <w:t>, Того, Турция</w:t>
      </w:r>
      <w:r w:rsidRPr="006E7C7E">
        <w:rPr>
          <w:b w:val="0"/>
          <w:bCs/>
        </w:rPr>
        <w:t>*</w:t>
      </w:r>
      <w:r>
        <w:t>, Фиджи, Финляндия</w:t>
      </w:r>
      <w:r w:rsidRPr="006E7C7E">
        <w:rPr>
          <w:b w:val="0"/>
          <w:bCs/>
        </w:rPr>
        <w:t>*</w:t>
      </w:r>
      <w:r>
        <w:t>, Франция</w:t>
      </w:r>
      <w:r w:rsidRPr="006E7C7E">
        <w:rPr>
          <w:b w:val="0"/>
          <w:bCs/>
        </w:rPr>
        <w:t>*</w:t>
      </w:r>
      <w:r>
        <w:t>, Хорватия</w:t>
      </w:r>
      <w:r w:rsidRPr="006E7C7E">
        <w:rPr>
          <w:b w:val="0"/>
          <w:bCs/>
        </w:rPr>
        <w:t>*</w:t>
      </w:r>
      <w:r>
        <w:t xml:space="preserve">, </w:t>
      </w:r>
      <w:r w:rsidRPr="00A10EA1">
        <w:rPr>
          <w:rFonts w:asciiTheme="majorBidi" w:hAnsiTheme="majorBidi" w:cstheme="majorBidi"/>
        </w:rPr>
        <w:t>Чехия</w:t>
      </w:r>
      <w:r>
        <w:rPr>
          <w:rFonts w:asciiTheme="majorBidi" w:hAnsiTheme="majorBidi" w:cstheme="majorBidi"/>
        </w:rPr>
        <w:t xml:space="preserve"> и</w:t>
      </w:r>
      <w:r>
        <w:rPr>
          <w:rFonts w:ascii="Segoe UI" w:hAnsi="Segoe UI" w:cs="Segoe UI"/>
        </w:rPr>
        <w:t xml:space="preserve"> </w:t>
      </w:r>
      <w:r>
        <w:t>Эквадор</w:t>
      </w:r>
      <w:r w:rsidRPr="006E7C7E">
        <w:rPr>
          <w:b w:val="0"/>
          <w:bCs/>
        </w:rPr>
        <w:t>*</w:t>
      </w:r>
      <w:r>
        <w:t>: проект резолюции</w:t>
      </w:r>
    </w:p>
    <w:p w14:paraId="2D8EFB58" w14:textId="77777777" w:rsidR="00BE09F0" w:rsidRPr="00842649" w:rsidRDefault="00BE09F0" w:rsidP="00BE09F0">
      <w:pPr>
        <w:pStyle w:val="H1G"/>
        <w:tabs>
          <w:tab w:val="left" w:pos="1985"/>
        </w:tabs>
      </w:pPr>
      <w:r>
        <w:tab/>
      </w:r>
      <w:r>
        <w:tab/>
      </w:r>
      <w:r>
        <w:rPr>
          <w:bCs/>
        </w:rPr>
        <w:t>44/…</w:t>
      </w:r>
      <w:r>
        <w:tab/>
      </w:r>
      <w:r>
        <w:rPr>
          <w:bCs/>
        </w:rPr>
        <w:t xml:space="preserve">Роль уважения всех прав человека и основных свобод </w:t>
      </w:r>
      <w:r>
        <w:rPr>
          <w:bCs/>
        </w:rPr>
        <w:br/>
      </w:r>
      <w:r>
        <w:rPr>
          <w:bCs/>
        </w:rPr>
        <w:tab/>
        <w:t>в достижении целей</w:t>
      </w:r>
      <w:r w:rsidRPr="005901E2">
        <w:rPr>
          <w:bCs/>
        </w:rPr>
        <w:t xml:space="preserve"> </w:t>
      </w:r>
      <w:r>
        <w:rPr>
          <w:bCs/>
        </w:rPr>
        <w:t xml:space="preserve">и соблюдении принципов Устава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>Организации Объединенных Наций</w:t>
      </w:r>
    </w:p>
    <w:p w14:paraId="614D2DCB" w14:textId="77777777" w:rsidR="00BE09F0" w:rsidRDefault="00BE09F0" w:rsidP="00BE09F0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17183F">
        <w:t>,</w:t>
      </w:r>
    </w:p>
    <w:p w14:paraId="68E2A1E1" w14:textId="77777777" w:rsidR="00BE09F0" w:rsidRPr="007F3BEC" w:rsidRDefault="00BE09F0" w:rsidP="00BE09F0">
      <w:pPr>
        <w:pStyle w:val="SingleTxtG"/>
        <w:ind w:firstLine="567"/>
      </w:pPr>
      <w:r>
        <w:rPr>
          <w:i/>
          <w:iCs/>
        </w:rPr>
        <w:t>руководствуясь</w:t>
      </w:r>
      <w:r>
        <w:t xml:space="preserve"> целями и принципами Устава Организации Объединенных Наций,</w:t>
      </w:r>
    </w:p>
    <w:p w14:paraId="59692C79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Всеобщую декларацию прав человека и </w:t>
      </w:r>
      <w:proofErr w:type="gramStart"/>
      <w:r>
        <w:t>Венскую декларацию</w:t>
      </w:r>
      <w:proofErr w:type="gramEnd"/>
      <w:r>
        <w:t xml:space="preserve"> и Программу действий, а также то, что все права человека являются универсальными, неделимыми, взаимосвязанными, взаимозависимыми и </w:t>
      </w:r>
      <w:proofErr w:type="spellStart"/>
      <w:r>
        <w:t>взаимоукрепляющими</w:t>
      </w:r>
      <w:proofErr w:type="spellEnd"/>
      <w:r>
        <w:t xml:space="preserve"> и что ко всем правам человека необходимо относиться на справедливой и равной основе, с одинаковым подходом и вниманием, </w:t>
      </w:r>
    </w:p>
    <w:p w14:paraId="32DC01D6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Международный пакт об экономических, социальных и культурных правах, Международный пакт о гражданских и политических правах, а также на все другие договоры по правам человека, </w:t>
      </w:r>
    </w:p>
    <w:p w14:paraId="3D3F4D74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мир и безопасность, развитие и права человека являются опорами системы Организации Объединенных Наций и фундаментом коллективной безопасности и благосостояния, и подчеркивая, что развитие, мир и безопасность и права человека взаимосвязаны и взаимно укрепляют друг друга, </w:t>
      </w:r>
    </w:p>
    <w:p w14:paraId="408B2565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резолюцию 60/251 Генеральной Ассамблеи от 15 марта 2006 года, в которой Ассамблея учредила Совет по правам человека и постановила, что Совет должен отвечать за содействие всеобщему уважению и защите всех прав человека и основных свобод для всех без каких-либ</w:t>
      </w:r>
      <w:bookmarkStart w:id="0" w:name="_GoBack"/>
      <w:bookmarkEnd w:id="0"/>
      <w:r>
        <w:t xml:space="preserve">о различий и на справедливой и равной основе и что в своей работе Совет должен руководствоваться принципами универсальности, беспристрастности, объективности и </w:t>
      </w:r>
      <w:proofErr w:type="spellStart"/>
      <w:r>
        <w:t>неизбирательности</w:t>
      </w:r>
      <w:proofErr w:type="spellEnd"/>
      <w:r>
        <w:t xml:space="preserve">, конструктивного международного диалога и сотрудничества в целях содействия </w:t>
      </w:r>
      <w:r>
        <w:lastRenderedPageBreak/>
        <w:t>поощрению и защите всех прав</w:t>
      </w:r>
      <w:r w:rsidRPr="00AE6A38">
        <w:t xml:space="preserve"> </w:t>
      </w:r>
      <w:r>
        <w:t>человека – гражданских, политических, экономических, социальных и</w:t>
      </w:r>
      <w:r w:rsidRPr="00AE6A38">
        <w:t xml:space="preserve"> </w:t>
      </w:r>
      <w:r>
        <w:t xml:space="preserve">культурных прав, включая право на развитие, </w:t>
      </w:r>
    </w:p>
    <w:p w14:paraId="35266DC2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напоминая</w:t>
      </w:r>
      <w:r>
        <w:t xml:space="preserve">, что Совет по правам человека был уполномочен Генеральной Ассамблеей рассматривать ситуации, связанные с нарушением прав человека, включая грубые и систематические нарушения, и что он должен также содействовать эффективной координации и интеграции деятельности, касающейся прав человека, в рамках системы Организации Объединенных Наций, </w:t>
      </w:r>
    </w:p>
    <w:p w14:paraId="1E4D6BB1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Повестка дня в области устойчивого развития на период до 2030 года основывается на целях и принципах Устава, включая полное уважение международного права, что в ней воплощены положения Всеобщей декларации прав человека, международных договоров по правам человека, Декларации тысячелетия Организации Объединенных Наций и Итогового документа Всемирного саммита 2005 года и учитываются положения других документов, таких как Декларация о праве на развитие, </w:t>
      </w:r>
    </w:p>
    <w:p w14:paraId="1B293254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резолюцию 69/313 Генеральной Ассамблеи от 27 июля 2015 года по </w:t>
      </w:r>
      <w:proofErr w:type="spellStart"/>
      <w:r>
        <w:t>Аддис-Абебской</w:t>
      </w:r>
      <w:proofErr w:type="spellEnd"/>
      <w:r>
        <w:t xml:space="preserve"> программе действий третьей Международной конференции по финансированию развития, которая является неотъемлемой частью Повестки дня на период до 2030 года, </w:t>
      </w:r>
    </w:p>
    <w:p w14:paraId="167C8FDE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памятуя</w:t>
      </w:r>
      <w:r>
        <w:t xml:space="preserve"> о том, что в 2020 году исполняется семьдесят пятая годовщина Организации Объединенных Наций, которая совпадает с пятой годовщиной принятия Повестки дня в области устойчивого развития на период до 2030 года, и вновь подтверждая, что, хотя в части некоторых Целей и задач в области устойчивого развития достигнут прогресс, его темпы недостаточны для реализации этой амбициозной повестки дня и являются неравномерными в разных странах и регионах и что необходимо безотлагательно добиться прогресса в деле выполнения всех задач, </w:t>
      </w:r>
    </w:p>
    <w:p w14:paraId="43A7F8D6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, что поощрение и защита прав человека и осуществление Повестки дня на период до 2030 года являются взаимосвязанными и </w:t>
      </w:r>
      <w:proofErr w:type="spellStart"/>
      <w:r>
        <w:t>взаимоукрепляющими</w:t>
      </w:r>
      <w:proofErr w:type="spellEnd"/>
      <w:r>
        <w:t xml:space="preserve"> процессами, и констатируя, что Повестка дня на период до 2030 года содержит обязательство никого не забыть и предлагает концепцию мира, в котором обеспечиваются всеобщее уважение к правам человека и человеческому достоинству, верховенство права, справедливость, равенство и недискриминация, </w:t>
      </w:r>
    </w:p>
    <w:p w14:paraId="1E0204A2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признавая также</w:t>
      </w:r>
      <w:r>
        <w:t xml:space="preserve">, что поощрение и защита прав человека и создание или восстановление жизнестойких, инклюзивных, справедливых и мирных обществ являются взаимосвязанными и </w:t>
      </w:r>
      <w:proofErr w:type="spellStart"/>
      <w:r>
        <w:t>взаимоукрепляющими</w:t>
      </w:r>
      <w:proofErr w:type="spellEnd"/>
      <w:r>
        <w:t xml:space="preserve"> процессами,</w:t>
      </w:r>
    </w:p>
    <w:p w14:paraId="4E787AFD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отмечая</w:t>
      </w:r>
      <w:r>
        <w:t xml:space="preserve"> «Призыв к действиям в интересах прав человека», с которым Генеральный секретарь выступил 24 февраля 2020 года в ходе сорок третьей сессии Совета по правам человека и в котором он, в частности, напоминает о том, что права человека занимают центральное место в работе Организации Объединенных Наций,</w:t>
      </w:r>
    </w:p>
    <w:p w14:paraId="7F132854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признавая</w:t>
      </w:r>
      <w:r>
        <w:t xml:space="preserve"> важность обеспечения надлежащего финансирования правозащитной составляющей деятельности Организации Объединенных Наций, с тем чтобы она могла выполнять свои функции и достигать своих целей в рамках Организации, подчеркивая при этом, что из регулярного бюджета Организации Объединенных Наций должны финансироваться все виды деятельности, утвержденные Генеральной Ассамблеей и ее вспомогательными органами, включая Совет по правам человека, </w:t>
      </w:r>
    </w:p>
    <w:p w14:paraId="1CFF185A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тему, которой будет посвящена семьдесят пятая годовщина Организации Объединенных Наций, а именно «Будущее, которого мы хотим, Организация Объединенных Наций, которая нам нужна: подтверждение нашей коллективной приверженности многосторонности», </w:t>
      </w:r>
    </w:p>
    <w:p w14:paraId="0155F5AA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вновь заявляя о своей глубокой обеспокоенности</w:t>
      </w:r>
      <w:r>
        <w:t xml:space="preserve"> по поводу гибели людей и утраты средств к существованию, а также дестабилизации в экономике и обществе в результате пандемии COVID-19 и ее негативного воздействия на осуществление прав человека во всем мире, особенно ее несоразмерного воздействия на лиц, принадлежащих к уязвимым группам и находящихся в </w:t>
      </w:r>
      <w:proofErr w:type="spellStart"/>
      <w:r>
        <w:t>маргинализованном</w:t>
      </w:r>
      <w:proofErr w:type="spellEnd"/>
      <w:r>
        <w:t xml:space="preserve"> положении,</w:t>
      </w:r>
    </w:p>
    <w:p w14:paraId="59BE1A60" w14:textId="77777777" w:rsidR="00BE09F0" w:rsidRPr="009E2F5D" w:rsidRDefault="00BE09F0" w:rsidP="00BE09F0">
      <w:pPr>
        <w:pStyle w:val="SingleTxtG"/>
        <w:ind w:firstLine="567"/>
      </w:pPr>
      <w:r>
        <w:rPr>
          <w:i/>
          <w:iCs/>
        </w:rPr>
        <w:t>подчеркивая</w:t>
      </w:r>
      <w:r>
        <w:t xml:space="preserve">, что уважение прав человека, которые являются универсальными, неделимыми, взаимозависимыми, взаимосвязанными и </w:t>
      </w:r>
      <w:proofErr w:type="spellStart"/>
      <w:r>
        <w:t>взаимоукрепляющими</w:t>
      </w:r>
      <w:proofErr w:type="spellEnd"/>
      <w:r>
        <w:t xml:space="preserve">, имеет решающее значение для всех стратегий и программ, направленных на обеспечение устойчивого и инклюзивного развития, мира и безопасности, </w:t>
      </w:r>
    </w:p>
    <w:p w14:paraId="6D06C7BD" w14:textId="77777777" w:rsidR="00BE09F0" w:rsidRPr="009E2F5D" w:rsidRDefault="00BE09F0" w:rsidP="00BE09F0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работу Генерального секретаря по привлечению внимания к правам человека как к центральному направлению деятельности Организации Объединенных Наций;</w:t>
      </w:r>
    </w:p>
    <w:p w14:paraId="3829946C" w14:textId="77777777" w:rsidR="00BE09F0" w:rsidRPr="009E2F5D" w:rsidRDefault="00BE09F0" w:rsidP="00BE09F0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вновь подтверждает</w:t>
      </w:r>
      <w:r>
        <w:t xml:space="preserve"> по случаю семьдесят пятой годовщины Организации Объединенных Наций приверженность Совета по правам человека целям и принципам Устава Организации Объединенных Наций и его взаимосвязанным и </w:t>
      </w:r>
      <w:proofErr w:type="spellStart"/>
      <w:r>
        <w:t>взаимоукрепляющим</w:t>
      </w:r>
      <w:proofErr w:type="spellEnd"/>
      <w:r>
        <w:t xml:space="preserve"> постулатам, каковыми являются мир и безопасность, развитие и права человека, которые служат непременными основами более мирного, процветающего и справедливого мира, и вновь заявляет о своей решимости содействовать строгому уважению этих целей и принципов;</w:t>
      </w:r>
    </w:p>
    <w:p w14:paraId="2E2FC954" w14:textId="77777777" w:rsidR="00BE09F0" w:rsidRPr="009E2F5D" w:rsidRDefault="00BE09F0" w:rsidP="00BE09F0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вновь подтверждает также</w:t>
      </w:r>
      <w:r>
        <w:t xml:space="preserve">, что все права человека и основные свободы являются универсальными, неделимыми, взаимозависимыми, взаимосвязанными и </w:t>
      </w:r>
      <w:proofErr w:type="spellStart"/>
      <w:r>
        <w:t>взаимоукрепляющими</w:t>
      </w:r>
      <w:proofErr w:type="spellEnd"/>
      <w:r>
        <w:t>;</w:t>
      </w:r>
    </w:p>
    <w:p w14:paraId="7A4B6A0A" w14:textId="77777777" w:rsidR="00BE09F0" w:rsidRPr="009E2F5D" w:rsidRDefault="00BE09F0" w:rsidP="00BE09F0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призывает</w:t>
      </w:r>
      <w:r>
        <w:t xml:space="preserve"> государства использовать годовщину в качестве возможности для повышения осведомленности о работе Организации Объединенных Наций и важности уважения всех прав человека и основных свобод, международного сотрудничества, единства, солидарности и основанных на многостороннем подходе и прочных международных институтах коллективных действий для решения глобальных проблем; </w:t>
      </w:r>
    </w:p>
    <w:p w14:paraId="3A2FE942" w14:textId="77777777" w:rsidR="00BE09F0" w:rsidRPr="009E2F5D" w:rsidRDefault="00BE09F0" w:rsidP="00BE09F0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подготовить основанный на передовой практике, вызовах и извлеченных уроках доклад о роли уважения всех универсальных, неделимых, взаимозависимых, взаимосвязанных и </w:t>
      </w:r>
      <w:proofErr w:type="spellStart"/>
      <w:r>
        <w:t>взаимоукрепляющих</w:t>
      </w:r>
      <w:proofErr w:type="spellEnd"/>
      <w:r>
        <w:t xml:space="preserve"> прав человека и основных свобод в достижении целей и соблюдении принципов Устава и представить этот доклад Совету по правам человека на его сорок восьмой сессии;</w:t>
      </w:r>
    </w:p>
    <w:p w14:paraId="5B146AE8" w14:textId="77777777" w:rsidR="00BE09F0" w:rsidRPr="009E2F5D" w:rsidRDefault="00BE09F0" w:rsidP="00BE09F0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просит также</w:t>
      </w:r>
      <w:r>
        <w:t xml:space="preserve"> Управление Верховного комиссара запросить в ходе подготовки своего доклада материалы у всех соответствующих заинтересованных сторон, включая государства, организации системы Организации Объединенных Наций, национальные правозащитные учреждения, научные круги, организации гражданского общества и правозащитников;</w:t>
      </w:r>
    </w:p>
    <w:p w14:paraId="39562FA2" w14:textId="77777777" w:rsidR="00BE09F0" w:rsidRDefault="00BE09F0" w:rsidP="00BE09F0">
      <w:pPr>
        <w:pStyle w:val="SingleTxtG"/>
      </w:pPr>
      <w:r>
        <w:tab/>
      </w:r>
      <w:r>
        <w:tab/>
        <w:t>7.</w:t>
      </w:r>
      <w:r>
        <w:tab/>
      </w:r>
      <w:r>
        <w:rPr>
          <w:i/>
          <w:iCs/>
        </w:rPr>
        <w:t>просит далее</w:t>
      </w:r>
      <w:r>
        <w:t xml:space="preserve"> Управление Верховного комиссара обеспечить, чтобы его доклад был опубликован в доступном формате.</w:t>
      </w:r>
    </w:p>
    <w:p w14:paraId="3A6E1C2A" w14:textId="77777777" w:rsidR="00BE09F0" w:rsidRDefault="00BE09F0" w:rsidP="00BE09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3B4795" w14:textId="77777777" w:rsidR="00CB0692" w:rsidRPr="00BE09F0" w:rsidRDefault="00CB0692" w:rsidP="002E5067"/>
    <w:sectPr w:rsidR="00CB0692" w:rsidRPr="00BE09F0" w:rsidSect="007B29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65DE" w14:textId="77777777" w:rsidR="00837329" w:rsidRPr="00A312BC" w:rsidRDefault="00837329" w:rsidP="00A312BC"/>
  </w:endnote>
  <w:endnote w:type="continuationSeparator" w:id="0">
    <w:p w14:paraId="45D7D3ED" w14:textId="77777777" w:rsidR="00837329" w:rsidRPr="00A312BC" w:rsidRDefault="008373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CC7F" w14:textId="77777777" w:rsidR="007B2922" w:rsidRPr="007B2922" w:rsidRDefault="007B2922">
    <w:pPr>
      <w:pStyle w:val="a8"/>
    </w:pPr>
    <w:r w:rsidRPr="007B2922">
      <w:rPr>
        <w:b/>
        <w:sz w:val="18"/>
      </w:rPr>
      <w:fldChar w:fldCharType="begin"/>
    </w:r>
    <w:r w:rsidRPr="007B2922">
      <w:rPr>
        <w:b/>
        <w:sz w:val="18"/>
      </w:rPr>
      <w:instrText xml:space="preserve"> PAGE  \* MERGEFORMAT </w:instrText>
    </w:r>
    <w:r w:rsidRPr="007B2922">
      <w:rPr>
        <w:b/>
        <w:sz w:val="18"/>
      </w:rPr>
      <w:fldChar w:fldCharType="separate"/>
    </w:r>
    <w:r w:rsidRPr="007B2922">
      <w:rPr>
        <w:b/>
        <w:noProof/>
        <w:sz w:val="18"/>
      </w:rPr>
      <w:t>2</w:t>
    </w:r>
    <w:r w:rsidRPr="007B2922">
      <w:rPr>
        <w:b/>
        <w:sz w:val="18"/>
      </w:rPr>
      <w:fldChar w:fldCharType="end"/>
    </w:r>
    <w:r>
      <w:rPr>
        <w:b/>
        <w:sz w:val="18"/>
      </w:rPr>
      <w:tab/>
    </w:r>
    <w:r>
      <w:t>GE.20-09447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03EA" w14:textId="77777777" w:rsidR="007B2922" w:rsidRPr="007B2922" w:rsidRDefault="007B2922" w:rsidP="007B2922">
    <w:pPr>
      <w:pStyle w:val="a8"/>
      <w:tabs>
        <w:tab w:val="clear" w:pos="9639"/>
        <w:tab w:val="right" w:pos="9638"/>
      </w:tabs>
      <w:rPr>
        <w:b/>
        <w:sz w:val="18"/>
      </w:rPr>
    </w:pPr>
    <w:r>
      <w:t>GE.20-09447</w:t>
    </w:r>
    <w:r>
      <w:tab/>
    </w:r>
    <w:r w:rsidRPr="007B2922">
      <w:rPr>
        <w:b/>
        <w:sz w:val="18"/>
      </w:rPr>
      <w:fldChar w:fldCharType="begin"/>
    </w:r>
    <w:r w:rsidRPr="007B2922">
      <w:rPr>
        <w:b/>
        <w:sz w:val="18"/>
      </w:rPr>
      <w:instrText xml:space="preserve"> PAGE  \* MERGEFORMAT </w:instrText>
    </w:r>
    <w:r w:rsidRPr="007B2922">
      <w:rPr>
        <w:b/>
        <w:sz w:val="18"/>
      </w:rPr>
      <w:fldChar w:fldCharType="separate"/>
    </w:r>
    <w:r w:rsidRPr="007B2922">
      <w:rPr>
        <w:b/>
        <w:noProof/>
        <w:sz w:val="18"/>
      </w:rPr>
      <w:t>3</w:t>
    </w:r>
    <w:r w:rsidRPr="007B29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66C7" w14:textId="77777777" w:rsidR="00042B72" w:rsidRPr="007B2922" w:rsidRDefault="007B2922" w:rsidP="007B292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4D5888" wp14:editId="4E4A2D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09447  (</w:t>
    </w:r>
    <w:proofErr w:type="gramEnd"/>
    <w:r>
      <w:t>R)</w:t>
    </w:r>
    <w:r>
      <w:rPr>
        <w:lang w:val="en-US"/>
      </w:rPr>
      <w:t xml:space="preserve">  150720  150720</w:t>
    </w:r>
    <w:r>
      <w:br/>
    </w:r>
    <w:r w:rsidRPr="007B2922">
      <w:rPr>
        <w:rFonts w:ascii="C39T30Lfz" w:hAnsi="C39T30Lfz"/>
        <w:kern w:val="14"/>
        <w:sz w:val="56"/>
      </w:rPr>
      <w:t></w:t>
    </w:r>
    <w:r w:rsidRPr="007B2922">
      <w:rPr>
        <w:rFonts w:ascii="C39T30Lfz" w:hAnsi="C39T30Lfz"/>
        <w:kern w:val="14"/>
        <w:sz w:val="56"/>
      </w:rPr>
      <w:t></w:t>
    </w:r>
    <w:r w:rsidRPr="007B2922">
      <w:rPr>
        <w:rFonts w:ascii="C39T30Lfz" w:hAnsi="C39T30Lfz"/>
        <w:kern w:val="14"/>
        <w:sz w:val="56"/>
      </w:rPr>
      <w:t></w:t>
    </w:r>
    <w:r w:rsidRPr="007B2922">
      <w:rPr>
        <w:rFonts w:ascii="C39T30Lfz" w:hAnsi="C39T30Lfz"/>
        <w:kern w:val="14"/>
        <w:sz w:val="56"/>
      </w:rPr>
      <w:t></w:t>
    </w:r>
    <w:r w:rsidRPr="007B2922">
      <w:rPr>
        <w:rFonts w:ascii="C39T30Lfz" w:hAnsi="C39T30Lfz"/>
        <w:kern w:val="14"/>
        <w:sz w:val="56"/>
      </w:rPr>
      <w:t></w:t>
    </w:r>
    <w:r w:rsidRPr="007B2922">
      <w:rPr>
        <w:rFonts w:ascii="C39T30Lfz" w:hAnsi="C39T30Lfz"/>
        <w:kern w:val="14"/>
        <w:sz w:val="56"/>
      </w:rPr>
      <w:t></w:t>
    </w:r>
    <w:r w:rsidRPr="007B2922">
      <w:rPr>
        <w:rFonts w:ascii="C39T30Lfz" w:hAnsi="C39T30Lfz"/>
        <w:kern w:val="14"/>
        <w:sz w:val="56"/>
      </w:rPr>
      <w:t></w:t>
    </w:r>
    <w:r w:rsidRPr="007B2922">
      <w:rPr>
        <w:rFonts w:ascii="C39T30Lfz" w:hAnsi="C39T30Lfz"/>
        <w:kern w:val="14"/>
        <w:sz w:val="56"/>
      </w:rPr>
      <w:t></w:t>
    </w:r>
    <w:r w:rsidRPr="007B292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FAAF6C" wp14:editId="1728A5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F44D" w14:textId="77777777" w:rsidR="00837329" w:rsidRPr="001075E9" w:rsidRDefault="008373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E15A9A" w14:textId="77777777" w:rsidR="00837329" w:rsidRDefault="008373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684606" w14:textId="77777777" w:rsidR="00BE09F0" w:rsidRPr="00423F70" w:rsidRDefault="00BE09F0" w:rsidP="00BE09F0">
      <w:pPr>
        <w:pStyle w:val="ad"/>
      </w:pPr>
      <w:r>
        <w:tab/>
      </w:r>
      <w:r w:rsidRPr="00AE6A38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6026" w14:textId="144A2D3D" w:rsidR="007B2922" w:rsidRPr="007B2922" w:rsidRDefault="007B2922">
    <w:pPr>
      <w:pStyle w:val="a5"/>
    </w:pPr>
    <w:fldSimple w:instr=" TITLE  \* MERGEFORMAT ">
      <w:r w:rsidR="00491527">
        <w:t>A/HRC/44/L.17/Rev.1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614D" w14:textId="772C4F96" w:rsidR="007B2922" w:rsidRPr="007B2922" w:rsidRDefault="007B2922" w:rsidP="007B2922">
    <w:pPr>
      <w:pStyle w:val="a5"/>
      <w:jc w:val="right"/>
    </w:pPr>
    <w:fldSimple w:instr=" TITLE  \* MERGEFORMAT ">
      <w:r w:rsidR="00491527">
        <w:t>A/HRC/44/L.17/Rev.1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2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7183F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91527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B2922"/>
    <w:rsid w:val="007D3BD5"/>
    <w:rsid w:val="007D5A02"/>
    <w:rsid w:val="007F5B61"/>
    <w:rsid w:val="00825F8D"/>
    <w:rsid w:val="00834B71"/>
    <w:rsid w:val="00837329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BE09F0"/>
    <w:rsid w:val="00C106D6"/>
    <w:rsid w:val="00C212ED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6C3570"/>
  <w15:docId w15:val="{3B606620-8FD0-409B-AD14-B4707280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1059</Words>
  <Characters>7340</Characters>
  <Application>Microsoft Office Word</Application>
  <DocSecurity>0</DocSecurity>
  <Lines>138</Lines>
  <Paragraphs>43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A/HRC/44/L.17/Rev.1</vt:lpstr>
      <vt:lpstr>A/</vt:lpstr>
      <vt:lpstr>A/</vt:lpstr>
      <vt:lpstr>A/</vt:lpstr>
    </vt:vector>
  </TitlesOfParts>
  <Company>DCM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A/HRC/44/L.17/Rev.1</dc:title>
  <dc:subject/>
  <dc:creator>Ekaterina SALYNSKAYA</dc:creator>
  <cp:keywords/>
  <cp:lastModifiedBy>Ekaterina SALYNSKAYA</cp:lastModifiedBy>
  <cp:revision>3</cp:revision>
  <cp:lastPrinted>2020-07-15T07:54:00Z</cp:lastPrinted>
  <dcterms:created xsi:type="dcterms:W3CDTF">2020-07-15T07:54:00Z</dcterms:created>
  <dcterms:modified xsi:type="dcterms:W3CDTF">2020-07-15T07:54:00Z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