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692658BC" w14:textId="77777777" w:rsidTr="00553B00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846CAD3" w14:textId="77777777" w:rsidR="002D5AAC" w:rsidRDefault="002D5AAC" w:rsidP="000A48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EDFF3E5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09C599A" w14:textId="77777777" w:rsidR="002D5AAC" w:rsidRDefault="000A48AA" w:rsidP="000A48AA">
            <w:pPr>
              <w:jc w:val="right"/>
            </w:pPr>
            <w:r w:rsidRPr="000A48AA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/43/</w:t>
            </w:r>
            <w:proofErr w:type="spellStart"/>
            <w:r>
              <w:t>L.31</w:t>
            </w:r>
            <w:proofErr w:type="spellEnd"/>
            <w:r>
              <w:t>/</w:t>
            </w:r>
            <w:proofErr w:type="spellStart"/>
            <w:r>
              <w:t>Rev.1</w:t>
            </w:r>
            <w:proofErr w:type="spellEnd"/>
          </w:p>
        </w:tc>
      </w:tr>
      <w:tr w:rsidR="002D5AAC" w14:paraId="5462481A" w14:textId="77777777" w:rsidTr="00553B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7F2724CC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652F9977" wp14:editId="6E1F696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BB93A8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61C5D17" w14:textId="77777777" w:rsidR="002D5AAC" w:rsidRDefault="000A48AA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limitada</w:t>
            </w:r>
          </w:p>
          <w:p w14:paraId="092BF2A8" w14:textId="77777777" w:rsidR="000A48AA" w:rsidRDefault="000A48AA" w:rsidP="000A48AA">
            <w:pPr>
              <w:spacing w:line="240" w:lineRule="exact"/>
            </w:pPr>
            <w:r>
              <w:t>1</w:t>
            </w:r>
            <w:r w:rsidR="00CB647E">
              <w:t>7</w:t>
            </w:r>
            <w:r>
              <w:t xml:space="preserve"> de junio de 2020</w:t>
            </w:r>
          </w:p>
          <w:p w14:paraId="7608CC74" w14:textId="77777777" w:rsidR="000A48AA" w:rsidRDefault="000A48AA" w:rsidP="000A48AA">
            <w:pPr>
              <w:spacing w:line="240" w:lineRule="exact"/>
            </w:pPr>
            <w:r>
              <w:t>Español</w:t>
            </w:r>
          </w:p>
          <w:p w14:paraId="4A986B89" w14:textId="77777777" w:rsidR="000A48AA" w:rsidRDefault="000A48AA" w:rsidP="000A48AA">
            <w:pPr>
              <w:spacing w:line="240" w:lineRule="exact"/>
            </w:pPr>
            <w:r>
              <w:t>Original: inglés</w:t>
            </w:r>
          </w:p>
        </w:tc>
      </w:tr>
    </w:tbl>
    <w:p w14:paraId="5974E569" w14:textId="77777777" w:rsidR="00553B00" w:rsidRPr="00CB647E" w:rsidRDefault="00553B00" w:rsidP="00CB647E">
      <w:pPr>
        <w:spacing w:before="120"/>
        <w:rPr>
          <w:b/>
          <w:bCs/>
          <w:sz w:val="24"/>
          <w:szCs w:val="24"/>
        </w:rPr>
      </w:pPr>
      <w:r w:rsidRPr="00CB647E">
        <w:rPr>
          <w:b/>
          <w:bCs/>
          <w:sz w:val="24"/>
          <w:szCs w:val="24"/>
        </w:rPr>
        <w:t>Consejo de Derechos Humanos</w:t>
      </w:r>
    </w:p>
    <w:p w14:paraId="7491D06C" w14:textId="77777777" w:rsidR="00553B00" w:rsidRPr="00CB647E" w:rsidRDefault="00553B00" w:rsidP="00CB647E">
      <w:pPr>
        <w:rPr>
          <w:b/>
          <w:bCs/>
        </w:rPr>
      </w:pPr>
      <w:proofErr w:type="spellStart"/>
      <w:r w:rsidRPr="00CB647E">
        <w:rPr>
          <w:b/>
          <w:bCs/>
        </w:rPr>
        <w:t>43</w:t>
      </w:r>
      <w:r w:rsidRPr="00CB647E">
        <w:rPr>
          <w:b/>
          <w:bCs/>
          <w:vertAlign w:val="superscript"/>
        </w:rPr>
        <w:t>er</w:t>
      </w:r>
      <w:proofErr w:type="spellEnd"/>
      <w:r w:rsidRPr="00CB647E">
        <w:rPr>
          <w:b/>
          <w:bCs/>
        </w:rPr>
        <w:t xml:space="preserve"> período de sesiones</w:t>
      </w:r>
    </w:p>
    <w:p w14:paraId="18F5B2ED" w14:textId="77777777" w:rsidR="00553B00" w:rsidRDefault="00553B00" w:rsidP="00CB647E">
      <w:r>
        <w:t>24 de febrero a 20 de marzo de 2020</w:t>
      </w:r>
    </w:p>
    <w:p w14:paraId="24DDF2F5" w14:textId="77777777" w:rsidR="00553B00" w:rsidRDefault="00553B00" w:rsidP="00CB647E">
      <w:r>
        <w:t>Tema 3 de la agenda</w:t>
      </w:r>
    </w:p>
    <w:p w14:paraId="71BE7811" w14:textId="77777777" w:rsidR="00553B00" w:rsidRDefault="00553B00" w:rsidP="00CB647E">
      <w:pPr>
        <w:rPr>
          <w:b/>
        </w:rPr>
      </w:pPr>
      <w:r>
        <w:rPr>
          <w:b/>
          <w:bCs/>
        </w:rPr>
        <w:t>Promoción y protección de todos los derechos humanos,</w:t>
      </w:r>
      <w:r w:rsidR="00CB647E">
        <w:rPr>
          <w:b/>
          <w:bCs/>
        </w:rPr>
        <w:br/>
      </w:r>
      <w:r>
        <w:rPr>
          <w:b/>
          <w:bCs/>
        </w:rPr>
        <w:t xml:space="preserve">civiles, políticos, económicos, sociales y culturales, </w:t>
      </w:r>
      <w:r w:rsidR="00CB647E">
        <w:rPr>
          <w:b/>
          <w:bCs/>
        </w:rPr>
        <w:br/>
      </w:r>
      <w:r>
        <w:rPr>
          <w:b/>
          <w:bCs/>
        </w:rPr>
        <w:t>incluido el derecho al desarrollo</w:t>
      </w:r>
    </w:p>
    <w:p w14:paraId="331126ED" w14:textId="77777777" w:rsidR="00553B00" w:rsidRDefault="00CB647E" w:rsidP="006A0DF2">
      <w:pPr>
        <w:pStyle w:val="H23G"/>
        <w:ind w:right="1133"/>
      </w:pPr>
      <w:r>
        <w:tab/>
      </w:r>
      <w:r>
        <w:tab/>
      </w:r>
      <w:proofErr w:type="spellStart"/>
      <w:r>
        <w:t>Belarús</w:t>
      </w:r>
      <w:proofErr w:type="spellEnd"/>
      <w:r w:rsidRPr="001A4CAD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>
        <w:t>,</w:t>
      </w:r>
      <w:r>
        <w:rPr>
          <w:vertAlign w:val="superscript"/>
        </w:rPr>
        <w:t xml:space="preserve"> </w:t>
      </w:r>
      <w:r>
        <w:t>Burundi</w:t>
      </w:r>
      <w:r w:rsidRPr="00CB647E">
        <w:rPr>
          <w:b w:val="0"/>
          <w:bCs/>
        </w:rPr>
        <w:t>*</w:t>
      </w:r>
      <w:r>
        <w:t>, Camboya</w:t>
      </w:r>
      <w:r w:rsidRPr="00CB647E">
        <w:rPr>
          <w:b w:val="0"/>
          <w:bCs/>
        </w:rPr>
        <w:t>*</w:t>
      </w:r>
      <w:r>
        <w:t>, China</w:t>
      </w:r>
      <w:r w:rsidRPr="00CB647E">
        <w:rPr>
          <w:b w:val="0"/>
          <w:bCs/>
        </w:rPr>
        <w:t>*</w:t>
      </w:r>
      <w:r>
        <w:t>, Cuba</w:t>
      </w:r>
      <w:r w:rsidRPr="00CB647E">
        <w:rPr>
          <w:b w:val="0"/>
          <w:bCs/>
        </w:rPr>
        <w:t>*</w:t>
      </w:r>
      <w:r>
        <w:t>, Federación de Rusia</w:t>
      </w:r>
      <w:r w:rsidRPr="00CB647E">
        <w:rPr>
          <w:b w:val="0"/>
          <w:bCs/>
        </w:rPr>
        <w:t>*</w:t>
      </w:r>
      <w:r>
        <w:t>, Irán</w:t>
      </w:r>
      <w:r w:rsidR="006A0DF2">
        <w:t> </w:t>
      </w:r>
      <w:r>
        <w:t xml:space="preserve">(República Islámica </w:t>
      </w:r>
      <w:proofErr w:type="gramStart"/>
      <w:r>
        <w:t>del)</w:t>
      </w:r>
      <w:r w:rsidR="005B3A7F" w:rsidRPr="005B3A7F">
        <w:rPr>
          <w:b w:val="0"/>
          <w:bCs/>
        </w:rPr>
        <w:t>*</w:t>
      </w:r>
      <w:proofErr w:type="gramEnd"/>
      <w:r>
        <w:t>, Malasia</w:t>
      </w:r>
      <w:r w:rsidRPr="00CB647E">
        <w:rPr>
          <w:b w:val="0"/>
          <w:bCs/>
        </w:rPr>
        <w:t>*</w:t>
      </w:r>
      <w:r>
        <w:t>, Mozambique</w:t>
      </w:r>
      <w:r w:rsidRPr="00CB647E">
        <w:rPr>
          <w:b w:val="0"/>
          <w:bCs/>
        </w:rPr>
        <w:t>*</w:t>
      </w:r>
      <w:r>
        <w:t>, Myanmar</w:t>
      </w:r>
      <w:r w:rsidRPr="00CB647E">
        <w:rPr>
          <w:b w:val="0"/>
          <w:bCs/>
        </w:rPr>
        <w:t>*</w:t>
      </w:r>
      <w:r>
        <w:t>,</w:t>
      </w:r>
      <w:r w:rsidR="00F4113F">
        <w:br/>
      </w:r>
      <w:r>
        <w:t>Pakistán, República Árabe Siria</w:t>
      </w:r>
      <w:r w:rsidRPr="00CB647E">
        <w:rPr>
          <w:b w:val="0"/>
          <w:bCs/>
        </w:rPr>
        <w:t>*</w:t>
      </w:r>
      <w:r>
        <w:t>, República Popular Democrática de</w:t>
      </w:r>
      <w:r w:rsidR="00F4113F">
        <w:br/>
      </w:r>
      <w:r>
        <w:t>Corea</w:t>
      </w:r>
      <w:r w:rsidRPr="00CB647E">
        <w:rPr>
          <w:b w:val="0"/>
          <w:bCs/>
        </w:rPr>
        <w:t>*</w:t>
      </w:r>
      <w:r>
        <w:t>, Somalia, Tailandia</w:t>
      </w:r>
      <w:r w:rsidRPr="00CB647E">
        <w:rPr>
          <w:b w:val="0"/>
          <w:bCs/>
        </w:rPr>
        <w:t>*</w:t>
      </w:r>
      <w:r>
        <w:t>, Venezuela (República Bolivariana de)</w:t>
      </w:r>
      <w:r w:rsidR="00F4113F">
        <w:br/>
      </w:r>
      <w:r>
        <w:t>y Yemen</w:t>
      </w:r>
      <w:r w:rsidRPr="00CB647E">
        <w:rPr>
          <w:b w:val="0"/>
          <w:bCs/>
        </w:rPr>
        <w:t>*</w:t>
      </w:r>
      <w:r w:rsidR="00553B00">
        <w:t>: proyecto</w:t>
      </w:r>
      <w:r w:rsidR="00F4113F">
        <w:t xml:space="preserve"> </w:t>
      </w:r>
      <w:r w:rsidR="00553B00">
        <w:t>de resolución</w:t>
      </w:r>
    </w:p>
    <w:p w14:paraId="340F2A97" w14:textId="77777777" w:rsidR="00553B00" w:rsidRDefault="00CB647E" w:rsidP="00CB647E">
      <w:pPr>
        <w:pStyle w:val="H1G"/>
        <w:tabs>
          <w:tab w:val="left" w:pos="1806"/>
        </w:tabs>
      </w:pPr>
      <w:r>
        <w:tab/>
      </w:r>
      <w:r>
        <w:tab/>
      </w:r>
      <w:r w:rsidR="00553B00">
        <w:t>43/…</w:t>
      </w:r>
      <w:r>
        <w:tab/>
      </w:r>
      <w:r w:rsidR="00553B00">
        <w:t>Promoción de la cooperación mutuamente beneficiosa</w:t>
      </w:r>
      <w:r>
        <w:br/>
      </w:r>
      <w:r>
        <w:tab/>
      </w:r>
      <w:r w:rsidR="00553B00">
        <w:t>en la esfera de los derechos humanos</w:t>
      </w:r>
    </w:p>
    <w:p w14:paraId="44E1AA30" w14:textId="77777777" w:rsidR="00553B00" w:rsidRDefault="00553B00" w:rsidP="00553B00">
      <w:pPr>
        <w:pStyle w:val="SingleTxtG"/>
      </w:pPr>
      <w:r>
        <w:tab/>
      </w:r>
      <w:r>
        <w:rPr>
          <w:i/>
          <w:iCs/>
        </w:rPr>
        <w:t>El Consejo de Derechos Humanos</w:t>
      </w:r>
      <w:r w:rsidRPr="00CB647E">
        <w:rPr>
          <w:iCs/>
        </w:rPr>
        <w:t>,</w:t>
      </w:r>
    </w:p>
    <w:p w14:paraId="204ACA48" w14:textId="77777777" w:rsidR="00553B00" w:rsidRDefault="00CB647E" w:rsidP="00553B00">
      <w:pPr>
        <w:pStyle w:val="SingleTxtG"/>
        <w:rPr>
          <w:i/>
        </w:rPr>
      </w:pPr>
      <w:r>
        <w:rPr>
          <w:i/>
          <w:iCs/>
        </w:rPr>
        <w:tab/>
      </w:r>
      <w:r w:rsidR="00553B00">
        <w:rPr>
          <w:i/>
          <w:iCs/>
        </w:rPr>
        <w:t xml:space="preserve">Guiado </w:t>
      </w:r>
      <w:r w:rsidR="00553B00">
        <w:t>por la Carta de las Naciones Unidas,</w:t>
      </w:r>
    </w:p>
    <w:p w14:paraId="703EF3A3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Reafirmando </w:t>
      </w:r>
      <w:r w:rsidR="00553B00">
        <w:t>la Declaración Universal de Derechos Humanos y la Declaración y el Programa de Acción de Viena, y recordando todos los tratados internacionales de derechos humanos pertinentes, incluidos el Pacto Internacional de Derechos Civiles y Políticos y el Pacto Internacional de Derechos Económicos, Sociales y Culturales,</w:t>
      </w:r>
    </w:p>
    <w:p w14:paraId="3A1598FE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Recordando </w:t>
      </w:r>
      <w:r w:rsidR="00553B00">
        <w:t>las resoluciones anteriores aprobadas por la Asamblea General y el Consejo de Derechos Humanos sobre la cooperación internacional en la esfera de los derechos humanos,</w:t>
      </w:r>
    </w:p>
    <w:p w14:paraId="699B2DF3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Reafirmando </w:t>
      </w:r>
      <w:r w:rsidR="00553B00">
        <w:t>que todos los derechos humanos son universales e indivisibles, están relacionados entre sí, son interdependientes y se refuerzan mutuamente, y que deben tratarse de manera justa y equitativa, en pie de igualdad y dando a todos el mismo peso,</w:t>
      </w:r>
    </w:p>
    <w:p w14:paraId="013EAFC7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Reafirmando también </w:t>
      </w:r>
      <w:r w:rsidR="00553B00">
        <w:t>que todos los derechos humanos tienen su origen en la dignidad y el valor de la persona humana, y que esta es el sujeto central de los derechos humanos y las libertades fundamentales, por lo que debe ser el principal beneficiario de esos derechos y libertades y debe intervenir activamente para hacerlos efectivos,</w:t>
      </w:r>
    </w:p>
    <w:p w14:paraId="5CEA195E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>Reafirmando además</w:t>
      </w:r>
      <w:r w:rsidR="00553B00">
        <w:t xml:space="preserve"> que, si bien es necesario tener en cuenta la importancia de las peculiaridades nacionales y regionales y los diversos antecedentes históricos, culturales y religiosos, todos los Estados, independientemente de cuál sea su sistema político, económico y cultural, tienen la obligación de promover y proteger todos los derechos humanos y libertades fundamentales,</w:t>
      </w:r>
    </w:p>
    <w:p w14:paraId="1BDC0E35" w14:textId="77777777" w:rsidR="00553B00" w:rsidRDefault="00CB647E" w:rsidP="00553B00">
      <w:pPr>
        <w:pStyle w:val="SingleTxtG"/>
        <w:rPr>
          <w:i/>
        </w:rPr>
      </w:pPr>
      <w:r>
        <w:rPr>
          <w:i/>
          <w:iCs/>
        </w:rPr>
        <w:tab/>
      </w:r>
      <w:r w:rsidR="00553B00">
        <w:rPr>
          <w:i/>
          <w:iCs/>
        </w:rPr>
        <w:t xml:space="preserve">Reconociendo </w:t>
      </w:r>
      <w:r w:rsidR="00553B00">
        <w:t xml:space="preserve">que el enfoque del multilateralismo y la diplomacia podría reforzar la promoción de los tres pilares de las Naciones Unidas, a saber, el desarrollo sostenible, la </w:t>
      </w:r>
      <w:r w:rsidR="00553B00">
        <w:lastRenderedPageBreak/>
        <w:t>paz y la seguridad y los derechos humanos, que están interrelacionados y se refuerzan mutuamente, permitiendo al mismo tiempo cumplir con los respectivos mandatos y la Carta, y reconociendo la urgente necesidad de promover y reforzar el multilateralismo,</w:t>
      </w:r>
    </w:p>
    <w:p w14:paraId="6419CB23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Reconociendo también </w:t>
      </w:r>
      <w:r w:rsidR="00553B00">
        <w:t>el importante papel que puede desempeñar la cooperación mutuamente beneficiosa entre todos los interesados pertinentes para la promoción y protección de todos los derechos humanos en un mundo cada vez más interrelacionado,</w:t>
      </w:r>
    </w:p>
    <w:p w14:paraId="4C92ED48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Poniendo de relieve </w:t>
      </w:r>
      <w:r w:rsidR="00553B00">
        <w:t>la responsabilidad de todos los Estados, de conformidad con la Carta, de respetar los derechos humanos y las libertades fundamentales de todos, sin distinción alguna,</w:t>
      </w:r>
    </w:p>
    <w:p w14:paraId="3BA5CEC1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Reconociendo </w:t>
      </w:r>
      <w:r w:rsidR="00553B00">
        <w:t>la importancia de garantizar la universalidad, objetividad y no selectividad en el examen de las cuestiones de derechos humanos y de eliminar la aplicación de un doble rasero y la politización,</w:t>
      </w:r>
    </w:p>
    <w:p w14:paraId="62F995A8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Reafirmando </w:t>
      </w:r>
      <w:r w:rsidR="00553B00">
        <w:t>que cada Estado tiene el derecho inalienable a elegir libremente y desarrollar, de conformidad con la voluntad soberana de su pueblo, su propio sistema político, social, económico y cultural, sin injerencia de ningún otro Estado o actor no estatal, en estricta conformidad con la Carta, la Declaración Universal de Derechos Humanos y otros instrumentos internacionales pertinentes,</w:t>
      </w:r>
    </w:p>
    <w:p w14:paraId="1BEF3C2E" w14:textId="77777777" w:rsidR="00553B00" w:rsidRDefault="00CB647E" w:rsidP="00553B00">
      <w:pPr>
        <w:pStyle w:val="SingleTxtG"/>
        <w:rPr>
          <w:i/>
        </w:rPr>
      </w:pPr>
      <w:r>
        <w:rPr>
          <w:i/>
          <w:iCs/>
        </w:rPr>
        <w:tab/>
      </w:r>
      <w:r w:rsidR="00553B00">
        <w:rPr>
          <w:i/>
          <w:iCs/>
        </w:rPr>
        <w:t>Reafirmando también</w:t>
      </w:r>
      <w:r w:rsidR="00553B00">
        <w:t xml:space="preserve"> que la labor del Consejo de Derechos Humanos estará guiada por los principios de universalidad, imparcialidad, objetividad y no selectividad, diálogo internacional constructivo y cooperación, a fin de impulsar la promoción y la protección de todos los derechos humanos, civiles, políticos, económicos, sociales y culturales, incluido el derecho al desarrollo,</w:t>
      </w:r>
    </w:p>
    <w:p w14:paraId="43E464A3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>Poniendo de relieve</w:t>
      </w:r>
      <w:r w:rsidR="00553B00">
        <w:t xml:space="preserve"> la necesidad de que todos los interesados adopten un enfoque constructivo y de cooperación para resolver las cuestiones de derechos humanos en los foros internacionales, a fin de contribuir a la promoción y protección de los derechos humanos,</w:t>
      </w:r>
    </w:p>
    <w:p w14:paraId="2BF59656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Reconociendo </w:t>
      </w:r>
      <w:r w:rsidR="00553B00">
        <w:t>la importancia de dar a conocer las mejores prácticas, los resultados positivos y las experiencias en la esfera de los derechos humanos, en particular para promover el aprendizaje y el entendimiento mutuos, impulsar el diálogo y contribuir a fomentar la cooperación técnica entre los Estados,</w:t>
      </w:r>
    </w:p>
    <w:p w14:paraId="079521E9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Considerando </w:t>
      </w:r>
      <w:r w:rsidR="00553B00">
        <w:t>que la cooperación internacional en la esfera de los derechos humanos, efectuada de conformidad con los propósitos y principios enunciados en la Carta y en el derecho internacional y atendiendo a los principios de cooperación y diálogo genuino, contribuye de forma efectiva y práctica a la prevención de las violaciones de los derechos humanos y las libertades fundamentales y al fortalecimiento de la capacidad de los Estados para cumplir sus obligaciones en materia de derechos humanos en beneficio de todos los seres humanos,</w:t>
      </w:r>
    </w:p>
    <w:p w14:paraId="7F4291C0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>Poniendo de relieve</w:t>
      </w:r>
      <w:r w:rsidR="00553B00">
        <w:t xml:space="preserve"> que el diálogo y la cooperación genuinos en la esfera de los derechos humanos deberían ser constructivos y basarse en la universalidad, la indivisibilidad, la no selectividad, la no politización, la igualdad y el respeto mutuo, con el fin de promover la comprensión mutua, ampliar el terreno de entendimiento y reforzar la cooperación constructiva mediante, entre otras cosas, actividades de fomento de la capacidad y cooperación técnica,</w:t>
      </w:r>
    </w:p>
    <w:p w14:paraId="37DE761A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Reconociendo </w:t>
      </w:r>
      <w:r w:rsidR="00553B00">
        <w:t>la importancia de la asistencia técnica y el fomento de la capacidad prestados en consulta con los Estados interesados, y con su consentimiento, para promover la cooperación mutuamente beneficiosa en la esfera de los derechos humanos,</w:t>
      </w:r>
    </w:p>
    <w:p w14:paraId="6C6586F4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Reiterando </w:t>
      </w:r>
      <w:r w:rsidR="00553B00">
        <w:t>la necesidad de otorgar mayor importancia a la función del Consejo de Derechos Humanos en la promoción de la asistencia técnica y el fomento de la capacidad, entre otras formas estudiando maneras para que los Estados expongan sus logros y buenas prácticas en la esfera de los derechos humanos, intercambien experiencias y conocimientos especializados concretos en lo referente a la promoción y protección de los derechos humanos y formulen voluntariamente sus promesas de contribución y compromisos,</w:t>
      </w:r>
    </w:p>
    <w:p w14:paraId="0DF731BC" w14:textId="77777777" w:rsidR="00553B00" w:rsidRDefault="00CB647E" w:rsidP="00553B00">
      <w:pPr>
        <w:pStyle w:val="SingleTxtG"/>
      </w:pPr>
      <w:bookmarkStart w:id="0" w:name="_GoBack"/>
      <w:bookmarkEnd w:id="0"/>
      <w:r>
        <w:rPr>
          <w:i/>
          <w:iCs/>
        </w:rPr>
        <w:lastRenderedPageBreak/>
        <w:tab/>
      </w:r>
      <w:r w:rsidR="00553B00">
        <w:rPr>
          <w:i/>
          <w:iCs/>
        </w:rPr>
        <w:t xml:space="preserve">Reconociendo </w:t>
      </w:r>
      <w:r w:rsidR="00553B00">
        <w:t>el papel que desempeña el examen periódico universal en, entre otras cosas, la promoción de la universalidad, interdependencia, indivisibilidad e interrelación de todos los derechos humanos, el establecimiento de un mecanismo cooperativo basado en información objetiva y fidedigna y en un diálogo interactivo, y el logro de la cobertura universal y la igualdad de trato de todos los Estados, en aras de la promoción y protección de los derechos humanos y la cooperación mutuamente beneficiosa,</w:t>
      </w:r>
    </w:p>
    <w:p w14:paraId="5F3BACC5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 xml:space="preserve">Reconociendo también </w:t>
      </w:r>
      <w:r w:rsidR="00553B00">
        <w:t>que el diálogo entre religiones, culturas y civilizaciones en la esfera de los derechos humanos podría contribuir en gran medida a fortalecer la cooperación internacional en esa esfera,</w:t>
      </w:r>
    </w:p>
    <w:p w14:paraId="0F5FF99B" w14:textId="77777777" w:rsidR="00553B00" w:rsidRDefault="00CB647E" w:rsidP="00553B00">
      <w:pPr>
        <w:pStyle w:val="SingleTxtG"/>
      </w:pPr>
      <w:r>
        <w:rPr>
          <w:i/>
          <w:iCs/>
        </w:rPr>
        <w:tab/>
      </w:r>
      <w:r w:rsidR="00553B00">
        <w:rPr>
          <w:i/>
          <w:iCs/>
        </w:rPr>
        <w:t>Reconociendo además</w:t>
      </w:r>
      <w:r w:rsidR="00553B00">
        <w:t xml:space="preserve"> la importancia de fomentar las relaciones internacionales sobre la base del respeto mutuo, la equidad, la justicia y la cooperación mutuamente beneficiosa, y de construir una comunidad de futuro compartido para los seres humanos en la que todas las personas gocen de sus derechos humanos,</w:t>
      </w:r>
    </w:p>
    <w:p w14:paraId="6FF76255" w14:textId="77777777" w:rsidR="00553B00" w:rsidRDefault="00CB647E" w:rsidP="00553B00">
      <w:pPr>
        <w:pStyle w:val="SingleTxtG"/>
      </w:pPr>
      <w:r>
        <w:tab/>
      </w:r>
      <w:r w:rsidR="00553B00">
        <w:t>1.</w:t>
      </w:r>
      <w:r w:rsidR="00553B00">
        <w:tab/>
      </w:r>
      <w:r w:rsidR="00553B00">
        <w:rPr>
          <w:i/>
          <w:iCs/>
        </w:rPr>
        <w:t>Exhorta</w:t>
      </w:r>
      <w:r w:rsidR="00553B00">
        <w:t xml:space="preserve"> a todos los Estados a defender el multilateralismo y a trabajar de consuno para promover una cooperación mutuamente beneficiosa en la esfera de los derechos humanos, y alienta a otras partes interesadas, entre ellas las organizaciones internacionales y regionales y las organizaciones no gubernamentales, a que contribuyan activamente a esa labor;</w:t>
      </w:r>
    </w:p>
    <w:p w14:paraId="00844B79" w14:textId="77777777" w:rsidR="00553B00" w:rsidRDefault="00CB647E" w:rsidP="00553B00">
      <w:pPr>
        <w:pStyle w:val="SingleTxtG"/>
      </w:pPr>
      <w:r>
        <w:tab/>
      </w:r>
      <w:r w:rsidR="00553B00">
        <w:t>2.</w:t>
      </w:r>
      <w:r w:rsidR="00553B00">
        <w:tab/>
      </w:r>
      <w:r w:rsidR="00553B00">
        <w:rPr>
          <w:i/>
          <w:iCs/>
        </w:rPr>
        <w:t xml:space="preserve">Destaca </w:t>
      </w:r>
      <w:r w:rsidR="00553B00">
        <w:t>la función esencial del Consejo de Derechos Humanos como principal órgano intergubernamental que se ocupa de los derechos humanos en el sistema de las Naciones Unidas, y pone de relieve la necesidad de que el Consejo cumpla su mandato manteniendo un firme compromiso con el multilateralismo mediante la aplicación de los principios de universalidad, imparcialidad, objetividad y no selectividad, diálogo internacional constructivo y cooperación, a fin de mejorar la promoción y la protección de todos los derechos humanos;</w:t>
      </w:r>
    </w:p>
    <w:p w14:paraId="6E500658" w14:textId="77777777" w:rsidR="00553B00" w:rsidRDefault="00CB647E" w:rsidP="00553B00">
      <w:pPr>
        <w:pStyle w:val="SingleTxtG"/>
      </w:pPr>
      <w:r>
        <w:tab/>
      </w:r>
      <w:r w:rsidR="00553B00">
        <w:t>3.</w:t>
      </w:r>
      <w:r w:rsidR="00553B00">
        <w:tab/>
      </w:r>
      <w:r w:rsidR="00553B00">
        <w:rPr>
          <w:i/>
          <w:iCs/>
        </w:rPr>
        <w:t xml:space="preserve">Exhorta </w:t>
      </w:r>
      <w:r w:rsidR="00553B00">
        <w:t>a todos los Estados y otros interesados a que establezcan un diálogo y una cooperación constructivos y genuinos en la esfera de los derechos humanos, sobre la base de la universalidad, la imparcialidad, la objetividad, la indivisibilidad, la no selectividad, la no politización, la igualdad y el respeto mutuo, con el fin de promover la comprensión mutua, ampliar el terreno de entendimiento, reducir las diferencias y reforzar la cooperación constructiva;</w:t>
      </w:r>
    </w:p>
    <w:p w14:paraId="0F105050" w14:textId="77777777" w:rsidR="00553B00" w:rsidRDefault="00CB647E" w:rsidP="00553B00">
      <w:pPr>
        <w:pStyle w:val="SingleTxtG"/>
      </w:pPr>
      <w:r>
        <w:tab/>
      </w:r>
      <w:r w:rsidR="00553B00">
        <w:t>4.</w:t>
      </w:r>
      <w:r w:rsidR="00553B00">
        <w:tab/>
      </w:r>
      <w:r w:rsidR="00553B00">
        <w:rPr>
          <w:i/>
          <w:iCs/>
        </w:rPr>
        <w:t xml:space="preserve">Reitera </w:t>
      </w:r>
      <w:r w:rsidR="00553B00">
        <w:t>el importante papel de la asistencia técnica y el fomento de la capacidad en la promoción y protección de los derechos humanos, exhorta a los Estados a que refuercen la asistencia técnica y el fomento de la capacidad en materia de derechos humanos mediante una cooperación mutuamente beneficiosa, previa solicitud de los Estados beneficiarios y atendiendo las prioridades establecidas por ellos, y a este respecto acoge con beneplácito la cooperación Norte-Sur, Sur-Sur y triangular;</w:t>
      </w:r>
    </w:p>
    <w:p w14:paraId="7FE5D31E" w14:textId="77777777" w:rsidR="00553B00" w:rsidRDefault="00CB647E" w:rsidP="00553B00">
      <w:pPr>
        <w:pStyle w:val="SingleTxtG"/>
      </w:pPr>
      <w:r>
        <w:tab/>
      </w:r>
      <w:r w:rsidR="00553B00">
        <w:t>5.</w:t>
      </w:r>
      <w:r w:rsidR="00553B00">
        <w:tab/>
      </w:r>
      <w:r w:rsidR="00553B00">
        <w:rPr>
          <w:i/>
          <w:iCs/>
        </w:rPr>
        <w:t>Toma nota</w:t>
      </w:r>
      <w:r w:rsidR="00553B00">
        <w:t xml:space="preserve"> del informe del Comité Asesor del Consejo de Derechos Humanos sobre el papel de la asistencia técnica y el fomento de la capacidad en la promoción de la cooperación mutuamente beneficiosa para la promoción y protección de los derechos humanos</w:t>
      </w:r>
      <w:r w:rsidR="00553B00">
        <w:rPr>
          <w:rStyle w:val="Refdenotaalpie"/>
        </w:rPr>
        <w:footnoteReference w:id="2"/>
      </w:r>
      <w:r w:rsidR="00553B00">
        <w:t>;</w:t>
      </w:r>
    </w:p>
    <w:p w14:paraId="2EE11FBC" w14:textId="77777777" w:rsidR="00553B00" w:rsidRDefault="00CB647E" w:rsidP="00553B00">
      <w:pPr>
        <w:pStyle w:val="SingleTxtG"/>
      </w:pPr>
      <w:r>
        <w:tab/>
      </w:r>
      <w:r w:rsidR="00553B00">
        <w:t>6.</w:t>
      </w:r>
      <w:r w:rsidR="00553B00">
        <w:tab/>
      </w:r>
      <w:r w:rsidR="00553B00">
        <w:rPr>
          <w:i/>
          <w:iCs/>
        </w:rPr>
        <w:t>Pone de relieve</w:t>
      </w:r>
      <w:r w:rsidR="00553B00">
        <w:t xml:space="preserve"> la importancia del examen periódico universal, en su calidad de mecanismo basado en la cooperación y el diálogo constructivo cuyo objetivo es, entre otras cosas, mejorar la situación de los derechos humanos sobre el terreno y promover el cumplimiento de las obligaciones y los compromisos asumidos por los Estados en materia de derechos humanos, y exhorta a todos los Estados y a los interesados correspondientes a participar de forma constructiva en dicho mecanismo;</w:t>
      </w:r>
    </w:p>
    <w:p w14:paraId="0D8B3043" w14:textId="77777777" w:rsidR="00553B00" w:rsidRDefault="00CB647E" w:rsidP="00553B00">
      <w:pPr>
        <w:pStyle w:val="SingleTxtG"/>
      </w:pPr>
      <w:r>
        <w:tab/>
      </w:r>
      <w:r w:rsidR="00553B00">
        <w:t>7.</w:t>
      </w:r>
      <w:r w:rsidR="00553B00">
        <w:tab/>
      </w:r>
      <w:r w:rsidR="00553B00">
        <w:rPr>
          <w:i/>
          <w:iCs/>
        </w:rPr>
        <w:t xml:space="preserve">Invita </w:t>
      </w:r>
      <w:r w:rsidR="00553B00">
        <w:t>a los mecanismos y procedimientos de derechos humanos de las Naciones Unidas pertinentes a que sigan prestando atención a la importancia de la cooperación mutuamente beneficiosa para la promoción y protección de todos los derechos humanos;</w:t>
      </w:r>
    </w:p>
    <w:p w14:paraId="2FC74053" w14:textId="77777777" w:rsidR="00553B00" w:rsidRDefault="00CB647E" w:rsidP="00553B00">
      <w:pPr>
        <w:pStyle w:val="SingleTxtG"/>
      </w:pPr>
      <w:r>
        <w:lastRenderedPageBreak/>
        <w:tab/>
      </w:r>
      <w:r w:rsidR="00553B00">
        <w:t>8.</w:t>
      </w:r>
      <w:r w:rsidR="00553B00">
        <w:tab/>
      </w:r>
      <w:r w:rsidR="00553B00">
        <w:rPr>
          <w:i/>
          <w:iCs/>
        </w:rPr>
        <w:t xml:space="preserve">Decide </w:t>
      </w:r>
      <w:r w:rsidR="00553B00">
        <w:t>celebrar, en su 46º período de sesiones, una reunión sobre el tema 3 de su agenda, de dos horas de duración y presidida por el Presidente del Consejo de Derechos Humanos, en la que se trate la importancia de la mitigación de la pobreza para la promoción y protección de los derechos humanos, y en la que participen altos funcionarios de los Estados para intercambiar información sobre las buenas prácticas y la experiencia en sus países en lo que respecta a determinados aspectos de la promoción y protección de los derechos humanos, y alienta a los Estados a que aprovechen esa oportunidad para facilitar la cooperación técnica pertinente;</w:t>
      </w:r>
    </w:p>
    <w:p w14:paraId="09FB7CA8" w14:textId="77777777" w:rsidR="00553B00" w:rsidRDefault="00CB647E" w:rsidP="00553B00">
      <w:pPr>
        <w:pStyle w:val="SingleTxtG"/>
      </w:pPr>
      <w:r>
        <w:tab/>
      </w:r>
      <w:r w:rsidR="00553B00">
        <w:t>9.</w:t>
      </w:r>
      <w:r w:rsidR="00553B00">
        <w:tab/>
      </w:r>
      <w:r w:rsidR="00553B00">
        <w:rPr>
          <w:i/>
          <w:iCs/>
        </w:rPr>
        <w:t>Solicita</w:t>
      </w:r>
      <w:r w:rsidR="00553B00">
        <w:t xml:space="preserve"> a la Alta Comisionada de las Naciones Unidas para los Derechos Humanos que facilite todos los recursos necesarios para la mencionada reunión a fin de que disponga de los servicios e instalaciones requeridos, y que prepare un breve informe sobre la reunión y lo presente al Consejo de Derechos Humanos en su 49º período de sesiones;</w:t>
      </w:r>
    </w:p>
    <w:p w14:paraId="0FE9FDF8" w14:textId="77777777" w:rsidR="00381C24" w:rsidRDefault="00CB647E" w:rsidP="00CB647E">
      <w:pPr>
        <w:pStyle w:val="SingleTxtG"/>
      </w:pPr>
      <w:r>
        <w:tab/>
      </w:r>
      <w:r w:rsidR="00553B00">
        <w:t>10.</w:t>
      </w:r>
      <w:r w:rsidR="00553B00">
        <w:tab/>
      </w:r>
      <w:r w:rsidR="00553B00">
        <w:rPr>
          <w:i/>
          <w:iCs/>
        </w:rPr>
        <w:t xml:space="preserve">Decide </w:t>
      </w:r>
      <w:r w:rsidR="00553B00">
        <w:t>seguir ocupándose de la cuestión.</w:t>
      </w:r>
    </w:p>
    <w:p w14:paraId="1EC0CAC5" w14:textId="77777777" w:rsidR="00CB647E" w:rsidRPr="00CB647E" w:rsidRDefault="00CB647E" w:rsidP="00CB647E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647E" w:rsidRPr="00CB647E" w:rsidSect="000A48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5913" w14:textId="77777777" w:rsidR="00085121" w:rsidRPr="00A312BC" w:rsidRDefault="00085121" w:rsidP="00A312BC">
      <w:pPr>
        <w:pStyle w:val="Piedepgina"/>
      </w:pPr>
    </w:p>
  </w:endnote>
  <w:endnote w:type="continuationSeparator" w:id="0">
    <w:p w14:paraId="7800B4A9" w14:textId="77777777" w:rsidR="00085121" w:rsidRPr="00A312BC" w:rsidRDefault="00085121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38BD" w14:textId="77777777" w:rsidR="000A48AA" w:rsidRPr="000A48AA" w:rsidRDefault="000A48AA" w:rsidP="000A48AA">
    <w:pPr>
      <w:pStyle w:val="Piedepgina"/>
      <w:tabs>
        <w:tab w:val="right" w:pos="9638"/>
      </w:tabs>
    </w:pPr>
    <w:r w:rsidRPr="000A48AA">
      <w:rPr>
        <w:b/>
        <w:sz w:val="18"/>
      </w:rPr>
      <w:fldChar w:fldCharType="begin"/>
    </w:r>
    <w:r w:rsidRPr="000A48AA">
      <w:rPr>
        <w:b/>
        <w:sz w:val="18"/>
      </w:rPr>
      <w:instrText xml:space="preserve"> PAGE  \* MERGEFORMAT </w:instrText>
    </w:r>
    <w:r w:rsidRPr="000A48AA">
      <w:rPr>
        <w:b/>
        <w:sz w:val="18"/>
      </w:rPr>
      <w:fldChar w:fldCharType="separate"/>
    </w:r>
    <w:r w:rsidRPr="000A48AA">
      <w:rPr>
        <w:b/>
        <w:noProof/>
        <w:sz w:val="18"/>
      </w:rPr>
      <w:t>2</w:t>
    </w:r>
    <w:r w:rsidRPr="000A48AA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GE.20</w:t>
    </w:r>
    <w:proofErr w:type="spellEnd"/>
    <w:r>
      <w:t>-07957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98E7" w14:textId="77777777" w:rsidR="000A48AA" w:rsidRPr="000A48AA" w:rsidRDefault="000A48AA" w:rsidP="000A48AA">
    <w:pPr>
      <w:pStyle w:val="Piedepgina"/>
      <w:tabs>
        <w:tab w:val="right" w:pos="9638"/>
      </w:tabs>
      <w:rPr>
        <w:b/>
        <w:sz w:val="18"/>
      </w:rPr>
    </w:pPr>
    <w:proofErr w:type="spellStart"/>
    <w:r>
      <w:t>GE.20</w:t>
    </w:r>
    <w:proofErr w:type="spellEnd"/>
    <w:r>
      <w:t>-07957</w:t>
    </w:r>
    <w:r>
      <w:tab/>
    </w:r>
    <w:r w:rsidRPr="000A48AA">
      <w:rPr>
        <w:b/>
        <w:sz w:val="18"/>
      </w:rPr>
      <w:fldChar w:fldCharType="begin"/>
    </w:r>
    <w:r w:rsidRPr="000A48AA">
      <w:rPr>
        <w:b/>
        <w:sz w:val="18"/>
      </w:rPr>
      <w:instrText xml:space="preserve"> PAGE  \* MERGEFORMAT </w:instrText>
    </w:r>
    <w:r w:rsidRPr="000A48AA">
      <w:rPr>
        <w:b/>
        <w:sz w:val="18"/>
      </w:rPr>
      <w:fldChar w:fldCharType="separate"/>
    </w:r>
    <w:r w:rsidRPr="000A48AA">
      <w:rPr>
        <w:b/>
        <w:noProof/>
        <w:sz w:val="18"/>
      </w:rPr>
      <w:t>3</w:t>
    </w:r>
    <w:r w:rsidRPr="000A48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D883" w14:textId="77777777" w:rsidR="00042B72" w:rsidRPr="000A48AA" w:rsidRDefault="000A48AA" w:rsidP="000A48AA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2717CCE2" wp14:editId="571BB5B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</w:t>
    </w:r>
    <w:proofErr w:type="spellEnd"/>
    <w:r>
      <w:rPr>
        <w:sz w:val="20"/>
      </w:rPr>
      <w:t>-</w:t>
    </w:r>
    <w:proofErr w:type="gramStart"/>
    <w:r>
      <w:rPr>
        <w:sz w:val="20"/>
      </w:rPr>
      <w:t>07957  (</w:t>
    </w:r>
    <w:proofErr w:type="gramEnd"/>
    <w:r>
      <w:rPr>
        <w:sz w:val="20"/>
      </w:rPr>
      <w:t>S)</w:t>
    </w:r>
    <w:r w:rsidR="001A4CAD">
      <w:rPr>
        <w:sz w:val="20"/>
      </w:rPr>
      <w:t xml:space="preserve">    170620    170620</w:t>
    </w:r>
    <w:r>
      <w:rPr>
        <w:sz w:val="20"/>
      </w:rPr>
      <w:br/>
    </w:r>
    <w:r w:rsidRPr="000A48AA">
      <w:rPr>
        <w:rFonts w:ascii="C39T30Lfz" w:hAnsi="C39T30Lfz"/>
        <w:sz w:val="56"/>
      </w:rPr>
      <w:t></w:t>
    </w:r>
    <w:r w:rsidRPr="000A48AA">
      <w:rPr>
        <w:rFonts w:ascii="C39T30Lfz" w:hAnsi="C39T30Lfz"/>
        <w:sz w:val="56"/>
      </w:rPr>
      <w:t></w:t>
    </w:r>
    <w:r w:rsidRPr="000A48AA">
      <w:rPr>
        <w:rFonts w:ascii="C39T30Lfz" w:hAnsi="C39T30Lfz"/>
        <w:sz w:val="56"/>
      </w:rPr>
      <w:t></w:t>
    </w:r>
    <w:r w:rsidRPr="000A48AA">
      <w:rPr>
        <w:rFonts w:ascii="C39T30Lfz" w:hAnsi="C39T30Lfz"/>
        <w:sz w:val="56"/>
      </w:rPr>
      <w:t></w:t>
    </w:r>
    <w:r w:rsidRPr="000A48AA">
      <w:rPr>
        <w:rFonts w:ascii="C39T30Lfz" w:hAnsi="C39T30Lfz"/>
        <w:sz w:val="56"/>
      </w:rPr>
      <w:t></w:t>
    </w:r>
    <w:r w:rsidRPr="000A48AA">
      <w:rPr>
        <w:rFonts w:ascii="C39T30Lfz" w:hAnsi="C39T30Lfz"/>
        <w:sz w:val="56"/>
      </w:rPr>
      <w:t></w:t>
    </w:r>
    <w:r w:rsidRPr="000A48AA">
      <w:rPr>
        <w:rFonts w:ascii="C39T30Lfz" w:hAnsi="C39T30Lfz"/>
        <w:sz w:val="56"/>
      </w:rPr>
      <w:t></w:t>
    </w:r>
    <w:r w:rsidRPr="000A48AA">
      <w:rPr>
        <w:rFonts w:ascii="C39T30Lfz" w:hAnsi="C39T30Lfz"/>
        <w:sz w:val="56"/>
      </w:rPr>
      <w:t></w:t>
    </w:r>
    <w:r w:rsidRPr="000A48A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D182A57" wp14:editId="031D302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B7CE" w14:textId="77777777" w:rsidR="00085121" w:rsidRPr="001075E9" w:rsidRDefault="000851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41A4EE" w14:textId="77777777" w:rsidR="00085121" w:rsidRDefault="000851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CD6598" w14:textId="77777777" w:rsidR="00CB647E" w:rsidRPr="00CB647E" w:rsidRDefault="00CB647E">
      <w:pPr>
        <w:pStyle w:val="Textonotapie"/>
        <w:rPr>
          <w:sz w:val="20"/>
        </w:rPr>
      </w:pPr>
      <w:r>
        <w:tab/>
      </w:r>
      <w:r w:rsidRPr="00CB647E">
        <w:rPr>
          <w:rStyle w:val="Refdenotaalpie"/>
          <w:sz w:val="20"/>
          <w:vertAlign w:val="baseline"/>
        </w:rPr>
        <w:t>*</w:t>
      </w:r>
      <w:r w:rsidRPr="00CB647E">
        <w:rPr>
          <w:rStyle w:val="Refdenotaalpie"/>
          <w:vertAlign w:val="baseline"/>
        </w:rPr>
        <w:tab/>
      </w:r>
      <w:r>
        <w:t>Estado no miembro del Consejo de Derechos Humanos.</w:t>
      </w:r>
    </w:p>
  </w:footnote>
  <w:footnote w:id="2">
    <w:p w14:paraId="0FBF43C1" w14:textId="77777777" w:rsidR="00553B00" w:rsidRDefault="00553B00" w:rsidP="00553B00">
      <w:pPr>
        <w:pStyle w:val="Textonotapie"/>
      </w:pPr>
      <w:r>
        <w:tab/>
      </w:r>
      <w:r>
        <w:rPr>
          <w:rStyle w:val="Refdenotaalpie"/>
        </w:rPr>
        <w:footnoteRef/>
      </w:r>
      <w:r>
        <w:t xml:space="preserve"> </w:t>
      </w:r>
      <w:r>
        <w:tab/>
        <w:t>A/</w:t>
      </w:r>
      <w:proofErr w:type="spellStart"/>
      <w:r>
        <w:t>HRC</w:t>
      </w:r>
      <w:proofErr w:type="spellEnd"/>
      <w:r>
        <w:t>/43/31.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500F" w14:textId="44D7BD05" w:rsidR="000A48AA" w:rsidRPr="000A48AA" w:rsidRDefault="000A48AA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1F36A4">
      <w:t>A/</w:t>
    </w:r>
    <w:proofErr w:type="spellStart"/>
    <w:r w:rsidR="001F36A4">
      <w:t>HRC</w:t>
    </w:r>
    <w:proofErr w:type="spellEnd"/>
    <w:r w:rsidR="001F36A4">
      <w:t>/43/</w:t>
    </w:r>
    <w:proofErr w:type="spellStart"/>
    <w:r w:rsidR="001F36A4">
      <w:t>L.31</w:t>
    </w:r>
    <w:proofErr w:type="spellEnd"/>
    <w:r w:rsidR="001F36A4">
      <w:t>/</w:t>
    </w:r>
    <w:proofErr w:type="spellStart"/>
    <w:r w:rsidR="001F36A4">
      <w:t>Rev.1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216A" w14:textId="4C6DE50C" w:rsidR="000A48AA" w:rsidRPr="000A48AA" w:rsidRDefault="000A48AA" w:rsidP="000A48AA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F36A4">
      <w:t>A/</w:t>
    </w:r>
    <w:proofErr w:type="spellStart"/>
    <w:r w:rsidR="001F36A4">
      <w:t>HRC</w:t>
    </w:r>
    <w:proofErr w:type="spellEnd"/>
    <w:r w:rsidR="001F36A4">
      <w:t>/43/</w:t>
    </w:r>
    <w:proofErr w:type="spellStart"/>
    <w:r w:rsidR="001F36A4">
      <w:t>L.31</w:t>
    </w:r>
    <w:proofErr w:type="spellEnd"/>
    <w:r w:rsidR="001F36A4">
      <w:t>/</w:t>
    </w:r>
    <w:proofErr w:type="spellStart"/>
    <w:r w:rsidR="001F36A4">
      <w:t>Rev.1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5121"/>
    <w:rsid w:val="00033EE1"/>
    <w:rsid w:val="00042B72"/>
    <w:rsid w:val="000558BD"/>
    <w:rsid w:val="0008244E"/>
    <w:rsid w:val="00085121"/>
    <w:rsid w:val="000A48AA"/>
    <w:rsid w:val="000B57E7"/>
    <w:rsid w:val="000B6373"/>
    <w:rsid w:val="000F09DF"/>
    <w:rsid w:val="000F61B2"/>
    <w:rsid w:val="001075E9"/>
    <w:rsid w:val="001529E5"/>
    <w:rsid w:val="00180183"/>
    <w:rsid w:val="0018024D"/>
    <w:rsid w:val="0018649F"/>
    <w:rsid w:val="00196389"/>
    <w:rsid w:val="001A4CAD"/>
    <w:rsid w:val="001B3EF6"/>
    <w:rsid w:val="001C7A89"/>
    <w:rsid w:val="001F36A4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3F448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3B00"/>
    <w:rsid w:val="005709E0"/>
    <w:rsid w:val="00572E19"/>
    <w:rsid w:val="005961C8"/>
    <w:rsid w:val="005B3A7F"/>
    <w:rsid w:val="005D7914"/>
    <w:rsid w:val="005E2B41"/>
    <w:rsid w:val="005F0B42"/>
    <w:rsid w:val="00681A10"/>
    <w:rsid w:val="006A0DF2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8F285E"/>
    <w:rsid w:val="00906890"/>
    <w:rsid w:val="00911BE4"/>
    <w:rsid w:val="00951972"/>
    <w:rsid w:val="009608F3"/>
    <w:rsid w:val="009A24AC"/>
    <w:rsid w:val="00A312BC"/>
    <w:rsid w:val="00A365A0"/>
    <w:rsid w:val="00A84021"/>
    <w:rsid w:val="00A84D35"/>
    <w:rsid w:val="00A917B3"/>
    <w:rsid w:val="00AB4B51"/>
    <w:rsid w:val="00B10CC7"/>
    <w:rsid w:val="00B14408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B647E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4113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E3B399"/>
  <w15:docId w15:val="{9C143455-C061-41ED-971A-C1CAE5CF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  <w:style w:type="character" w:customStyle="1" w:styleId="TextonotapieCar">
    <w:name w:val="Texto nota pie Car"/>
    <w:aliases w:val="5_G Car"/>
    <w:basedOn w:val="Fuentedeprrafopredeter"/>
    <w:link w:val="Textonotapie"/>
    <w:locked/>
    <w:rsid w:val="00553B00"/>
    <w:rPr>
      <w:sz w:val="18"/>
    </w:rPr>
  </w:style>
  <w:style w:type="character" w:customStyle="1" w:styleId="SingleTxtGChar">
    <w:name w:val="_ Single Txt_G Char"/>
    <w:link w:val="SingleTxtG"/>
    <w:locked/>
    <w:rsid w:val="0055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A/HRC/43/L.31/Rev.1</dc:title>
  <dc:subject/>
  <dc:creator>Romina Valeria MERINO MAC-KAY</dc:creator>
  <cp:keywords/>
  <cp:lastModifiedBy>Maria DE-LA-PLAZA</cp:lastModifiedBy>
  <cp:revision>3</cp:revision>
  <cp:lastPrinted>2020-06-17T14:18:00Z</cp:lastPrinted>
  <dcterms:created xsi:type="dcterms:W3CDTF">2020-06-17T14:18:00Z</dcterms:created>
  <dcterms:modified xsi:type="dcterms:W3CDTF">2020-06-17T14:18:00Z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