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0B2B69D" w14:textId="77777777" w:rsidTr="00F66DF5">
        <w:trPr>
          <w:trHeight w:hRule="exact" w:val="851"/>
        </w:trPr>
        <w:tc>
          <w:tcPr>
            <w:tcW w:w="1280" w:type="dxa"/>
            <w:tcBorders>
              <w:bottom w:val="single" w:sz="4" w:space="0" w:color="auto"/>
            </w:tcBorders>
          </w:tcPr>
          <w:p w14:paraId="22C5CA1E" w14:textId="77777777" w:rsidR="002D5AAC" w:rsidRDefault="002D5AAC" w:rsidP="00F66DF5">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18E7B665"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C4CFDD6" w14:textId="77777777" w:rsidR="002D5AAC" w:rsidRDefault="00F66DF5" w:rsidP="00F66DF5">
            <w:pPr>
              <w:jc w:val="right"/>
            </w:pPr>
            <w:r w:rsidRPr="00F66DF5">
              <w:rPr>
                <w:sz w:val="40"/>
              </w:rPr>
              <w:t>A</w:t>
            </w:r>
            <w:r>
              <w:t>/HRC/44/L.1</w:t>
            </w:r>
          </w:p>
        </w:tc>
      </w:tr>
      <w:tr w:rsidR="002D5AAC" w14:paraId="6D581EFE" w14:textId="77777777" w:rsidTr="00F66DF5">
        <w:trPr>
          <w:trHeight w:hRule="exact" w:val="2835"/>
        </w:trPr>
        <w:tc>
          <w:tcPr>
            <w:tcW w:w="1280" w:type="dxa"/>
            <w:tcBorders>
              <w:top w:val="single" w:sz="4" w:space="0" w:color="auto"/>
              <w:bottom w:val="single" w:sz="12" w:space="0" w:color="auto"/>
            </w:tcBorders>
          </w:tcPr>
          <w:p w14:paraId="63145D87" w14:textId="77777777" w:rsidR="002D5AAC" w:rsidRDefault="002E5067" w:rsidP="0008244E">
            <w:pPr>
              <w:spacing w:before="120"/>
              <w:jc w:val="center"/>
            </w:pPr>
            <w:r>
              <w:rPr>
                <w:noProof/>
              </w:rPr>
              <w:drawing>
                <wp:inline distT="0" distB="0" distL="0" distR="0" wp14:anchorId="749135F5" wp14:editId="01CFE98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F55029A"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1B5184DF" w14:textId="77777777" w:rsidR="002D5AAC" w:rsidRDefault="00F66DF5" w:rsidP="0008244E">
            <w:pPr>
              <w:spacing w:before="240"/>
            </w:pPr>
            <w:proofErr w:type="spellStart"/>
            <w:r>
              <w:t>Distr</w:t>
            </w:r>
            <w:proofErr w:type="spellEnd"/>
            <w:r>
              <w:t>. limitada</w:t>
            </w:r>
          </w:p>
          <w:p w14:paraId="216317F6" w14:textId="77777777" w:rsidR="00F66DF5" w:rsidRDefault="00F66DF5" w:rsidP="00F66DF5">
            <w:pPr>
              <w:spacing w:line="240" w:lineRule="exact"/>
            </w:pPr>
            <w:r>
              <w:t>10 de julio de 2020</w:t>
            </w:r>
          </w:p>
          <w:p w14:paraId="719AEDA3" w14:textId="77777777" w:rsidR="00F66DF5" w:rsidRDefault="00F66DF5" w:rsidP="00F66DF5">
            <w:pPr>
              <w:spacing w:line="240" w:lineRule="exact"/>
            </w:pPr>
            <w:r>
              <w:t>Español</w:t>
            </w:r>
          </w:p>
          <w:p w14:paraId="5F9B8C09" w14:textId="77777777" w:rsidR="00F66DF5" w:rsidRDefault="00F66DF5" w:rsidP="00F66DF5">
            <w:pPr>
              <w:spacing w:line="240" w:lineRule="exact"/>
            </w:pPr>
            <w:r>
              <w:t>Original: inglés</w:t>
            </w:r>
          </w:p>
        </w:tc>
      </w:tr>
    </w:tbl>
    <w:p w14:paraId="68A9DB6D" w14:textId="77777777" w:rsidR="00F66DF5" w:rsidRPr="00F66DF5" w:rsidRDefault="00F66DF5" w:rsidP="00F66DF5">
      <w:pPr>
        <w:spacing w:before="120"/>
        <w:rPr>
          <w:b/>
          <w:sz w:val="24"/>
          <w:szCs w:val="24"/>
          <w:lang w:val="en-GB"/>
        </w:rPr>
      </w:pPr>
      <w:r w:rsidRPr="00F66DF5">
        <w:rPr>
          <w:b/>
          <w:bCs/>
          <w:sz w:val="24"/>
          <w:szCs w:val="24"/>
        </w:rPr>
        <w:t>Consejo de Derechos Humanos</w:t>
      </w:r>
    </w:p>
    <w:p w14:paraId="5753C6D4" w14:textId="77777777" w:rsidR="00F66DF5" w:rsidRPr="00F66DF5" w:rsidRDefault="00F66DF5" w:rsidP="00F66DF5">
      <w:pPr>
        <w:rPr>
          <w:b/>
          <w:lang w:val="en-GB"/>
        </w:rPr>
      </w:pPr>
      <w:r w:rsidRPr="00F66DF5">
        <w:rPr>
          <w:b/>
          <w:bCs/>
        </w:rPr>
        <w:t>44º período de sesiones</w:t>
      </w:r>
    </w:p>
    <w:p w14:paraId="43FF91E0" w14:textId="77777777" w:rsidR="00F66DF5" w:rsidRPr="00F66DF5" w:rsidRDefault="00F66DF5" w:rsidP="00F66DF5">
      <w:r w:rsidRPr="00F66DF5">
        <w:t>30 de junio a 17 de julio de 2020</w:t>
      </w:r>
    </w:p>
    <w:p w14:paraId="3E8C1691" w14:textId="77777777" w:rsidR="00F66DF5" w:rsidRPr="00F66DF5" w:rsidRDefault="00F66DF5" w:rsidP="00F66DF5">
      <w:r w:rsidRPr="00F66DF5">
        <w:t>Tema 3 de la agenda</w:t>
      </w:r>
    </w:p>
    <w:p w14:paraId="1F4A8A80" w14:textId="77777777" w:rsidR="00F66DF5" w:rsidRDefault="00F66DF5" w:rsidP="00F66DF5">
      <w:r w:rsidRPr="000876F7">
        <w:rPr>
          <w:b/>
          <w:bCs/>
        </w:rPr>
        <w:t xml:space="preserve">Promoción y protección de todos los derechos humanos, </w:t>
      </w:r>
      <w:r>
        <w:rPr>
          <w:b/>
          <w:bCs/>
        </w:rPr>
        <w:br/>
      </w:r>
      <w:r w:rsidRPr="000876F7">
        <w:rPr>
          <w:b/>
          <w:bCs/>
        </w:rPr>
        <w:t xml:space="preserve">civiles, políticos, económicos, sociales y culturales, </w:t>
      </w:r>
      <w:r>
        <w:rPr>
          <w:b/>
          <w:bCs/>
        </w:rPr>
        <w:br/>
      </w:r>
      <w:r w:rsidRPr="000876F7">
        <w:rPr>
          <w:b/>
          <w:bCs/>
        </w:rPr>
        <w:t>incluido el derecho al desarrollo</w:t>
      </w:r>
    </w:p>
    <w:p w14:paraId="09B01177" w14:textId="77777777" w:rsidR="00F66DF5" w:rsidRPr="00F66DF5" w:rsidRDefault="00F66DF5" w:rsidP="00F66DF5">
      <w:pPr>
        <w:pStyle w:val="H23G"/>
      </w:pPr>
      <w:r>
        <w:tab/>
      </w:r>
      <w:r w:rsidRPr="00F66DF5">
        <w:tab/>
        <w:t>Albania</w:t>
      </w:r>
      <w:r w:rsidRPr="00FE418E">
        <w:rPr>
          <w:b w:val="0"/>
          <w:bCs/>
        </w:rPr>
        <w:t>*</w:t>
      </w:r>
      <w:r w:rsidRPr="00F66DF5">
        <w:t xml:space="preserve">, Alemania, Argentina, Armenia, Australia, Austria, </w:t>
      </w:r>
      <w:proofErr w:type="spellStart"/>
      <w:r w:rsidRPr="00F66DF5">
        <w:t>Belarús</w:t>
      </w:r>
      <w:proofErr w:type="spellEnd"/>
      <w:r w:rsidRPr="00FE418E">
        <w:rPr>
          <w:b w:val="0"/>
          <w:bCs/>
        </w:rPr>
        <w:t>*</w:t>
      </w:r>
      <w:r w:rsidRPr="00F66DF5">
        <w:t>, Bélgica</w:t>
      </w:r>
      <w:r w:rsidRPr="00FE418E">
        <w:rPr>
          <w:b w:val="0"/>
          <w:bCs/>
        </w:rPr>
        <w:t>*</w:t>
      </w:r>
      <w:r w:rsidRPr="00F66DF5">
        <w:t>, Bulgaria, Canadá</w:t>
      </w:r>
      <w:r w:rsidRPr="00FE418E">
        <w:rPr>
          <w:b w:val="0"/>
          <w:bCs/>
        </w:rPr>
        <w:t>*</w:t>
      </w:r>
      <w:r w:rsidRPr="00F66DF5">
        <w:t>, Chequia, Chile, Chipre</w:t>
      </w:r>
      <w:r w:rsidRPr="00FE418E">
        <w:rPr>
          <w:b w:val="0"/>
          <w:bCs/>
        </w:rPr>
        <w:t>*</w:t>
      </w:r>
      <w:r w:rsidRPr="00F66DF5">
        <w:t>, Costa Rica</w:t>
      </w:r>
      <w:r w:rsidRPr="00FE418E">
        <w:rPr>
          <w:b w:val="0"/>
          <w:bCs/>
        </w:rPr>
        <w:t>*</w:t>
      </w:r>
      <w:r w:rsidRPr="00F66DF5">
        <w:t>, Croacia</w:t>
      </w:r>
      <w:r w:rsidRPr="00FE418E">
        <w:rPr>
          <w:b w:val="0"/>
          <w:bCs/>
        </w:rPr>
        <w:t>*</w:t>
      </w:r>
      <w:r w:rsidRPr="00F66DF5">
        <w:t>, Dinamarca, Ecuador</w:t>
      </w:r>
      <w:r w:rsidRPr="00FE418E">
        <w:rPr>
          <w:b w:val="0"/>
          <w:bCs/>
        </w:rPr>
        <w:t>*</w:t>
      </w:r>
      <w:r w:rsidRPr="00F66DF5">
        <w:t>, Eslovaquia, Eslovenia</w:t>
      </w:r>
      <w:r w:rsidRPr="00FE418E">
        <w:rPr>
          <w:b w:val="0"/>
          <w:bCs/>
        </w:rPr>
        <w:t>*</w:t>
      </w:r>
      <w:r w:rsidRPr="00F66DF5">
        <w:t>, España, Estonia</w:t>
      </w:r>
      <w:r w:rsidRPr="00FE418E">
        <w:rPr>
          <w:b w:val="0"/>
          <w:bCs/>
        </w:rPr>
        <w:t>*</w:t>
      </w:r>
      <w:r w:rsidRPr="00F66DF5">
        <w:t xml:space="preserve">, </w:t>
      </w:r>
      <w:proofErr w:type="spellStart"/>
      <w:r w:rsidRPr="00F66DF5">
        <w:t>Eswatini</w:t>
      </w:r>
      <w:proofErr w:type="spellEnd"/>
      <w:r w:rsidRPr="00FE418E">
        <w:rPr>
          <w:b w:val="0"/>
          <w:bCs/>
        </w:rPr>
        <w:t>*</w:t>
      </w:r>
      <w:r w:rsidRPr="00F66DF5">
        <w:t xml:space="preserve">, </w:t>
      </w:r>
      <w:proofErr w:type="spellStart"/>
      <w:r w:rsidRPr="00F66DF5">
        <w:t>Fiji</w:t>
      </w:r>
      <w:proofErr w:type="spellEnd"/>
      <w:r w:rsidRPr="00F66DF5">
        <w:t xml:space="preserve">, Filipinas, </w:t>
      </w:r>
      <w:r w:rsidRPr="0050138B">
        <w:t>Finlandia</w:t>
      </w:r>
      <w:r w:rsidRPr="0050138B">
        <w:rPr>
          <w:b w:val="0"/>
          <w:bCs/>
        </w:rPr>
        <w:footnoteReference w:customMarkFollows="1" w:id="1"/>
        <w:t>*</w:t>
      </w:r>
      <w:r w:rsidRPr="00F66DF5">
        <w:t>, Francia</w:t>
      </w:r>
      <w:r w:rsidRPr="0050138B">
        <w:rPr>
          <w:b w:val="0"/>
          <w:bCs/>
        </w:rPr>
        <w:t>*</w:t>
      </w:r>
      <w:r w:rsidRPr="00F66DF5">
        <w:t>, Georgia</w:t>
      </w:r>
      <w:r w:rsidRPr="0050138B">
        <w:rPr>
          <w:b w:val="0"/>
          <w:bCs/>
        </w:rPr>
        <w:t>*</w:t>
      </w:r>
      <w:r w:rsidRPr="00F66DF5">
        <w:t>, Grecia</w:t>
      </w:r>
      <w:r w:rsidRPr="0050138B">
        <w:rPr>
          <w:b w:val="0"/>
          <w:bCs/>
        </w:rPr>
        <w:t>*</w:t>
      </w:r>
      <w:r w:rsidRPr="00F66DF5">
        <w:t>, Hungría</w:t>
      </w:r>
      <w:r w:rsidRPr="0050138B">
        <w:rPr>
          <w:b w:val="0"/>
          <w:bCs/>
        </w:rPr>
        <w:t>*</w:t>
      </w:r>
      <w:r w:rsidRPr="00F66DF5">
        <w:t>, Irlanda</w:t>
      </w:r>
      <w:r w:rsidRPr="0050138B">
        <w:rPr>
          <w:b w:val="0"/>
          <w:bCs/>
        </w:rPr>
        <w:t>*</w:t>
      </w:r>
      <w:r w:rsidRPr="00F66DF5">
        <w:t>, Islandia</w:t>
      </w:r>
      <w:r w:rsidRPr="0050138B">
        <w:rPr>
          <w:b w:val="0"/>
          <w:bCs/>
        </w:rPr>
        <w:t>*</w:t>
      </w:r>
      <w:r w:rsidRPr="00F66DF5">
        <w:t>, Italia, Japón, Letonia</w:t>
      </w:r>
      <w:r w:rsidRPr="0050138B">
        <w:rPr>
          <w:b w:val="0"/>
          <w:bCs/>
        </w:rPr>
        <w:t>*</w:t>
      </w:r>
      <w:r w:rsidRPr="00F66DF5">
        <w:t>, Lituania</w:t>
      </w:r>
      <w:r w:rsidRPr="0050138B">
        <w:rPr>
          <w:b w:val="0"/>
          <w:bCs/>
        </w:rPr>
        <w:t>*</w:t>
      </w:r>
      <w:r w:rsidRPr="00F66DF5">
        <w:t>, Luxemburgo</w:t>
      </w:r>
      <w:r w:rsidRPr="0050138B">
        <w:rPr>
          <w:b w:val="0"/>
          <w:bCs/>
        </w:rPr>
        <w:t>*</w:t>
      </w:r>
      <w:r w:rsidRPr="00F66DF5">
        <w:t>, Macedonia del Norte</w:t>
      </w:r>
      <w:r w:rsidRPr="0050138B">
        <w:rPr>
          <w:b w:val="0"/>
          <w:bCs/>
        </w:rPr>
        <w:t>*</w:t>
      </w:r>
      <w:r w:rsidRPr="00F66DF5">
        <w:t>, Malta</w:t>
      </w:r>
      <w:r w:rsidRPr="0050138B">
        <w:rPr>
          <w:b w:val="0"/>
          <w:bCs/>
        </w:rPr>
        <w:t>*</w:t>
      </w:r>
      <w:r w:rsidRPr="00F66DF5">
        <w:t>, México, Mónaco</w:t>
      </w:r>
      <w:r w:rsidRPr="0050138B">
        <w:rPr>
          <w:b w:val="0"/>
          <w:bCs/>
        </w:rPr>
        <w:t>*</w:t>
      </w:r>
      <w:r w:rsidRPr="00F66DF5">
        <w:t>, Montenegro</w:t>
      </w:r>
      <w:r w:rsidRPr="0050138B">
        <w:rPr>
          <w:b w:val="0"/>
          <w:bCs/>
        </w:rPr>
        <w:t>*</w:t>
      </w:r>
      <w:r w:rsidRPr="00F66DF5">
        <w:t>, Nepal, Noruega</w:t>
      </w:r>
      <w:r w:rsidRPr="0050138B">
        <w:rPr>
          <w:b w:val="0"/>
          <w:bCs/>
        </w:rPr>
        <w:t>*</w:t>
      </w:r>
      <w:r w:rsidRPr="00F66DF5">
        <w:t>, Países Bajos, Pakistán, Paraguay</w:t>
      </w:r>
      <w:r w:rsidRPr="0050138B">
        <w:rPr>
          <w:b w:val="0"/>
          <w:bCs/>
        </w:rPr>
        <w:t>*</w:t>
      </w:r>
      <w:r w:rsidRPr="00F66DF5">
        <w:t>, Perú, Polonia, Portugal</w:t>
      </w:r>
      <w:r w:rsidRPr="0050138B">
        <w:rPr>
          <w:b w:val="0"/>
          <w:bCs/>
        </w:rPr>
        <w:t>*</w:t>
      </w:r>
      <w:r w:rsidRPr="00F66DF5">
        <w:t>, Qatar, Rumania</w:t>
      </w:r>
      <w:r w:rsidRPr="0050138B">
        <w:rPr>
          <w:b w:val="0"/>
          <w:bCs/>
        </w:rPr>
        <w:t>*</w:t>
      </w:r>
      <w:r w:rsidRPr="00F66DF5">
        <w:t>, San Marino</w:t>
      </w:r>
      <w:r w:rsidRPr="0050138B">
        <w:rPr>
          <w:b w:val="0"/>
          <w:bCs/>
        </w:rPr>
        <w:t>*</w:t>
      </w:r>
      <w:r w:rsidRPr="00F66DF5">
        <w:t>, Suecia</w:t>
      </w:r>
      <w:r w:rsidRPr="0050138B">
        <w:rPr>
          <w:b w:val="0"/>
          <w:bCs/>
        </w:rPr>
        <w:t>*</w:t>
      </w:r>
      <w:r w:rsidRPr="00F66DF5">
        <w:t>, Suiza</w:t>
      </w:r>
      <w:r w:rsidRPr="0050138B">
        <w:rPr>
          <w:b w:val="0"/>
          <w:bCs/>
        </w:rPr>
        <w:t>*</w:t>
      </w:r>
      <w:r w:rsidRPr="00F66DF5">
        <w:t>, Tailandia</w:t>
      </w:r>
      <w:r w:rsidRPr="0050138B">
        <w:rPr>
          <w:b w:val="0"/>
          <w:bCs/>
        </w:rPr>
        <w:t>*</w:t>
      </w:r>
      <w:r w:rsidRPr="00F66DF5">
        <w:t>, Túnez</w:t>
      </w:r>
      <w:r w:rsidRPr="0050138B">
        <w:rPr>
          <w:b w:val="0"/>
          <w:bCs/>
        </w:rPr>
        <w:t>*</w:t>
      </w:r>
      <w:r w:rsidRPr="00F66DF5">
        <w:t>, Ucrania y Uruguay: proyecto de resolución</w:t>
      </w:r>
    </w:p>
    <w:p w14:paraId="429AC837" w14:textId="77777777" w:rsidR="00381C24" w:rsidRDefault="00F66DF5" w:rsidP="00F66DF5">
      <w:pPr>
        <w:pStyle w:val="H1G"/>
      </w:pPr>
      <w:r>
        <w:tab/>
      </w:r>
      <w:r>
        <w:tab/>
      </w:r>
      <w:r w:rsidRPr="000876F7">
        <w:t>44/...</w:t>
      </w:r>
      <w:r w:rsidR="008543B5">
        <w:tab/>
      </w:r>
      <w:r w:rsidRPr="000876F7">
        <w:t>El derecho a la educación</w:t>
      </w:r>
    </w:p>
    <w:p w14:paraId="46FFB27B" w14:textId="77777777" w:rsidR="00F66DF5" w:rsidRPr="00F66DF5" w:rsidRDefault="00F66DF5" w:rsidP="00F66DF5">
      <w:pPr>
        <w:pStyle w:val="SingleTxtG"/>
      </w:pPr>
      <w:r w:rsidRPr="00F66DF5">
        <w:tab/>
      </w:r>
      <w:r w:rsidRPr="00F66DF5">
        <w:rPr>
          <w:i/>
          <w:iCs/>
        </w:rPr>
        <w:t>El Consejo de Derechos Humanos</w:t>
      </w:r>
      <w:r w:rsidRPr="00F66DF5">
        <w:t>,</w:t>
      </w:r>
    </w:p>
    <w:p w14:paraId="5A6F03FB" w14:textId="77777777" w:rsidR="00F66DF5" w:rsidRPr="00F66DF5" w:rsidRDefault="00F66DF5" w:rsidP="00F66DF5">
      <w:pPr>
        <w:pStyle w:val="SingleTxtG"/>
      </w:pPr>
      <w:r>
        <w:rPr>
          <w:i/>
          <w:iCs/>
        </w:rPr>
        <w:tab/>
      </w:r>
      <w:r w:rsidRPr="00F66DF5">
        <w:rPr>
          <w:i/>
          <w:iCs/>
        </w:rPr>
        <w:t xml:space="preserve">Guiado </w:t>
      </w:r>
      <w:r w:rsidRPr="00F66DF5">
        <w:t>por los propósitos y principios de la Carta de las Naciones Unidas,</w:t>
      </w:r>
    </w:p>
    <w:p w14:paraId="6FF89237" w14:textId="77777777" w:rsidR="00F66DF5" w:rsidRPr="00F66DF5" w:rsidRDefault="00F66DF5" w:rsidP="00F66DF5">
      <w:pPr>
        <w:pStyle w:val="SingleTxtG"/>
      </w:pPr>
      <w:r>
        <w:rPr>
          <w:i/>
          <w:iCs/>
        </w:rPr>
        <w:tab/>
      </w:r>
      <w:r w:rsidRPr="00F66DF5">
        <w:rPr>
          <w:i/>
          <w:iCs/>
        </w:rPr>
        <w:t xml:space="preserve">Reafirmando </w:t>
      </w:r>
      <w:r w:rsidRPr="00F66DF5">
        <w:t>el derecho de todo ser humano a la educación, consagrado, en particular, en la Declaración Universal de Derechos Humanos, el Pacto Internacional de Derechos Económicos, Sociales y Culturales, la Convención sobre los Derechos del Niño, la Convención sobre la Eliminación de Todas las Formas de Discriminación contra la Mujer, la Convención Internacional sobre la Eliminación de Todas las Formas de Discriminación Racial, la Convención Internacional sobre la Protección de los Derechos de Todos los Trabajadores Migratorios y de Sus Familiares, la Convención sobre los Derechos de las Personas con Discapacidad, la Convención relativa a la Lucha contra las Discriminaciones en la Esfera de la Enseñanza de la Organización de las Naciones Unidas para la Educación, la Ciencia y la Cultura, y otros instrumentos internacionales en la materia,</w:t>
      </w:r>
    </w:p>
    <w:p w14:paraId="2E0E469C" w14:textId="77777777" w:rsidR="00F66DF5" w:rsidRPr="00F66DF5" w:rsidRDefault="00F66DF5" w:rsidP="00F66DF5">
      <w:pPr>
        <w:pStyle w:val="SingleTxtG"/>
      </w:pPr>
      <w:r>
        <w:rPr>
          <w:i/>
          <w:iCs/>
        </w:rPr>
        <w:tab/>
      </w:r>
      <w:r w:rsidRPr="00F66DF5">
        <w:rPr>
          <w:i/>
          <w:iCs/>
        </w:rPr>
        <w:t>Reafirmando también</w:t>
      </w:r>
      <w:r w:rsidRPr="00F66DF5">
        <w:t xml:space="preserve"> la resolución 70/1 de la Asamblea General, de 27 de septiembre de 2015, titulada: “Transformar nuestro mundo: la Agenda 2030 para el Desarrollo Sostenible”, y acogiendo con beneplácito los Objetivos de Desarrollo Sostenible, en particular, entre otros, el Objetivo 4, consistente en garantizar una educación inclusiva y equitativa de calidad y promover oportunidades de aprendizaje permanente para todos, y sus metas específicas e interrelacionadas, y el resto de Objetivos y metas relacionados con la educación,</w:t>
      </w:r>
    </w:p>
    <w:p w14:paraId="74B7A79C" w14:textId="77777777" w:rsidR="00F66DF5" w:rsidRPr="00F66DF5" w:rsidRDefault="00F66DF5" w:rsidP="00F66DF5">
      <w:pPr>
        <w:pStyle w:val="SingleTxtG"/>
      </w:pPr>
      <w:r>
        <w:rPr>
          <w:i/>
          <w:iCs/>
        </w:rPr>
        <w:tab/>
      </w:r>
      <w:r w:rsidRPr="00F66DF5">
        <w:rPr>
          <w:i/>
          <w:iCs/>
        </w:rPr>
        <w:t>Reafirmando además</w:t>
      </w:r>
      <w:r w:rsidRPr="00F66DF5">
        <w:t xml:space="preserve"> la resolución 8/4 del Consejo de Derechos Humanos, de 18 de junio de 2008, y todas sus demás resoluciones sobre el derecho a la educación, la más </w:t>
      </w:r>
      <w:r w:rsidRPr="00F66DF5">
        <w:lastRenderedPageBreak/>
        <w:t>reciente de las cuales es la resolución 41/16, de 11 de julio de 2019, y las resoluciones aprobadas por la Comisión de Derechos Humanos sobre este tema,</w:t>
      </w:r>
    </w:p>
    <w:p w14:paraId="44A5FCD0" w14:textId="77777777" w:rsidR="00F66DF5" w:rsidRPr="00F66DF5" w:rsidRDefault="00F66DF5" w:rsidP="00F66DF5">
      <w:pPr>
        <w:pStyle w:val="SingleTxtG"/>
      </w:pPr>
      <w:r>
        <w:rPr>
          <w:i/>
          <w:iCs/>
        </w:rPr>
        <w:tab/>
      </w:r>
      <w:r w:rsidRPr="00F66DF5">
        <w:rPr>
          <w:i/>
          <w:iCs/>
        </w:rPr>
        <w:t xml:space="preserve">Recordando </w:t>
      </w:r>
      <w:r w:rsidRPr="00F66DF5">
        <w:t>sus resoluciones 5/1, sobre la construcción institucional del Consejo de Derechos Humanos, y 5/2, sobre el Código de Conducta para los Titulares de Mandatos de los Procedimientos Especiales del Consejo, de 18 de junio de 2007, y destacando que los titulares de mandatos deberán desempeñar sus funciones de conformidad con esas resoluciones y sus anexos,</w:t>
      </w:r>
    </w:p>
    <w:p w14:paraId="2EE09C31" w14:textId="77777777" w:rsidR="00F66DF5" w:rsidRPr="00F66DF5" w:rsidRDefault="00F66DF5" w:rsidP="00F66DF5">
      <w:pPr>
        <w:pStyle w:val="SingleTxtG"/>
      </w:pPr>
      <w:r>
        <w:rPr>
          <w:i/>
          <w:iCs/>
        </w:rPr>
        <w:tab/>
      </w:r>
      <w:r w:rsidRPr="00F66DF5">
        <w:rPr>
          <w:i/>
          <w:iCs/>
        </w:rPr>
        <w:t xml:space="preserve">Reconociendo </w:t>
      </w:r>
      <w:r w:rsidRPr="00F66DF5">
        <w:t>el impacto de la pandemia de COVID-19 en el derecho a la educación,</w:t>
      </w:r>
    </w:p>
    <w:p w14:paraId="79D4DB77" w14:textId="77777777" w:rsidR="00F66DF5" w:rsidRPr="00F66DF5" w:rsidRDefault="00F66DF5" w:rsidP="00F66DF5">
      <w:pPr>
        <w:pStyle w:val="SingleTxtG"/>
      </w:pPr>
      <w:r>
        <w:tab/>
      </w:r>
      <w:r w:rsidRPr="00F66DF5">
        <w:t>1.</w:t>
      </w:r>
      <w:r w:rsidRPr="00F66DF5">
        <w:tab/>
      </w:r>
      <w:r w:rsidRPr="00F66DF5">
        <w:rPr>
          <w:i/>
          <w:iCs/>
        </w:rPr>
        <w:t xml:space="preserve">Acoge con beneplácito </w:t>
      </w:r>
      <w:r w:rsidRPr="00F66DF5">
        <w:t>la labor de la Relatora Especial sobre el derecho a la educación;</w:t>
      </w:r>
    </w:p>
    <w:p w14:paraId="75F451FF" w14:textId="77777777" w:rsidR="00F66DF5" w:rsidRPr="00F66DF5" w:rsidRDefault="00F66DF5" w:rsidP="00F66DF5">
      <w:pPr>
        <w:pStyle w:val="SingleTxtG"/>
      </w:pPr>
      <w:r>
        <w:tab/>
      </w:r>
      <w:r w:rsidRPr="00F66DF5">
        <w:t>2.</w:t>
      </w:r>
      <w:r w:rsidRPr="00F66DF5">
        <w:tab/>
      </w:r>
      <w:r w:rsidRPr="00F66DF5">
        <w:rPr>
          <w:i/>
          <w:iCs/>
        </w:rPr>
        <w:t>Toma nota</w:t>
      </w:r>
      <w:r w:rsidRPr="00F66DF5">
        <w:t xml:space="preserve"> de los informes de la Relatora Especial presentados al Consejo de Derechos Humanos en sus períodos de sesiones 38º, 41º y 44º</w:t>
      </w:r>
      <w:r w:rsidRPr="00F66DF5">
        <w:rPr>
          <w:rStyle w:val="FootnoteReference"/>
        </w:rPr>
        <w:footnoteReference w:id="2"/>
      </w:r>
      <w:r w:rsidRPr="00F66DF5">
        <w:t>, y a la Asamblea General en sus períodos de sesiones 72º, 73º y 74º</w:t>
      </w:r>
      <w:r w:rsidRPr="00F66DF5">
        <w:rPr>
          <w:rStyle w:val="FootnoteReference"/>
        </w:rPr>
        <w:footnoteReference w:id="3"/>
      </w:r>
      <w:r w:rsidRPr="00F66DF5">
        <w:t>;</w:t>
      </w:r>
    </w:p>
    <w:p w14:paraId="38FAA7E3" w14:textId="77777777" w:rsidR="00F66DF5" w:rsidRPr="00F66DF5" w:rsidRDefault="00F66DF5" w:rsidP="00F66DF5">
      <w:pPr>
        <w:pStyle w:val="SingleTxtG"/>
      </w:pPr>
      <w:r>
        <w:tab/>
      </w:r>
      <w:r w:rsidRPr="00F66DF5">
        <w:t>3.</w:t>
      </w:r>
      <w:r w:rsidRPr="00F66DF5">
        <w:tab/>
      </w:r>
      <w:r w:rsidRPr="00F66DF5">
        <w:rPr>
          <w:i/>
          <w:iCs/>
        </w:rPr>
        <w:t xml:space="preserve">Decide </w:t>
      </w:r>
      <w:r w:rsidRPr="00F66DF5">
        <w:t>prorrogar el mandato del Relator Especial sobre el derecho a la educación por otro período de tres años;</w:t>
      </w:r>
    </w:p>
    <w:p w14:paraId="030779DF" w14:textId="77777777" w:rsidR="00F66DF5" w:rsidRPr="00F66DF5" w:rsidRDefault="00F66DF5" w:rsidP="00F66DF5">
      <w:pPr>
        <w:pStyle w:val="SingleTxtG"/>
      </w:pPr>
      <w:r>
        <w:tab/>
      </w:r>
      <w:r w:rsidRPr="00F66DF5">
        <w:t>4.</w:t>
      </w:r>
      <w:r w:rsidRPr="00F66DF5">
        <w:tab/>
      </w:r>
      <w:r w:rsidRPr="00F66DF5">
        <w:rPr>
          <w:i/>
          <w:iCs/>
        </w:rPr>
        <w:t xml:space="preserve">Alienta </w:t>
      </w:r>
      <w:r w:rsidRPr="00F66DF5">
        <w:t>al Relator Especial a que, en el desempeño de su mandato, siga teniendo en cuenta los Objetivos de Desarrollo Sostenible relacionados con la educación y las metas correspondientes, las disposiciones de las resoluciones del Consejo de Derechos Humanos sobre el derecho a la educación y una perspectiva de género, y contribuya a que todo ello se lleve a la práctica;</w:t>
      </w:r>
    </w:p>
    <w:p w14:paraId="50DB21A6" w14:textId="77777777" w:rsidR="00F66DF5" w:rsidRPr="00F66DF5" w:rsidRDefault="00F66DF5" w:rsidP="00F66DF5">
      <w:pPr>
        <w:pStyle w:val="SingleTxtG"/>
      </w:pPr>
      <w:r>
        <w:tab/>
      </w:r>
      <w:r w:rsidRPr="00F66DF5">
        <w:t>5.</w:t>
      </w:r>
      <w:r w:rsidRPr="00F66DF5">
        <w:tab/>
      </w:r>
      <w:r w:rsidRPr="00F66DF5">
        <w:rPr>
          <w:i/>
          <w:iCs/>
        </w:rPr>
        <w:t xml:space="preserve">Solicita </w:t>
      </w:r>
      <w:r w:rsidRPr="00F66DF5">
        <w:t>a todos los Estados que cooperen plenamente con el Relator Especial con miras a facilitarle el desempeño de su labor, que tengan debidamente en cuenta las recomendaciones formuladas por el titular del mandato y que respondan favorablemente a sus solicitudes de información y de visitas;</w:t>
      </w:r>
    </w:p>
    <w:p w14:paraId="01A6BBA5" w14:textId="77777777" w:rsidR="00F66DF5" w:rsidRPr="00F66DF5" w:rsidRDefault="00F66DF5" w:rsidP="00F66DF5">
      <w:pPr>
        <w:pStyle w:val="SingleTxtG"/>
      </w:pPr>
      <w:r>
        <w:tab/>
      </w:r>
      <w:r w:rsidRPr="00F66DF5">
        <w:t>6.</w:t>
      </w:r>
      <w:r w:rsidRPr="00F66DF5">
        <w:tab/>
      </w:r>
      <w:r w:rsidRPr="00F66DF5">
        <w:rPr>
          <w:i/>
          <w:iCs/>
        </w:rPr>
        <w:t xml:space="preserve">Solicita </w:t>
      </w:r>
      <w:r w:rsidRPr="00F66DF5">
        <w:t>al Secretario General y a la Alta Comisionada de las Naciones Unidas para los Derechos Humanos que proporcionen al Relator Especial todos los recursos humanos y financieros necesarios para el desempeño eficaz de su mandato;</w:t>
      </w:r>
    </w:p>
    <w:p w14:paraId="7479675B" w14:textId="77777777" w:rsidR="00F66DF5" w:rsidRPr="00F66DF5" w:rsidRDefault="00F66DF5" w:rsidP="00F66DF5">
      <w:pPr>
        <w:pStyle w:val="SingleTxtG"/>
      </w:pPr>
      <w:r>
        <w:tab/>
      </w:r>
      <w:r w:rsidRPr="00F66DF5">
        <w:t>7.</w:t>
      </w:r>
      <w:r w:rsidRPr="00F66DF5">
        <w:tab/>
      </w:r>
      <w:r w:rsidRPr="00F66DF5">
        <w:rPr>
          <w:i/>
          <w:iCs/>
        </w:rPr>
        <w:t xml:space="preserve">Alienta </w:t>
      </w:r>
      <w:r w:rsidRPr="00F66DF5">
        <w:t>a todos los interesados pertinentes, incluidos los órganos, organismos especializados, fondos y programas de las Naciones Unidas, otras organizaciones internacionales, los mecanismos regionales de derechos humanos, las instituciones nacionales de derechos humanos y las organizaciones no gubernamentales, a que colaboren plenamente con el Relator Especial para que pueda cumplir su mandato;</w:t>
      </w:r>
    </w:p>
    <w:p w14:paraId="707EF3A9" w14:textId="77777777" w:rsidR="00F66DF5" w:rsidRPr="00F66DF5" w:rsidRDefault="00F66DF5" w:rsidP="00F66DF5">
      <w:pPr>
        <w:pStyle w:val="SingleTxtG"/>
      </w:pPr>
      <w:r>
        <w:tab/>
      </w:r>
      <w:r w:rsidRPr="00F66DF5">
        <w:t>8.</w:t>
      </w:r>
      <w:r w:rsidRPr="00F66DF5">
        <w:tab/>
      </w:r>
      <w:r w:rsidRPr="00F66DF5">
        <w:rPr>
          <w:i/>
          <w:iCs/>
        </w:rPr>
        <w:t xml:space="preserve">Solicita </w:t>
      </w:r>
      <w:r w:rsidRPr="00F66DF5">
        <w:t>al Relator Especial que presente cada año al Consejo de Derechos Humanos y a la Asamblea General un informe sobre todas las actividades relativas a su mandato, a fin de aprovechar al máximo los beneficios del proceso de presentación de informes;</w:t>
      </w:r>
    </w:p>
    <w:p w14:paraId="51568B76" w14:textId="77777777" w:rsidR="00F66DF5" w:rsidRDefault="00F66DF5" w:rsidP="00F66DF5">
      <w:pPr>
        <w:pStyle w:val="SingleTxtG"/>
      </w:pPr>
      <w:r>
        <w:tab/>
      </w:r>
      <w:r w:rsidRPr="000876F7">
        <w:t>9.</w:t>
      </w:r>
      <w:r w:rsidRPr="000876F7">
        <w:tab/>
      </w:r>
      <w:r w:rsidRPr="000876F7">
        <w:rPr>
          <w:i/>
          <w:iCs/>
        </w:rPr>
        <w:t xml:space="preserve">Decide </w:t>
      </w:r>
      <w:r w:rsidRPr="000876F7">
        <w:t>seguir ocupándose de la cuestión.</w:t>
      </w:r>
    </w:p>
    <w:p w14:paraId="00310B75" w14:textId="77777777" w:rsidR="00F66DF5" w:rsidRPr="00F66DF5" w:rsidRDefault="00F66DF5" w:rsidP="00F66DF5">
      <w:pPr>
        <w:pStyle w:val="SingleTxtG"/>
        <w:suppressAutoHyphens/>
        <w:spacing w:before="240" w:after="0"/>
        <w:jc w:val="center"/>
        <w:rPr>
          <w:u w:val="single"/>
        </w:rPr>
      </w:pPr>
      <w:r>
        <w:rPr>
          <w:u w:val="single"/>
        </w:rPr>
        <w:tab/>
      </w:r>
      <w:r>
        <w:rPr>
          <w:u w:val="single"/>
        </w:rPr>
        <w:tab/>
      </w:r>
      <w:r>
        <w:rPr>
          <w:u w:val="single"/>
        </w:rPr>
        <w:tab/>
      </w:r>
    </w:p>
    <w:sectPr w:rsidR="00F66DF5" w:rsidRPr="00F66DF5" w:rsidSect="00F66DF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9CB0F" w14:textId="77777777" w:rsidR="008605CC" w:rsidRPr="00A312BC" w:rsidRDefault="008605CC" w:rsidP="00A312BC">
      <w:pPr>
        <w:pStyle w:val="Footer"/>
      </w:pPr>
    </w:p>
  </w:endnote>
  <w:endnote w:type="continuationSeparator" w:id="0">
    <w:p w14:paraId="0A9EA3EC" w14:textId="77777777" w:rsidR="008605CC" w:rsidRPr="00A312BC" w:rsidRDefault="008605CC"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52DE8" w14:textId="77777777" w:rsidR="00F66DF5" w:rsidRPr="00F66DF5" w:rsidRDefault="00F66DF5" w:rsidP="00F66DF5">
    <w:pPr>
      <w:pStyle w:val="Footer"/>
      <w:tabs>
        <w:tab w:val="right" w:pos="9638"/>
      </w:tabs>
    </w:pPr>
    <w:r w:rsidRPr="00F66DF5">
      <w:rPr>
        <w:b/>
        <w:sz w:val="18"/>
      </w:rPr>
      <w:fldChar w:fldCharType="begin"/>
    </w:r>
    <w:r w:rsidRPr="00F66DF5">
      <w:rPr>
        <w:b/>
        <w:sz w:val="18"/>
      </w:rPr>
      <w:instrText xml:space="preserve"> PAGE  \* MERGEFORMAT </w:instrText>
    </w:r>
    <w:r w:rsidRPr="00F66DF5">
      <w:rPr>
        <w:b/>
        <w:sz w:val="18"/>
      </w:rPr>
      <w:fldChar w:fldCharType="separate"/>
    </w:r>
    <w:r w:rsidRPr="00F66DF5">
      <w:rPr>
        <w:b/>
        <w:noProof/>
        <w:sz w:val="18"/>
      </w:rPr>
      <w:t>2</w:t>
    </w:r>
    <w:r w:rsidRPr="00F66DF5">
      <w:rPr>
        <w:b/>
        <w:sz w:val="18"/>
      </w:rPr>
      <w:fldChar w:fldCharType="end"/>
    </w:r>
    <w:r>
      <w:rPr>
        <w:b/>
        <w:sz w:val="18"/>
      </w:rPr>
      <w:tab/>
    </w:r>
    <w:r>
      <w:t>GE.20-09028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462BA" w14:textId="77777777" w:rsidR="00F66DF5" w:rsidRPr="00F66DF5" w:rsidRDefault="00F66DF5" w:rsidP="00F66DF5">
    <w:pPr>
      <w:pStyle w:val="Footer"/>
      <w:tabs>
        <w:tab w:val="right" w:pos="9638"/>
      </w:tabs>
      <w:rPr>
        <w:b/>
        <w:sz w:val="18"/>
      </w:rPr>
    </w:pPr>
    <w:r>
      <w:t>GE.20-09028</w:t>
    </w:r>
    <w:r>
      <w:tab/>
    </w:r>
    <w:r w:rsidRPr="00F66DF5">
      <w:rPr>
        <w:b/>
        <w:sz w:val="18"/>
      </w:rPr>
      <w:fldChar w:fldCharType="begin"/>
    </w:r>
    <w:r w:rsidRPr="00F66DF5">
      <w:rPr>
        <w:b/>
        <w:sz w:val="18"/>
      </w:rPr>
      <w:instrText xml:space="preserve"> PAGE  \* MERGEFORMAT </w:instrText>
    </w:r>
    <w:r w:rsidRPr="00F66DF5">
      <w:rPr>
        <w:b/>
        <w:sz w:val="18"/>
      </w:rPr>
      <w:fldChar w:fldCharType="separate"/>
    </w:r>
    <w:r w:rsidRPr="00F66DF5">
      <w:rPr>
        <w:b/>
        <w:noProof/>
        <w:sz w:val="18"/>
      </w:rPr>
      <w:t>3</w:t>
    </w:r>
    <w:r w:rsidRPr="00F66D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3A15D" w14:textId="77777777" w:rsidR="00042B72" w:rsidRPr="00F66DF5" w:rsidRDefault="00F66DF5" w:rsidP="00F66DF5">
    <w:pPr>
      <w:pStyle w:val="Footer"/>
      <w:spacing w:before="120" w:line="240" w:lineRule="auto"/>
      <w:rPr>
        <w:sz w:val="20"/>
      </w:rPr>
    </w:pPr>
    <w:r>
      <w:rPr>
        <w:sz w:val="20"/>
      </w:rPr>
      <w:t>GE.</w:t>
    </w:r>
    <w:r w:rsidR="002E5067">
      <w:rPr>
        <w:noProof/>
      </w:rPr>
      <w:drawing>
        <wp:anchor distT="0" distB="0" distL="114300" distR="114300" simplePos="0" relativeHeight="251659264" behindDoc="0" locked="1" layoutInCell="1" allowOverlap="1" wp14:anchorId="179BF30F" wp14:editId="54C83F9E">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20-09028  (S)</w:t>
    </w:r>
    <w:r w:rsidR="00A01FB1">
      <w:rPr>
        <w:sz w:val="20"/>
      </w:rPr>
      <w:t xml:space="preserve">    100720    100720</w:t>
    </w:r>
    <w:r>
      <w:rPr>
        <w:sz w:val="20"/>
      </w:rPr>
      <w:br/>
    </w:r>
    <w:r w:rsidRPr="00F66DF5">
      <w:rPr>
        <w:rFonts w:ascii="C39T30Lfz" w:hAnsi="C39T30Lfz"/>
        <w:sz w:val="56"/>
      </w:rPr>
      <w:t></w:t>
    </w:r>
    <w:r w:rsidRPr="00F66DF5">
      <w:rPr>
        <w:rFonts w:ascii="C39T30Lfz" w:hAnsi="C39T30Lfz"/>
        <w:sz w:val="56"/>
      </w:rPr>
      <w:t></w:t>
    </w:r>
    <w:r w:rsidRPr="00F66DF5">
      <w:rPr>
        <w:rFonts w:ascii="C39T30Lfz" w:hAnsi="C39T30Lfz"/>
        <w:sz w:val="56"/>
      </w:rPr>
      <w:t></w:t>
    </w:r>
    <w:r w:rsidRPr="00F66DF5">
      <w:rPr>
        <w:rFonts w:ascii="C39T30Lfz" w:hAnsi="C39T30Lfz"/>
        <w:sz w:val="56"/>
      </w:rPr>
      <w:t></w:t>
    </w:r>
    <w:r w:rsidRPr="00F66DF5">
      <w:rPr>
        <w:rFonts w:ascii="C39T30Lfz" w:hAnsi="C39T30Lfz"/>
        <w:sz w:val="56"/>
      </w:rPr>
      <w:t></w:t>
    </w:r>
    <w:r w:rsidRPr="00F66DF5">
      <w:rPr>
        <w:rFonts w:ascii="C39T30Lfz" w:hAnsi="C39T30Lfz"/>
        <w:sz w:val="56"/>
      </w:rPr>
      <w:t></w:t>
    </w:r>
    <w:r w:rsidRPr="00F66DF5">
      <w:rPr>
        <w:rFonts w:ascii="C39T30Lfz" w:hAnsi="C39T30Lfz"/>
        <w:sz w:val="56"/>
      </w:rPr>
      <w:t></w:t>
    </w:r>
    <w:r w:rsidRPr="00F66DF5">
      <w:rPr>
        <w:rFonts w:ascii="C39T30Lfz" w:hAnsi="C39T30Lfz"/>
        <w:sz w:val="56"/>
      </w:rPr>
      <w:t></w:t>
    </w:r>
    <w:r w:rsidRPr="00F66DF5">
      <w:rPr>
        <w:rFonts w:ascii="C39T30Lfz" w:hAnsi="C39T30Lfz"/>
        <w:sz w:val="56"/>
      </w:rPr>
      <w:t></w:t>
    </w:r>
    <w:r>
      <w:rPr>
        <w:noProof/>
        <w:sz w:val="20"/>
      </w:rPr>
      <w:drawing>
        <wp:anchor distT="0" distB="0" distL="114300" distR="114300" simplePos="0" relativeHeight="251658752" behindDoc="0" locked="0" layoutInCell="1" allowOverlap="1" wp14:anchorId="213D80F1" wp14:editId="4F8870A5">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44/L.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E82BD" w14:textId="77777777" w:rsidR="008605CC" w:rsidRPr="001075E9" w:rsidRDefault="008605CC" w:rsidP="001075E9">
      <w:pPr>
        <w:tabs>
          <w:tab w:val="right" w:pos="2155"/>
        </w:tabs>
        <w:spacing w:after="80" w:line="240" w:lineRule="auto"/>
        <w:ind w:left="680"/>
        <w:rPr>
          <w:u w:val="single"/>
        </w:rPr>
      </w:pPr>
      <w:r>
        <w:rPr>
          <w:u w:val="single"/>
        </w:rPr>
        <w:tab/>
      </w:r>
    </w:p>
  </w:footnote>
  <w:footnote w:type="continuationSeparator" w:id="0">
    <w:p w14:paraId="057E00CC" w14:textId="77777777" w:rsidR="008605CC" w:rsidRDefault="008605CC" w:rsidP="00407B78">
      <w:pPr>
        <w:tabs>
          <w:tab w:val="right" w:pos="2155"/>
        </w:tabs>
        <w:spacing w:after="80"/>
        <w:ind w:left="680"/>
        <w:rPr>
          <w:u w:val="single"/>
        </w:rPr>
      </w:pPr>
      <w:r>
        <w:rPr>
          <w:u w:val="single"/>
        </w:rPr>
        <w:tab/>
      </w:r>
    </w:p>
  </w:footnote>
  <w:footnote w:id="1">
    <w:p w14:paraId="405654A4" w14:textId="77777777" w:rsidR="00F66DF5" w:rsidRPr="000876F7" w:rsidRDefault="00F66DF5" w:rsidP="00F66DF5">
      <w:pPr>
        <w:pStyle w:val="FootnoteText"/>
      </w:pPr>
      <w:r w:rsidRPr="000876F7">
        <w:tab/>
      </w:r>
      <w:r w:rsidRPr="00F66DF5">
        <w:rPr>
          <w:sz w:val="20"/>
          <w:szCs w:val="22"/>
        </w:rPr>
        <w:t>*</w:t>
      </w:r>
      <w:r w:rsidRPr="000876F7">
        <w:tab/>
        <w:t>Estado no miembro del Consejo de Derechos Humanos.</w:t>
      </w:r>
    </w:p>
  </w:footnote>
  <w:footnote w:id="2">
    <w:p w14:paraId="4AF9E43B" w14:textId="77777777" w:rsidR="00F66DF5" w:rsidRPr="000876F7" w:rsidRDefault="00F66DF5" w:rsidP="00F66DF5">
      <w:pPr>
        <w:pStyle w:val="FootnoteText"/>
      </w:pPr>
      <w:r w:rsidRPr="000876F7">
        <w:tab/>
      </w:r>
      <w:r w:rsidRPr="00F66DF5">
        <w:rPr>
          <w:rStyle w:val="FootnoteReference"/>
        </w:rPr>
        <w:footnoteRef/>
      </w:r>
      <w:r w:rsidRPr="000876F7">
        <w:t xml:space="preserve"> </w:t>
      </w:r>
      <w:r w:rsidRPr="000876F7">
        <w:tab/>
        <w:t>A/HRC/38/32 y Add.1; A/HRC/41/37; y A/HRC/44/39 y Adds.1 y 2.</w:t>
      </w:r>
    </w:p>
  </w:footnote>
  <w:footnote w:id="3">
    <w:p w14:paraId="6FB57E4D" w14:textId="77777777" w:rsidR="00F66DF5" w:rsidRPr="000876F7" w:rsidRDefault="00F66DF5" w:rsidP="00F66DF5">
      <w:pPr>
        <w:pStyle w:val="FootnoteText"/>
      </w:pPr>
      <w:r w:rsidRPr="000876F7">
        <w:tab/>
      </w:r>
      <w:r w:rsidRPr="00F66DF5">
        <w:rPr>
          <w:rStyle w:val="FootnoteReference"/>
        </w:rPr>
        <w:footnoteRef/>
      </w:r>
      <w:r w:rsidRPr="000876F7">
        <w:t xml:space="preserve"> </w:t>
      </w:r>
      <w:r w:rsidRPr="000876F7">
        <w:tab/>
        <w:t>A/72/496, A/73/262 y A/74/243.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1FC6" w14:textId="099A5C92" w:rsidR="00F66DF5" w:rsidRPr="00F66DF5" w:rsidRDefault="00F66DF5">
    <w:pPr>
      <w:pStyle w:val="Header"/>
    </w:pPr>
    <w:fldSimple w:instr=" TITLE  \* MERGEFORMAT ">
      <w:r w:rsidR="004A64A8">
        <w:t>A/HRC/44/L.1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D4F4" w14:textId="3B50EA70" w:rsidR="00F66DF5" w:rsidRPr="00F66DF5" w:rsidRDefault="00F66DF5" w:rsidP="00F66DF5">
    <w:pPr>
      <w:pStyle w:val="Header"/>
      <w:jc w:val="right"/>
    </w:pPr>
    <w:fldSimple w:instr=" TITLE  \* MERGEFORMAT ">
      <w:r w:rsidR="004A64A8">
        <w:t>A/HRC/44/L.1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605CC"/>
    <w:rsid w:val="00033EE1"/>
    <w:rsid w:val="00042B72"/>
    <w:rsid w:val="000558BD"/>
    <w:rsid w:val="0008244E"/>
    <w:rsid w:val="000B57E7"/>
    <w:rsid w:val="000B6373"/>
    <w:rsid w:val="000F09DF"/>
    <w:rsid w:val="000F61B2"/>
    <w:rsid w:val="001075E9"/>
    <w:rsid w:val="00180183"/>
    <w:rsid w:val="0018024D"/>
    <w:rsid w:val="0018649F"/>
    <w:rsid w:val="00196389"/>
    <w:rsid w:val="001B3EF6"/>
    <w:rsid w:val="001C7A89"/>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4A64A8"/>
    <w:rsid w:val="0050108D"/>
    <w:rsid w:val="0050138B"/>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7357"/>
    <w:rsid w:val="007E402C"/>
    <w:rsid w:val="00825F8D"/>
    <w:rsid w:val="00834B71"/>
    <w:rsid w:val="008543B5"/>
    <w:rsid w:val="008605CC"/>
    <w:rsid w:val="0086445C"/>
    <w:rsid w:val="00894693"/>
    <w:rsid w:val="008A08D7"/>
    <w:rsid w:val="008B6909"/>
    <w:rsid w:val="00906890"/>
    <w:rsid w:val="00911BE4"/>
    <w:rsid w:val="00951972"/>
    <w:rsid w:val="009608F3"/>
    <w:rsid w:val="009A24AC"/>
    <w:rsid w:val="009B58EA"/>
    <w:rsid w:val="00A01FB1"/>
    <w:rsid w:val="00A312BC"/>
    <w:rsid w:val="00A84021"/>
    <w:rsid w:val="00A84D35"/>
    <w:rsid w:val="00A917B3"/>
    <w:rsid w:val="00AB4B51"/>
    <w:rsid w:val="00B10CC7"/>
    <w:rsid w:val="00B539E7"/>
    <w:rsid w:val="00B62458"/>
    <w:rsid w:val="00BC18B2"/>
    <w:rsid w:val="00BD33EE"/>
    <w:rsid w:val="00BD5E67"/>
    <w:rsid w:val="00C106D6"/>
    <w:rsid w:val="00C60F0C"/>
    <w:rsid w:val="00C805C9"/>
    <w:rsid w:val="00C92939"/>
    <w:rsid w:val="00CA1679"/>
    <w:rsid w:val="00CB151C"/>
    <w:rsid w:val="00CD0C97"/>
    <w:rsid w:val="00CE5A1A"/>
    <w:rsid w:val="00CF55F6"/>
    <w:rsid w:val="00D33D63"/>
    <w:rsid w:val="00D90138"/>
    <w:rsid w:val="00E73F76"/>
    <w:rsid w:val="00EA2C9F"/>
    <w:rsid w:val="00ED0BDA"/>
    <w:rsid w:val="00EF1360"/>
    <w:rsid w:val="00EF3220"/>
    <w:rsid w:val="00F66DF5"/>
    <w:rsid w:val="00F94155"/>
    <w:rsid w:val="00F9783F"/>
    <w:rsid w:val="00FD2EF7"/>
    <w:rsid w:val="00FE418E"/>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D342FB"/>
  <w15:docId w15:val="{453F064E-66C8-4E53-A36D-7C2D5D54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2</Pages>
  <Words>792</Words>
  <Characters>4520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A/HRC/44/L.1</vt:lpstr>
    </vt:vector>
  </TitlesOfParts>
  <Company>DCM</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dc:title>
  <dc:subject/>
  <dc:creator>Marcel GONZALEZ-PEREZ</dc:creator>
  <cp:keywords/>
  <cp:lastModifiedBy>Maria Luisa Zeballos Moreno</cp:lastModifiedBy>
  <cp:revision>3</cp:revision>
  <cp:lastPrinted>2020-07-10T12:49:00Z</cp:lastPrinted>
  <dcterms:created xsi:type="dcterms:W3CDTF">2020-07-10T12:49:00Z</dcterms:created>
  <dcterms:modified xsi:type="dcterms:W3CDTF">2020-07-10T12:49:00Z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